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Ongoing Professional Practice Evaluation (OPPE)</w:t>
      </w:r>
    </w:p>
    <w:p>
      <w:r>
        <w:rPr>
          <w:b/>
          <w:sz w:val="28"/>
        </w:rPr>
        <w:t>Provider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NAME"/>
                <w:tag w:val="PROVIDER_NAME"/>
                <w:id w:val="1018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Rank / Grade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RANK"/>
                <w:tag w:val="PROVIDER_RANK"/>
                <w:id w:val="1019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Specialty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SPECIALTY"/>
                <w:tag w:val="PROVIDER_SPECIALTY"/>
                <w:id w:val="1020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DEPARTMENT"/>
                <w:tag w:val="PROVIDER_DEPARTMENT"/>
                <w:id w:val="1021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Privileging status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PRIVSTATUS"/>
                <w:tag w:val="PROVIDER_PRIVSTATUS"/>
                <w:id w:val="1022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Review period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ERIOD_RANGE"/>
                <w:tag w:val="PERIOD_RANGE"/>
                <w:id w:val="1023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Section III —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III.F  % incomplete notes &gt; 3 business days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OPPE_IIIF"/>
                <w:tag w:val="OPPE_IIIF"/>
                <w:id w:val="1024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Section IV — Clinical practice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IV.D  Appropriate blood / blood component use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OPPE_IVD"/>
                <w:tag w:val="OPPE_IVD"/>
                <w:id w:val="1025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IV.E  Appropriate medication use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OPPE_IVE"/>
                <w:tag w:val="OPPE_IVE"/>
                <w:id w:val="1026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IV.F  Medical record pertinence review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OPPE_IVF"/>
                <w:tag w:val="OPPE_IVF"/>
                <w:id w:val="1027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IV.G  Medical record OPPE review (# reviewed)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OPPE_IVG"/>
                <w:tag w:val="OPPE_IVG"/>
                <w:id w:val="1028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IV.H  Medical record OPPE review (# deficient)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OPPE_IVH"/>
                <w:tag w:val="OPPE_IVH"/>
                <w:id w:val="1029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Section V — Specialty specific quality indicators</w:t>
      </w:r>
    </w:p>
    <w:p>
      <w:r>
        <w:rPr>
          <w:i/>
          <w:sz w:val="16"/>
        </w:rPr>
        <w:t>Minimum two per OPPE period.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 1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OPPE_V"/>
                <w:tag w:val="OPPE_V"/>
                <w:id w:val="1030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Indicator 2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OPPE_V_2"/>
                <w:tag w:val="OPPE_V_2"/>
                <w:id w:val="1031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Review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Qualifying peer reviews completed in period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REVIEW_COUNT"/>
                <w:tag w:val="REVIEW_COUNT"/>
                <w:id w:val="1032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Review floor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REVIEW_FLOOR"/>
                <w:tag w:val="REVIEW_FLOOR"/>
                <w:id w:val="1033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Cross-specialty reviews (not counted toward floor)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XSPEC_COUNT"/>
                <w:tag w:val="XSPEC_COUNT"/>
                <w:id w:val="1034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Standards assessed</w:t>
      </w:r>
    </w:p>
    <w:p>
      <w:sdt>
        <w:sdtPr>
          <w:rPr>
            <w:color w:val="A80000"/>
          </w:rPr>
          <w:alias w:val="STANDARDS_TABLE_OPPE"/>
          <w:tag w:val="STANDARDS_TABLE_OPPE"/>
          <w:id w:val="1035"/>
          <w:text/>
        </w:sdtPr>
        <w:sdtContent>
          <w:r>
            <w:rPr>
              <w:color w:val="A80000"/>
            </w:rPr>
            <w:t xml:space="preserve">[VERIFY] standards table</w:t>
          </w:r>
        </w:sdtContent>
      </w:sdt>
    </w:p>
    <w:p>
      <w:r>
        <w:rPr>
          <w:i/>
          <w:sz w:val="16"/>
        </w:rPr>
        <w:t>Standards in DRAFT-VALIDATE status are excluded from this document. They are answered during review and shown on the dashboard, but do not appear here until a Clinical Leader has validated them.</w:t>
      </w:r>
    </w:p>
    <w:p>
      <w:r>
        <w:rPr>
          <w:b/>
          <w:sz w:val="28"/>
        </w:rPr>
        <w:t>Endorsements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Stage</w:t>
            </w:r>
          </w:p>
        </w:tc>
        <w:tc>
          <w:tcPr>
            <w:tcW w:type="dxa" w:w="2160"/>
            <w:shd w:fill="D9D9D9"/>
          </w:tcPr>
          <w:p>
            <w:r>
              <w:t>Name</w:t>
            </w:r>
          </w:p>
        </w:tc>
        <w:tc>
          <w:tcPr>
            <w:tcW w:type="dxa" w:w="2160"/>
            <w:shd w:fill="D9D9D9"/>
          </w:tcPr>
          <w:p>
            <w:r>
              <w:t>Signature</w:t>
            </w:r>
          </w:p>
        </w:tc>
        <w:tc>
          <w:tcPr>
            <w:tcW w:type="dxa" w:w="2160"/>
            <w:shd w:fill="D9D9D9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Peer / Proctor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CRC Chair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Department Head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7A0F0F"/>
        <w:sz w:val="16"/>
      </w:rPr>
      <w:t>CUI // Medical Quality Assurance Program document protected pursuant to 10 U.S.C. § 1102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7A0F0F"/>
        <w:sz w:val="16"/>
      </w:rPr>
      <w:t>CUI // Medical Quality Assurance Program document protected pursuant to 10 U.S.C. § 1102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