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e-CAF Unified Data Sheet</w:t>
      </w:r>
    </w:p>
    <w:p>
      <w:r>
        <w:rPr>
          <w:i/>
          <w:sz w:val="16"/>
        </w:rPr>
        <w:t>Every mapped field in one place. Used to reconcile a provider's data before generating the individual products, and as the reconciliation target for the migration in docs/dry-run.md.</w:t>
      </w:r>
    </w:p>
    <w:p>
      <w:r>
        <w:rPr>
          <w:b/>
          <w:sz w:val="28"/>
        </w:rPr>
        <w:t>Provider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NAME"/>
                <w:tag w:val="PROVIDER_NAME"/>
                <w:id w:val="1047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Rank / Grade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RANK"/>
                <w:tag w:val="PROVIDER_RANK"/>
                <w:id w:val="1048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Specialty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SPECIALTY"/>
                <w:tag w:val="PROVIDER_SPECIALTY"/>
                <w:id w:val="1049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DEPARTMENT"/>
                <w:tag w:val="PROVIDER_DEPARTMENT"/>
                <w:id w:val="1050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Privileging status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PRIVSTATUS"/>
                <w:tag w:val="PROVIDER_PRIVSTATUS"/>
                <w:id w:val="1051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Review period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ERIOD_RANGE"/>
                <w:tag w:val="PERIOD_RANGE"/>
                <w:id w:val="1052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</w:tbl>
    <w:p/>
    <w:p>
      <w:r>
        <w:rPr>
          <w:b/>
          <w:sz w:val="28"/>
        </w:rPr>
        <w:t>All mapped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t>Token</w:t>
            </w:r>
          </w:p>
        </w:tc>
        <w:tc>
          <w:tcPr>
            <w:tcW w:type="dxa" w:w="2880"/>
            <w:shd w:fill="D9D9D9"/>
          </w:tcPr>
          <w:p>
            <w:r>
              <w:t>Feeds</w:t>
            </w:r>
          </w:p>
        </w:tc>
        <w:tc>
          <w:tcPr>
            <w:tcW w:type="dxa" w:w="2880"/>
            <w:shd w:fill="D9D9D9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FPPE-3E</w:t>
            </w:r>
          </w:p>
        </w:tc>
        <w:tc>
          <w:tcPr>
            <w:tcW w:type="dxa" w:w="2880"/>
          </w:tcPr>
          <w:p>
            <w:r>
              <w:t>FPPE 3.E medication use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FPPE_3E_U"/>
                <w:tag w:val="FPPE_3E_U"/>
                <w:id w:val="1053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FPPE-3F</w:t>
            </w:r>
          </w:p>
        </w:tc>
        <w:tc>
          <w:tcPr>
            <w:tcW w:type="dxa" w:w="2880"/>
          </w:tcPr>
          <w:p>
            <w:r>
              <w:t>FPPE 3.F scope of treatments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FPPE_3F_U"/>
                <w:tag w:val="FPPE_3F_U"/>
                <w:id w:val="1054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FPPE-3I</w:t>
            </w:r>
          </w:p>
        </w:tc>
        <w:tc>
          <w:tcPr>
            <w:tcW w:type="dxa" w:w="2880"/>
          </w:tcPr>
          <w:p>
            <w:r>
              <w:t>FPPE 3.I incomplete notes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FPPE_3I_U"/>
                <w:tag w:val="FPPE_3I_U"/>
                <w:id w:val="1055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FPPE-3J</w:t>
            </w:r>
          </w:p>
        </w:tc>
        <w:tc>
          <w:tcPr>
            <w:tcW w:type="dxa" w:w="2880"/>
          </w:tcPr>
          <w:p>
            <w:r>
              <w:t>FPPE 3.J blood use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FPPE_3J_U"/>
                <w:tag w:val="FPPE_3J_U"/>
                <w:id w:val="1056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FPPE-3L</w:t>
            </w:r>
          </w:p>
        </w:tc>
        <w:tc>
          <w:tcPr>
            <w:tcW w:type="dxa" w:w="2880"/>
          </w:tcPr>
          <w:p>
            <w:r>
              <w:t>FPPE 3.L reviews outside standard of care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FPPE_3L_U"/>
                <w:tag w:val="FPPE_3L_U"/>
                <w:id w:val="1057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FPPE-4-PC</w:t>
            </w:r>
          </w:p>
        </w:tc>
        <w:tc>
          <w:tcPr>
            <w:tcW w:type="dxa" w:w="2880"/>
          </w:tcPr>
          <w:p>
            <w:r>
              <w:t>FPPE 4 Patient Care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FPPE_4_PC_U"/>
                <w:tag w:val="FPPE_4_PC_U"/>
                <w:id w:val="1058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FPPE-4-PK</w:t>
            </w:r>
          </w:p>
        </w:tc>
        <w:tc>
          <w:tcPr>
            <w:tcW w:type="dxa" w:w="2880"/>
          </w:tcPr>
          <w:p>
            <w:r>
              <w:t>FPPE 4 Professional Knowledge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FPPE_4_PK_U"/>
                <w:tag w:val="FPPE_4_PK_U"/>
                <w:id w:val="1059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FPPE-4-PBLI</w:t>
            </w:r>
          </w:p>
        </w:tc>
        <w:tc>
          <w:tcPr>
            <w:tcW w:type="dxa" w:w="2880"/>
          </w:tcPr>
          <w:p>
            <w:r>
              <w:t>FPPE 4 Practice Based Learning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FPPE_4_PBLI_U"/>
                <w:tag w:val="FPPE_4_PBLI_U"/>
                <w:id w:val="1060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FPPE-4-ICS</w:t>
            </w:r>
          </w:p>
        </w:tc>
        <w:tc>
          <w:tcPr>
            <w:tcW w:type="dxa" w:w="2880"/>
          </w:tcPr>
          <w:p>
            <w:r>
              <w:t>FPPE 4 Interpersonal &amp; Communication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FPPE_4_ICS_U"/>
                <w:tag w:val="FPPE_4_ICS_U"/>
                <w:id w:val="1061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OPPE-IIIF</w:t>
            </w:r>
          </w:p>
        </w:tc>
        <w:tc>
          <w:tcPr>
            <w:tcW w:type="dxa" w:w="2880"/>
          </w:tcPr>
          <w:p>
            <w:r>
              <w:t>OPPE III.F incomplete notes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OPPE_IIIF_U"/>
                <w:tag w:val="OPPE_IIIF_U"/>
                <w:id w:val="1062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OPPE-IVD</w:t>
            </w:r>
          </w:p>
        </w:tc>
        <w:tc>
          <w:tcPr>
            <w:tcW w:type="dxa" w:w="2880"/>
          </w:tcPr>
          <w:p>
            <w:r>
              <w:t>OPPE IV.D blood use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OPPE_IVD_U"/>
                <w:tag w:val="OPPE_IVD_U"/>
                <w:id w:val="1063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OPPE-IVE</w:t>
            </w:r>
          </w:p>
        </w:tc>
        <w:tc>
          <w:tcPr>
            <w:tcW w:type="dxa" w:w="2880"/>
          </w:tcPr>
          <w:p>
            <w:r>
              <w:t>OPPE IV.E medication use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OPPE_IVE_U"/>
                <w:tag w:val="OPPE_IVE_U"/>
                <w:id w:val="1064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OPPE-IVF</w:t>
            </w:r>
          </w:p>
        </w:tc>
        <w:tc>
          <w:tcPr>
            <w:tcW w:type="dxa" w:w="2880"/>
          </w:tcPr>
          <w:p>
            <w:r>
              <w:t>OPPE IV.F record pertinence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OPPE_IVF_U"/>
                <w:tag w:val="OPPE_IVF_U"/>
                <w:id w:val="1065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OPPE-IVG</w:t>
            </w:r>
          </w:p>
        </w:tc>
        <w:tc>
          <w:tcPr>
            <w:tcW w:type="dxa" w:w="2880"/>
          </w:tcPr>
          <w:p>
            <w:r>
              <w:t>OPPE IV.G records reviewed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OPPE_IVG_U"/>
                <w:tag w:val="OPPE_IVG_U"/>
                <w:id w:val="1066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OPPE-IVH</w:t>
            </w:r>
          </w:p>
        </w:tc>
        <w:tc>
          <w:tcPr>
            <w:tcW w:type="dxa" w:w="2880"/>
          </w:tcPr>
          <w:p>
            <w:r>
              <w:t>OPPE IV.H records deficient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OPPE_IVH_U"/>
                <w:tag w:val="OPPE_IVH_U"/>
                <w:id w:val="1067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OPPE-V</w:t>
            </w:r>
          </w:p>
        </w:tc>
        <w:tc>
          <w:tcPr>
            <w:tcW w:type="dxa" w:w="2880"/>
          </w:tcPr>
          <w:p>
            <w:r>
              <w:t>OPPE V specialty indicator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OPPE_V_U"/>
                <w:tag w:val="OPPE_V_U"/>
                <w:id w:val="1068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455-I11:standardofcare</w:t>
            </w:r>
          </w:p>
        </w:tc>
        <w:tc>
          <w:tcPr>
            <w:tcW w:type="dxa" w:w="2880"/>
          </w:tcPr>
          <w:p>
            <w:r>
              <w:t>455 item 11 standard of care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C455_I11_standardofcare_U"/>
                <w:tag w:val="C455_I11_standardofcare_U"/>
                <w:id w:val="1069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455-I11:medication</w:t>
            </w:r>
          </w:p>
        </w:tc>
        <w:tc>
          <w:tcPr>
            <w:tcW w:type="dxa" w:w="2880"/>
          </w:tcPr>
          <w:p>
            <w:r>
              <w:t>455 item 11 medication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C455_I11_medication_U"/>
                <w:tag w:val="C455_I11_medication_U"/>
                <w:id w:val="1070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455-I11:blood</w:t>
            </w:r>
          </w:p>
        </w:tc>
        <w:tc>
          <w:tcPr>
            <w:tcW w:type="dxa" w:w="2880"/>
          </w:tcPr>
          <w:p>
            <w:r>
              <w:t>455 item 11 blood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C455_I11_blood_U"/>
                <w:tag w:val="C455_I11_blood_U"/>
                <w:id w:val="1071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455-I11:consults</w:t>
            </w:r>
          </w:p>
        </w:tc>
        <w:tc>
          <w:tcPr>
            <w:tcW w:type="dxa" w:w="2880"/>
          </w:tcPr>
          <w:p>
            <w:r>
              <w:t>455 item 11 consults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C455_I11_consults_U"/>
                <w:tag w:val="C455_I11_consults_U"/>
                <w:id w:val="1072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>455-I13</w:t>
            </w:r>
          </w:p>
        </w:tc>
        <w:tc>
          <w:tcPr>
            <w:tcW w:type="dxa" w:w="2880"/>
          </w:tcPr>
          <w:p>
            <w:r>
              <w:t>455 item 13 narrative</w:t>
            </w:r>
          </w:p>
        </w:tc>
        <w:tc>
          <w:tcPr>
            <w:tcW w:type="dxa" w:w="2880"/>
          </w:tcPr>
          <w:p>
            <w:sdt>
              <w:sdtPr>
                <w:rPr>
                  <w:color w:val="A80000"/>
                </w:rPr>
                <w:alias w:val="C455_I13_U"/>
                <w:tag w:val="C455_I13_U"/>
                <w:id w:val="1073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</w:tbl>
    <w:p/>
    <w:p>
      <w:r>
        <w:rPr>
          <w:i/>
          <w:sz w:val="16"/>
        </w:rPr>
        <w:t>DASH-ONLY standards appear on the cross-specialty dashboard and deliberately have no field here — they map to no 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7A0F0F"/>
        <w:sz w:val="16"/>
      </w:rPr>
      <w:t>CUI // Medical Quality Assurance Program document protected pursuant to 10 U.S.C. § 1102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7A0F0F"/>
        <w:sz w:val="16"/>
      </w:rPr>
      <w:t>CUI // Medical Quality Assurance Program document protected pursuant to 10 U.S.C. § 1102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