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E0F01" w14:textId="77777777" w:rsidR="00ED2472" w:rsidRPr="00ED2472" w:rsidRDefault="00ED2472" w:rsidP="00ED2472">
      <w:pPr>
        <w:spacing w:after="240" w:line="360" w:lineRule="auto"/>
        <w:jc w:val="center"/>
        <w:rPr>
          <w:rFonts w:ascii="Times New Roman" w:eastAsia="Times New Roman" w:hAnsi="Times New Roman" w:cs="Times New Roman"/>
          <w:b/>
        </w:rPr>
      </w:pPr>
      <w:r w:rsidRPr="00ED2472">
        <w:rPr>
          <w:rFonts w:ascii="Times New Roman" w:eastAsia="Times New Roman" w:hAnsi="Times New Roman" w:cs="Times New Roman"/>
          <w:b/>
        </w:rPr>
        <w:t>"Inclusión Financiera Digital a través de Criptomonedas en Bolivia: Un Enfoque desde la Construcción de Portafolios de Inversión"</w:t>
      </w:r>
    </w:p>
    <w:p w14:paraId="3B127AFF" w14:textId="77777777" w:rsidR="00ED2472" w:rsidRPr="00ED2472" w:rsidRDefault="00ED2472" w:rsidP="00ED2472">
      <w:pPr>
        <w:spacing w:after="240" w:line="360" w:lineRule="auto"/>
        <w:rPr>
          <w:rFonts w:ascii="Times New Roman" w:eastAsia="Times New Roman" w:hAnsi="Times New Roman" w:cs="Times New Roman"/>
        </w:rPr>
      </w:pPr>
    </w:p>
    <w:p w14:paraId="4F055630" w14:textId="77777777" w:rsidR="00ED2472" w:rsidRPr="00ED2472" w:rsidRDefault="00ED2472" w:rsidP="00ED2472">
      <w:pPr>
        <w:spacing w:after="240" w:line="360" w:lineRule="auto"/>
        <w:jc w:val="both"/>
        <w:rPr>
          <w:rFonts w:ascii="Times New Roman" w:eastAsia="Times New Roman" w:hAnsi="Times New Roman" w:cs="Times New Roman"/>
          <w:b/>
        </w:rPr>
      </w:pPr>
      <w:r w:rsidRPr="00ED2472">
        <w:rPr>
          <w:rFonts w:ascii="Times New Roman" w:eastAsia="Times New Roman" w:hAnsi="Times New Roman" w:cs="Times New Roman"/>
          <w:b/>
        </w:rPr>
        <w:t>Introducción</w:t>
      </w:r>
    </w:p>
    <w:p w14:paraId="1AC84934" w14:textId="77777777" w:rsidR="00ED2472" w:rsidRPr="00ED2472" w:rsidRDefault="00ED2472" w:rsidP="00ED2472">
      <w:pPr>
        <w:spacing w:after="240" w:line="360" w:lineRule="auto"/>
        <w:jc w:val="both"/>
        <w:rPr>
          <w:rFonts w:ascii="Times New Roman" w:eastAsia="Times New Roman" w:hAnsi="Times New Roman" w:cs="Times New Roman"/>
          <w:b/>
        </w:rPr>
      </w:pPr>
    </w:p>
    <w:p w14:paraId="10AD1A99" w14:textId="77777777" w:rsidR="00ED2472" w:rsidRPr="00ED2472" w:rsidRDefault="00ED2472" w:rsidP="00ED2472">
      <w:pPr>
        <w:spacing w:after="240" w:line="360" w:lineRule="auto"/>
        <w:jc w:val="both"/>
        <w:rPr>
          <w:rFonts w:ascii="Times New Roman" w:eastAsia="Times New Roman" w:hAnsi="Times New Roman" w:cs="Times New Roman"/>
        </w:rPr>
      </w:pPr>
      <w:r w:rsidRPr="00ED2472">
        <w:rPr>
          <w:rFonts w:ascii="Times New Roman" w:eastAsia="Times New Roman" w:hAnsi="Times New Roman" w:cs="Times New Roman"/>
        </w:rPr>
        <w:t>La inclusión financiera digital se convirtió en un factor crítico para el desarrollo económico y social al permitir que individuos y empresas accedan a servicios financieros de manera más eficiente y segura. En Bolivia, a pesar de los avances en infraestructura financiera, como la expansión de billeteras móviles, pagos electrónicos y transferencias digitales, todavía existen barreras significativas que limitan la participación de amplios sectores de la población. Entre estas barreras se incluyen la baja cobertura de sucursales bancarias en áreas rurales, la limitada educación financiera, las restricciones de ingresos y los costos asociados a los servicios financieros tradicionales. Estas limitaciones no solo dificultan el ahorro y la inversión, sino que también afectan la capacidad de los ciudadanos para integrarse plenamente en la economía formal y aprovechar las oportunidades económicas disponibles.</w:t>
      </w:r>
    </w:p>
    <w:p w14:paraId="5BE216BA" w14:textId="77777777" w:rsidR="00ED2472" w:rsidRPr="00ED2472" w:rsidRDefault="00ED2472" w:rsidP="00ED2472">
      <w:pPr>
        <w:spacing w:before="240" w:after="240" w:line="360" w:lineRule="auto"/>
        <w:jc w:val="both"/>
        <w:rPr>
          <w:rFonts w:ascii="Times New Roman" w:eastAsia="Times New Roman" w:hAnsi="Times New Roman" w:cs="Times New Roman"/>
        </w:rPr>
      </w:pPr>
      <w:r w:rsidRPr="00ED2472">
        <w:rPr>
          <w:rFonts w:ascii="Times New Roman" w:eastAsia="Times New Roman" w:hAnsi="Times New Roman" w:cs="Times New Roman"/>
        </w:rPr>
        <w:t>En este contexto, las criptomonedas aparecen como una alternativa que puede contribuir a superar algunas de estas barreras. La naturaleza digital de estos activos permite almacenar valor, realizar transferencias y participar en mercados financieros sin necesidad de infraestructura bancaria física, con costos de transacción reducidos y disponibilidad inmediata. Este aspecto es especialmente relevante en un país donde gran parte de la población vive en regiones alejadas de los centros urbanos y depende de actividades económicas informales. Asimismo, las criptomonedas pueden ofrecer mecanismos de ahorro y protección frente a la inflación, lo que representa un valor agregado en un contexto económico con volatilidad cambiaria o limitaciones en la oferta de servicios financieros tradicionales.</w:t>
      </w:r>
    </w:p>
    <w:p w14:paraId="0B8ED1CA" w14:textId="77777777" w:rsidR="00ED2472" w:rsidRPr="00ED2472" w:rsidRDefault="00ED2472" w:rsidP="00ED2472">
      <w:pPr>
        <w:spacing w:before="240" w:after="240" w:line="360" w:lineRule="auto"/>
        <w:jc w:val="both"/>
        <w:rPr>
          <w:rFonts w:ascii="Times New Roman" w:eastAsia="Times New Roman" w:hAnsi="Times New Roman" w:cs="Times New Roman"/>
        </w:rPr>
      </w:pPr>
      <w:r w:rsidRPr="00ED2472">
        <w:rPr>
          <w:rFonts w:ascii="Times New Roman" w:eastAsia="Times New Roman" w:hAnsi="Times New Roman" w:cs="Times New Roman"/>
        </w:rPr>
        <w:t xml:space="preserve">El desarrollo del mercado de criptomonedas en los últimos años sumado a la inestabilidad económica del país ha impulsado la necesidad de operar con criptomonedas en Bolivia. Esta evolución abre nuevas oportunidades para integrar los cripto activos dentro del sistema </w:t>
      </w:r>
      <w:r w:rsidRPr="00ED2472">
        <w:rPr>
          <w:rFonts w:ascii="Times New Roman" w:eastAsia="Times New Roman" w:hAnsi="Times New Roman" w:cs="Times New Roman"/>
        </w:rPr>
        <w:lastRenderedPageBreak/>
        <w:t>financiero formal, ofreciendo alternativas de inversión y ahorro que pueden adaptarse a las necesidades de distintos perfiles de usuarios. La existencia de plataformas reguladas garantiza que los activos sean confiables, reduciendo los riesgos asociados a la informalidad y brindando mayor seguridad para las personas.</w:t>
      </w:r>
    </w:p>
    <w:p w14:paraId="0112DB4C" w14:textId="77777777" w:rsidR="00ED2472" w:rsidRPr="00ED2472" w:rsidRDefault="00ED2472" w:rsidP="00ED2472">
      <w:pPr>
        <w:spacing w:before="240" w:after="240" w:line="360" w:lineRule="auto"/>
        <w:jc w:val="both"/>
        <w:rPr>
          <w:rFonts w:ascii="Times New Roman" w:eastAsia="Times New Roman" w:hAnsi="Times New Roman" w:cs="Times New Roman"/>
        </w:rPr>
      </w:pPr>
      <w:r w:rsidRPr="00ED2472">
        <w:rPr>
          <w:rFonts w:ascii="Times New Roman" w:eastAsia="Times New Roman" w:hAnsi="Times New Roman" w:cs="Times New Roman"/>
        </w:rPr>
        <w:t>Además, la adopción de criptomonedas tiene un componente educativo y cultural importante. A medida que los ciudadanos interactúan con activos digitales y plataformas de intercambio, desarrollan capacidades financieras y tecnológicas que pueden fortalecer su inclusión en la economía digital. Este proceso también puede incentivar la formalización de actividades económicas que históricamente se han desarrollado de manera informal, promoviendo la transparencia y la eficiencia en las transacciones financieras.</w:t>
      </w:r>
    </w:p>
    <w:p w14:paraId="4B73ACD4" w14:textId="77777777" w:rsidR="00ED2472" w:rsidRPr="00ED2472" w:rsidRDefault="00ED2472" w:rsidP="00ED2472">
      <w:pPr>
        <w:spacing w:before="240" w:after="240" w:line="360" w:lineRule="auto"/>
        <w:jc w:val="both"/>
        <w:rPr>
          <w:rFonts w:ascii="Times New Roman" w:eastAsia="Times New Roman" w:hAnsi="Times New Roman" w:cs="Times New Roman"/>
        </w:rPr>
      </w:pPr>
      <w:r w:rsidRPr="00ED2472">
        <w:rPr>
          <w:rFonts w:ascii="Times New Roman" w:eastAsia="Times New Roman" w:hAnsi="Times New Roman" w:cs="Times New Roman"/>
        </w:rPr>
        <w:t xml:space="preserve">La construcción de portafolios de inversión adaptados al contexto boliviano combina los principios de diversificación y gestión de riesgos propios de la teoría moderna de portafolios con las características específicas del mercado digital local. Este enfoque permite diseñar estrategias de inversión que optimicen el rendimiento esperado, minimicen riesgos y aseguren la participación de usuarios que, de otro modo, tendrían un acceso limitado a instrumentos financieros avanzados. La selección de criptomonedas ofrecidas por </w:t>
      </w:r>
      <w:proofErr w:type="spellStart"/>
      <w:r w:rsidRPr="00ED2472">
        <w:rPr>
          <w:rFonts w:ascii="Times New Roman" w:eastAsia="Times New Roman" w:hAnsi="Times New Roman" w:cs="Times New Roman"/>
        </w:rPr>
        <w:t>exchanges</w:t>
      </w:r>
      <w:proofErr w:type="spellEnd"/>
      <w:r w:rsidRPr="00ED2472">
        <w:rPr>
          <w:rFonts w:ascii="Times New Roman" w:eastAsia="Times New Roman" w:hAnsi="Times New Roman" w:cs="Times New Roman"/>
        </w:rPr>
        <w:t xml:space="preserve"> autorizados asegura que los portafolios sean viables y alineados con la normativa nacional, generando confianza y facilitando la adopción de activos digitales por parte de la población.</w:t>
      </w:r>
    </w:p>
    <w:p w14:paraId="2FBA2007" w14:textId="77777777" w:rsidR="00ED2472" w:rsidRPr="00ED2472" w:rsidRDefault="00ED2472" w:rsidP="00ED2472">
      <w:pPr>
        <w:spacing w:before="240" w:after="240" w:line="360" w:lineRule="auto"/>
        <w:jc w:val="both"/>
        <w:rPr>
          <w:rFonts w:ascii="Times New Roman" w:eastAsia="Times New Roman" w:hAnsi="Times New Roman" w:cs="Times New Roman"/>
        </w:rPr>
      </w:pPr>
      <w:r w:rsidRPr="00ED2472">
        <w:rPr>
          <w:rFonts w:ascii="Times New Roman" w:eastAsia="Times New Roman" w:hAnsi="Times New Roman" w:cs="Times New Roman"/>
        </w:rPr>
        <w:t>Esta convergencia entre inclusión financiera digital y criptomonedas representa una oportunidad para expandir el acceso a servicios financieros, mejorar la educación económica y promover la integración de sectores marginados en la economía formal. La construcción de portafolios de inversión basados en criptomonedas reguladas no sólo tiene implicaciones financieras, sino también sociales, al permitir que los ciudadanos participen de manera más activa en la economía digital, diversifiquen sus activos y fortalezcan su autonomía económica. Desde este enfoque se pretende ofrecer un marco analítico para comprender cómo los cripto activos pueden contribuir a un sistema financiero más inclusivo en Bolivia, y proporciona una base para la formulación de una estrategia de inversión y educación financiera orientadas a potenciar la participación de toda la población.</w:t>
      </w:r>
    </w:p>
    <w:p w14:paraId="126B77C6" w14:textId="77777777" w:rsidR="00ED2472" w:rsidRPr="00ED2472" w:rsidRDefault="00ED2472" w:rsidP="00ED2472">
      <w:pPr>
        <w:spacing w:before="240" w:after="240" w:line="360" w:lineRule="auto"/>
        <w:jc w:val="both"/>
        <w:rPr>
          <w:rFonts w:ascii="Times New Roman" w:eastAsia="Times New Roman" w:hAnsi="Times New Roman" w:cs="Times New Roman"/>
        </w:rPr>
      </w:pPr>
      <w:r w:rsidRPr="00ED2472">
        <w:rPr>
          <w:rFonts w:ascii="Times New Roman" w:eastAsia="Times New Roman" w:hAnsi="Times New Roman" w:cs="Times New Roman"/>
        </w:rPr>
        <w:lastRenderedPageBreak/>
        <w:t xml:space="preserve">Tomando de este modo y abordando de manera sistemática la selección y evaluación de las criptomonedas disponibles en </w:t>
      </w:r>
      <w:proofErr w:type="spellStart"/>
      <w:r w:rsidRPr="00ED2472">
        <w:rPr>
          <w:rFonts w:ascii="Times New Roman" w:eastAsia="Times New Roman" w:hAnsi="Times New Roman" w:cs="Times New Roman"/>
        </w:rPr>
        <w:t>exchanges</w:t>
      </w:r>
      <w:proofErr w:type="spellEnd"/>
      <w:r w:rsidRPr="00ED2472">
        <w:rPr>
          <w:rFonts w:ascii="Times New Roman" w:eastAsia="Times New Roman" w:hAnsi="Times New Roman" w:cs="Times New Roman"/>
        </w:rPr>
        <w:t xml:space="preserve"> que operan en el país, identificando aquellas que pueden adquirirse y que son de fácil acceso. La construcción de portafolios en este contexto no solo permite analizar la diversificación y el comportamiento de los activos digitales, sino que también ofrece un instrumento práctico para evaluar cómo las criptomonedas pueden contribuir de manera tangible a la inclusión financiera de individuos con acceso limitado a servicios tradicionales. </w:t>
      </w:r>
    </w:p>
    <w:p w14:paraId="090CF267" w14:textId="77777777" w:rsidR="00ED2472" w:rsidRPr="00ED2472" w:rsidRDefault="00ED2472" w:rsidP="00ED2472">
      <w:pPr>
        <w:spacing w:before="100" w:beforeAutospacing="1" w:after="240" w:line="360" w:lineRule="auto"/>
        <w:jc w:val="both"/>
        <w:outlineLvl w:val="1"/>
        <w:rPr>
          <w:rFonts w:ascii="Times New Roman" w:eastAsia="Times New Roman" w:hAnsi="Times New Roman" w:cs="Times New Roman"/>
          <w:b/>
          <w:bCs/>
          <w:kern w:val="0"/>
          <w:lang w:eastAsia="es-MX"/>
          <w14:ligatures w14:val="none"/>
        </w:rPr>
      </w:pPr>
    </w:p>
    <w:p w14:paraId="56E05A8A" w14:textId="77777777" w:rsidR="00ED2472" w:rsidRPr="00ED2472" w:rsidRDefault="00ED2472" w:rsidP="00ED2472">
      <w:pPr>
        <w:spacing w:before="100" w:beforeAutospacing="1" w:after="240" w:line="360" w:lineRule="auto"/>
        <w:jc w:val="both"/>
        <w:outlineLvl w:val="1"/>
        <w:rPr>
          <w:rFonts w:ascii="Times New Roman" w:eastAsia="Times New Roman" w:hAnsi="Times New Roman" w:cs="Times New Roman"/>
          <w:b/>
          <w:bCs/>
          <w:kern w:val="0"/>
          <w:lang w:eastAsia="es-MX"/>
          <w14:ligatures w14:val="none"/>
        </w:rPr>
      </w:pPr>
    </w:p>
    <w:p w14:paraId="45DA25C4" w14:textId="50BBFCDC" w:rsidR="00ED2472" w:rsidRPr="00ED2472" w:rsidRDefault="00ED2472" w:rsidP="00ED2472">
      <w:pPr>
        <w:spacing w:before="100" w:beforeAutospacing="1" w:after="240" w:line="360" w:lineRule="auto"/>
        <w:jc w:val="both"/>
        <w:outlineLvl w:val="1"/>
        <w:rPr>
          <w:rFonts w:ascii="Times New Roman" w:eastAsia="Times New Roman" w:hAnsi="Times New Roman" w:cs="Times New Roman"/>
          <w:b/>
          <w:bCs/>
          <w:kern w:val="0"/>
          <w:lang w:eastAsia="es-MX"/>
          <w14:ligatures w14:val="none"/>
        </w:rPr>
      </w:pPr>
      <w:r w:rsidRPr="00ED2472">
        <w:rPr>
          <w:rFonts w:ascii="Times New Roman" w:eastAsia="Times New Roman" w:hAnsi="Times New Roman" w:cs="Times New Roman"/>
          <w:b/>
          <w:bCs/>
          <w:kern w:val="0"/>
          <w:lang w:eastAsia="es-MX"/>
          <w14:ligatures w14:val="none"/>
        </w:rPr>
        <w:t>1. Inclusión Financiera</w:t>
      </w:r>
    </w:p>
    <w:p w14:paraId="5CE7AA44"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La inclusión financiera se define como el acceso efectivo, uso sostenido y calidad percibida de los servicios financieros por parte de todos los segmentos de la población, especialmente aquellos históricamente excluidos del sistema bancario formal. Este concepto, impulsado por organismos como el Banco Mundial y la Alianza para la Inclusión Financiera (AFI), abarca no solo la disponibilidad de servicios bancarios tradicionales, sino también la capacidad de las personas para utilizarlos de manera segura, asequible y conveniente (AFI, 2024). En este sentido, la inclusión financiera es un elemento clave del desarrollo económico, ya que promueve el ahorro, el acceso al crédito, la inversión productiva y la reducción de la desigualdad.</w:t>
      </w:r>
    </w:p>
    <w:p w14:paraId="3E7BD948"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En el contexto boliviano, los avances en inclusión financiera han sido significativos durante la última década, aunque persisten brechas estructurales importantes. Según el </w:t>
      </w:r>
      <w:r w:rsidRPr="00ED2472">
        <w:rPr>
          <w:rFonts w:ascii="Times New Roman" w:eastAsia="Times New Roman" w:hAnsi="Times New Roman" w:cs="Times New Roman"/>
          <w:b/>
          <w:bCs/>
          <w:kern w:val="0"/>
          <w:lang w:eastAsia="es-MX"/>
          <w14:ligatures w14:val="none"/>
        </w:rPr>
        <w:t>Índice de Inclusión Financiera de Credicorp (2024)</w:t>
      </w:r>
      <w:r w:rsidRPr="00ED2472">
        <w:rPr>
          <w:rFonts w:ascii="Times New Roman" w:eastAsia="Times New Roman" w:hAnsi="Times New Roman" w:cs="Times New Roman"/>
          <w:kern w:val="0"/>
          <w:lang w:eastAsia="es-MX"/>
          <w14:ligatures w14:val="none"/>
        </w:rPr>
        <w:t xml:space="preserve">, Bolivia mejoró su puntaje de 40,4 a 43,7 puntos entre 2023 y 2024, superando a países como México en el ranking regional. Este progreso se asocia al crecimiento del uso de billeteras digitales, que pasó de un 20 % de usuarios frecuentes en 2023 a un 45 % en 2024 (Agencia Boliviana de Información [ABI], 2024). Asimismo, la </w:t>
      </w:r>
      <w:r w:rsidRPr="00ED2472">
        <w:rPr>
          <w:rFonts w:ascii="Times New Roman" w:eastAsia="Times New Roman" w:hAnsi="Times New Roman" w:cs="Times New Roman"/>
          <w:b/>
          <w:bCs/>
          <w:kern w:val="0"/>
          <w:lang w:eastAsia="es-MX"/>
          <w14:ligatures w14:val="none"/>
        </w:rPr>
        <w:t>Asociación de Bancos Privados de Bolivia (ASOBAN)</w:t>
      </w:r>
      <w:r w:rsidRPr="00ED2472">
        <w:rPr>
          <w:rFonts w:ascii="Times New Roman" w:eastAsia="Times New Roman" w:hAnsi="Times New Roman" w:cs="Times New Roman"/>
          <w:kern w:val="0"/>
          <w:lang w:eastAsia="es-MX"/>
          <w14:ligatures w14:val="none"/>
        </w:rPr>
        <w:t xml:space="preserve"> reportó un incremento del 93 % en las transferencias electrónicas interbancarias durante el primer semestre de 2023 </w:t>
      </w:r>
      <w:r w:rsidRPr="00ED2472">
        <w:rPr>
          <w:rFonts w:ascii="Times New Roman" w:eastAsia="Times New Roman" w:hAnsi="Times New Roman" w:cs="Times New Roman"/>
          <w:kern w:val="0"/>
          <w:lang w:eastAsia="es-MX"/>
          <w14:ligatures w14:val="none"/>
        </w:rPr>
        <w:lastRenderedPageBreak/>
        <w:t>en comparación con el año anterior, lo que refleja una rápida adopción de los canales digitales (Bolivia Emprende, 2023).</w:t>
      </w:r>
    </w:p>
    <w:p w14:paraId="304B6C2F"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Pese a estos avances, Bolivia sigue enfrentando limitaciones en términos de acceso y uso de servicios financieros, especialmente en zonas rurales y de bajos ingresos. Factores como la insuficiente educación financiera, las brechas de conectividad digital y la baja densidad de infraestructura bancaria limitan el alcance de la inclusión financiera plena. Además, persisten </w:t>
      </w:r>
      <w:r w:rsidRPr="00ED2472">
        <w:rPr>
          <w:rFonts w:ascii="Times New Roman" w:eastAsia="Times New Roman" w:hAnsi="Times New Roman" w:cs="Times New Roman"/>
          <w:b/>
          <w:bCs/>
          <w:kern w:val="0"/>
          <w:lang w:eastAsia="es-MX"/>
          <w14:ligatures w14:val="none"/>
        </w:rPr>
        <w:t>desigualdades de género</w:t>
      </w:r>
      <w:r w:rsidRPr="00ED2472">
        <w:rPr>
          <w:rFonts w:ascii="Times New Roman" w:eastAsia="Times New Roman" w:hAnsi="Times New Roman" w:cs="Times New Roman"/>
          <w:kern w:val="0"/>
          <w:lang w:eastAsia="es-MX"/>
          <w14:ligatures w14:val="none"/>
        </w:rPr>
        <w:t>: las mujeres bolivianas presentan menores tasas de tenencia de cuentas bancarias y de acceso a crédito, tanto en el sistema financiero formal como en plataformas digitales (El País, 2024). Estas brechas reflejan no solo diferencias socioeconómicas, sino también un menor nivel de confianza y familiaridad con los servicios digitales.</w:t>
      </w:r>
    </w:p>
    <w:p w14:paraId="5882166C"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En este contexto, la </w:t>
      </w:r>
      <w:r w:rsidRPr="00ED2472">
        <w:rPr>
          <w:rFonts w:ascii="Times New Roman" w:eastAsia="Times New Roman" w:hAnsi="Times New Roman" w:cs="Times New Roman"/>
          <w:b/>
          <w:bCs/>
          <w:kern w:val="0"/>
          <w:lang w:eastAsia="es-MX"/>
          <w14:ligatures w14:val="none"/>
        </w:rPr>
        <w:t>Ley de Servicios Financieros N.º 393</w:t>
      </w:r>
      <w:r w:rsidRPr="00ED2472">
        <w:rPr>
          <w:rFonts w:ascii="Times New Roman" w:eastAsia="Times New Roman" w:hAnsi="Times New Roman" w:cs="Times New Roman"/>
          <w:kern w:val="0"/>
          <w:lang w:eastAsia="es-MX"/>
          <w14:ligatures w14:val="none"/>
        </w:rPr>
        <w:t xml:space="preserve"> ha desempeñado un papel central al establecer un marco normativo orientado a democratizar el acceso a los servicios financieros y promover la digitalización del sistema (Universidad Mayor de San Andrés [UMSA], 2022). Gracias a esta ley y a las innovaciones impulsadas por la banca —como los códigos QR, las transferencias instantáneas y las billeteras móviles—, se ha logrado reducir parcialmente las barreras de acceso y fomentar el uso de instrumentos financieros modernos (ABI, 2023). Sin embargo, como advierte </w:t>
      </w:r>
      <w:r w:rsidRPr="00ED2472">
        <w:rPr>
          <w:rFonts w:ascii="Times New Roman" w:eastAsia="Times New Roman" w:hAnsi="Times New Roman" w:cs="Times New Roman"/>
          <w:b/>
          <w:bCs/>
          <w:kern w:val="0"/>
          <w:lang w:eastAsia="es-MX"/>
          <w14:ligatures w14:val="none"/>
        </w:rPr>
        <w:t>Ramos Vidaurre (2024)</w:t>
      </w:r>
      <w:r w:rsidRPr="00ED2472">
        <w:rPr>
          <w:rFonts w:ascii="Times New Roman" w:eastAsia="Times New Roman" w:hAnsi="Times New Roman" w:cs="Times New Roman"/>
          <w:kern w:val="0"/>
          <w:lang w:eastAsia="es-MX"/>
          <w14:ligatures w14:val="none"/>
        </w:rPr>
        <w:t>, la relación entre inclusión financiera y desarrollo económico aún depende de la consolidación de políticas que garanticen el acceso equitativo y la educación financiera en todos los niveles de la población.</w:t>
      </w:r>
    </w:p>
    <w:p w14:paraId="11A314CA"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La evidencia empírica boliviana muestra que un mayor acceso a servicios financieros está asociado con un incremento en los indicadores de bienestar económico. </w:t>
      </w:r>
      <w:proofErr w:type="spellStart"/>
      <w:r w:rsidRPr="00ED2472">
        <w:rPr>
          <w:rFonts w:ascii="Times New Roman" w:eastAsia="Times New Roman" w:hAnsi="Times New Roman" w:cs="Times New Roman"/>
          <w:b/>
          <w:bCs/>
          <w:kern w:val="0"/>
          <w:lang w:eastAsia="es-MX"/>
          <w14:ligatures w14:val="none"/>
        </w:rPr>
        <w:t>Céspedes</w:t>
      </w:r>
      <w:proofErr w:type="spellEnd"/>
      <w:r w:rsidRPr="00ED2472">
        <w:rPr>
          <w:rFonts w:ascii="Times New Roman" w:eastAsia="Times New Roman" w:hAnsi="Times New Roman" w:cs="Times New Roman"/>
          <w:b/>
          <w:bCs/>
          <w:kern w:val="0"/>
          <w:lang w:eastAsia="es-MX"/>
          <w14:ligatures w14:val="none"/>
        </w:rPr>
        <w:t xml:space="preserve">, </w:t>
      </w:r>
      <w:proofErr w:type="spellStart"/>
      <w:r w:rsidRPr="00ED2472">
        <w:rPr>
          <w:rFonts w:ascii="Times New Roman" w:eastAsia="Times New Roman" w:hAnsi="Times New Roman" w:cs="Times New Roman"/>
          <w:b/>
          <w:bCs/>
          <w:kern w:val="0"/>
          <w:lang w:eastAsia="es-MX"/>
          <w14:ligatures w14:val="none"/>
        </w:rPr>
        <w:t>Cossio</w:t>
      </w:r>
      <w:proofErr w:type="spellEnd"/>
      <w:r w:rsidRPr="00ED2472">
        <w:rPr>
          <w:rFonts w:ascii="Times New Roman" w:eastAsia="Times New Roman" w:hAnsi="Times New Roman" w:cs="Times New Roman"/>
          <w:b/>
          <w:bCs/>
          <w:kern w:val="0"/>
          <w:lang w:eastAsia="es-MX"/>
          <w14:ligatures w14:val="none"/>
        </w:rPr>
        <w:t xml:space="preserve"> y Calle (2018)</w:t>
      </w:r>
      <w:r w:rsidRPr="00ED2472">
        <w:rPr>
          <w:rFonts w:ascii="Times New Roman" w:eastAsia="Times New Roman" w:hAnsi="Times New Roman" w:cs="Times New Roman"/>
          <w:kern w:val="0"/>
          <w:lang w:eastAsia="es-MX"/>
          <w14:ligatures w14:val="none"/>
        </w:rPr>
        <w:t xml:space="preserve"> destacan que las políticas orientadas a ampliar la cobertura financiera han contribuido significativamente a la reducción de la pobreza moderada y extrema, especialmente tras 2005. Asimismo, </w:t>
      </w:r>
      <w:r w:rsidRPr="00ED2472">
        <w:rPr>
          <w:rFonts w:ascii="Times New Roman" w:eastAsia="Times New Roman" w:hAnsi="Times New Roman" w:cs="Times New Roman"/>
          <w:b/>
          <w:bCs/>
          <w:kern w:val="0"/>
          <w:lang w:eastAsia="es-MX"/>
          <w14:ligatures w14:val="none"/>
        </w:rPr>
        <w:t>Quispe Condori (2022)</w:t>
      </w:r>
      <w:r w:rsidRPr="00ED2472">
        <w:rPr>
          <w:rFonts w:ascii="Times New Roman" w:eastAsia="Times New Roman" w:hAnsi="Times New Roman" w:cs="Times New Roman"/>
          <w:kern w:val="0"/>
          <w:lang w:eastAsia="es-MX"/>
          <w14:ligatures w14:val="none"/>
        </w:rPr>
        <w:t xml:space="preserve"> y </w:t>
      </w:r>
      <w:r w:rsidRPr="00ED2472">
        <w:rPr>
          <w:rFonts w:ascii="Times New Roman" w:eastAsia="Times New Roman" w:hAnsi="Times New Roman" w:cs="Times New Roman"/>
          <w:b/>
          <w:bCs/>
          <w:kern w:val="0"/>
          <w:lang w:eastAsia="es-MX"/>
          <w14:ligatures w14:val="none"/>
        </w:rPr>
        <w:t>Rocha Miranda (2018)</w:t>
      </w:r>
      <w:r w:rsidRPr="00ED2472">
        <w:rPr>
          <w:rFonts w:ascii="Times New Roman" w:eastAsia="Times New Roman" w:hAnsi="Times New Roman" w:cs="Times New Roman"/>
          <w:kern w:val="0"/>
          <w:lang w:eastAsia="es-MX"/>
          <w14:ligatures w14:val="none"/>
        </w:rPr>
        <w:t xml:space="preserve"> identifican que factores como los ingresos per cápita, la educación y la experiencia laboral influyen directamente en la probabilidad de inclusión financiera, evidenciando que la educación y la estabilidad económica son determinantes cruciales.</w:t>
      </w:r>
    </w:p>
    <w:p w14:paraId="38613DE9"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lastRenderedPageBreak/>
        <w:t>En síntesis, la inclusión financiera en Bolivia ha avanzado notablemente en los últimos años, impulsada por la digitalización, la normativa moderna y la expansión del acceso tecnológico. No obstante, las desigualdades persistentes en el uso, la educación financiera y la confianza digital muestran que aún existen desafíos estructurales. Este panorama plantea la necesidad de buscar instrumentos complementarios —como las criptomonedas y otros activos digitales— que puedan ampliar el alcance de la inclusión, especialmente en comunidades marginadas o con limitada infraestructura bancaria.</w:t>
      </w:r>
    </w:p>
    <w:p w14:paraId="505036A3" w14:textId="77777777" w:rsidR="00ED2472" w:rsidRPr="00ED2472" w:rsidRDefault="00ED2472" w:rsidP="00ED2472">
      <w:pPr>
        <w:spacing w:before="100" w:beforeAutospacing="1" w:after="240" w:line="360" w:lineRule="auto"/>
        <w:jc w:val="both"/>
        <w:outlineLvl w:val="1"/>
        <w:rPr>
          <w:rFonts w:ascii="Times New Roman" w:eastAsia="Times New Roman" w:hAnsi="Times New Roman" w:cs="Times New Roman"/>
          <w:b/>
          <w:bCs/>
          <w:kern w:val="0"/>
          <w:lang w:eastAsia="es-MX"/>
          <w14:ligatures w14:val="none"/>
        </w:rPr>
      </w:pPr>
      <w:r w:rsidRPr="00ED2472">
        <w:rPr>
          <w:rFonts w:ascii="Times New Roman" w:eastAsia="Times New Roman" w:hAnsi="Times New Roman" w:cs="Times New Roman"/>
          <w:b/>
          <w:bCs/>
          <w:kern w:val="0"/>
          <w:lang w:eastAsia="es-MX"/>
          <w14:ligatures w14:val="none"/>
        </w:rPr>
        <w:t>2. El Rol de las Criptomonedas en la Inclusión Financiera</w:t>
      </w:r>
    </w:p>
    <w:p w14:paraId="304CFD08"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Las criptomonedas han emergido como un fenómeno financiero global con el potencial de transformar los mecanismos de acceso, uso y provisión de servicios financieros. Su naturaleza descentralizada y digital permite realizar transacciones, almacenar valor e incluso acceder a productos de inversión sin la necesidad de intermediarios financieros tradicionales. Este rasgo las convierte en una herramienta potencialmente inclusiva, especialmente para poblaciones que se encuentran fuera del alcance del sistema bancario formal (BID &amp; Cambridge Centre </w:t>
      </w:r>
      <w:proofErr w:type="spellStart"/>
      <w:r w:rsidRPr="00ED2472">
        <w:rPr>
          <w:rFonts w:ascii="Times New Roman" w:eastAsia="Times New Roman" w:hAnsi="Times New Roman" w:cs="Times New Roman"/>
          <w:kern w:val="0"/>
          <w:lang w:eastAsia="es-MX"/>
          <w14:ligatures w14:val="none"/>
        </w:rPr>
        <w:t>for</w:t>
      </w:r>
      <w:proofErr w:type="spellEnd"/>
      <w:r w:rsidRPr="00ED2472">
        <w:rPr>
          <w:rFonts w:ascii="Times New Roman" w:eastAsia="Times New Roman" w:hAnsi="Times New Roman" w:cs="Times New Roman"/>
          <w:kern w:val="0"/>
          <w:lang w:eastAsia="es-MX"/>
          <w14:ligatures w14:val="none"/>
        </w:rPr>
        <w:t xml:space="preserve"> Alternative </w:t>
      </w:r>
      <w:proofErr w:type="spellStart"/>
      <w:r w:rsidRPr="00ED2472">
        <w:rPr>
          <w:rFonts w:ascii="Times New Roman" w:eastAsia="Times New Roman" w:hAnsi="Times New Roman" w:cs="Times New Roman"/>
          <w:kern w:val="0"/>
          <w:lang w:eastAsia="es-MX"/>
          <w14:ligatures w14:val="none"/>
        </w:rPr>
        <w:t>Finance</w:t>
      </w:r>
      <w:proofErr w:type="spellEnd"/>
      <w:r w:rsidRPr="00ED2472">
        <w:rPr>
          <w:rFonts w:ascii="Times New Roman" w:eastAsia="Times New Roman" w:hAnsi="Times New Roman" w:cs="Times New Roman"/>
          <w:kern w:val="0"/>
          <w:lang w:eastAsia="es-MX"/>
          <w14:ligatures w14:val="none"/>
        </w:rPr>
        <w:t xml:space="preserve"> [CCAF], 2022).</w:t>
      </w:r>
    </w:p>
    <w:p w14:paraId="1493F260"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En regiones con bajos niveles de bancarización, como América Latina, las criptomonedas representan una vía alternativa para reducir los costos de transacción y mejorar la eficiencia de los pagos digitales. De acuerdo con la </w:t>
      </w:r>
      <w:r w:rsidRPr="00ED2472">
        <w:rPr>
          <w:rFonts w:ascii="Times New Roman" w:eastAsia="Times New Roman" w:hAnsi="Times New Roman" w:cs="Times New Roman"/>
          <w:b/>
          <w:bCs/>
          <w:kern w:val="0"/>
          <w:lang w:eastAsia="es-MX"/>
          <w14:ligatures w14:val="none"/>
        </w:rPr>
        <w:t>Alianza para la Inclusión Financiera (AFI, 2024)</w:t>
      </w:r>
      <w:r w:rsidRPr="00ED2472">
        <w:rPr>
          <w:rFonts w:ascii="Times New Roman" w:eastAsia="Times New Roman" w:hAnsi="Times New Roman" w:cs="Times New Roman"/>
          <w:kern w:val="0"/>
          <w:lang w:eastAsia="es-MX"/>
          <w14:ligatures w14:val="none"/>
        </w:rPr>
        <w:t xml:space="preserve">, los activos virtuales pueden complementar las políticas públicas de inclusión financiera al ofrecer soluciones digitales seguras, rápidas y de bajo costo, siempre que estén acompañadas por marcos regulatorios adecuados. En este sentido, la tecnología </w:t>
      </w:r>
      <w:proofErr w:type="spellStart"/>
      <w:r w:rsidRPr="00ED2472">
        <w:rPr>
          <w:rFonts w:ascii="Times New Roman" w:eastAsia="Times New Roman" w:hAnsi="Times New Roman" w:cs="Times New Roman"/>
          <w:kern w:val="0"/>
          <w:lang w:eastAsia="es-MX"/>
          <w14:ligatures w14:val="none"/>
        </w:rPr>
        <w:t>blockchain</w:t>
      </w:r>
      <w:proofErr w:type="spellEnd"/>
      <w:r w:rsidRPr="00ED2472">
        <w:rPr>
          <w:rFonts w:ascii="Times New Roman" w:eastAsia="Times New Roman" w:hAnsi="Times New Roman" w:cs="Times New Roman"/>
          <w:kern w:val="0"/>
          <w:lang w:eastAsia="es-MX"/>
          <w14:ligatures w14:val="none"/>
        </w:rPr>
        <w:t xml:space="preserve"> —base de las criptomonedas— no solo permite registrar y verificar transacciones de manera transparente, sino que también posibilita el acceso a servicios financieros sin depender de la infraestructura física bancaria, lo que es particularmente relevante para áreas rurales o comunidades de bajos recursos.</w:t>
      </w:r>
    </w:p>
    <w:p w14:paraId="0AC617E2"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A nivel regional, la adopción de criptomonedas ha mostrado un crecimiento constante impulsado por la búsqueda de alternativas al sistema financiero tradicional. Según el estudio del </w:t>
      </w:r>
      <w:r w:rsidRPr="00ED2472">
        <w:rPr>
          <w:rFonts w:ascii="Times New Roman" w:eastAsia="Times New Roman" w:hAnsi="Times New Roman" w:cs="Times New Roman"/>
          <w:b/>
          <w:bCs/>
          <w:kern w:val="0"/>
          <w:lang w:eastAsia="es-MX"/>
          <w14:ligatures w14:val="none"/>
        </w:rPr>
        <w:t>BID y el CCAF (2022)</w:t>
      </w:r>
      <w:r w:rsidRPr="00ED2472">
        <w:rPr>
          <w:rFonts w:ascii="Times New Roman" w:eastAsia="Times New Roman" w:hAnsi="Times New Roman" w:cs="Times New Roman"/>
          <w:kern w:val="0"/>
          <w:lang w:eastAsia="es-MX"/>
          <w14:ligatures w14:val="none"/>
        </w:rPr>
        <w:t xml:space="preserve">, desde 2016 el número de empresas dedicadas a servicios vinculados con criptomonedas se duplicó en América Latina y el Caribe, alcanzando más de </w:t>
      </w:r>
      <w:r w:rsidRPr="00ED2472">
        <w:rPr>
          <w:rFonts w:ascii="Times New Roman" w:eastAsia="Times New Roman" w:hAnsi="Times New Roman" w:cs="Times New Roman"/>
          <w:kern w:val="0"/>
          <w:lang w:eastAsia="es-MX"/>
          <w14:ligatures w14:val="none"/>
        </w:rPr>
        <w:lastRenderedPageBreak/>
        <w:t>170 en 2022. Este crecimiento refleja una demanda creciente de servicios financieros más accesibles y menos costosos, así como una transformación cultural hacia la digitalización del dinero.</w:t>
      </w:r>
    </w:p>
    <w:p w14:paraId="6C8EE5C2"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Las criptomonedas ofrecen ventajas específicas que pueden fortalecer la inclusión financiera:</w:t>
      </w:r>
    </w:p>
    <w:p w14:paraId="41112735" w14:textId="77777777" w:rsidR="00ED2472" w:rsidRPr="00ED2472" w:rsidRDefault="00ED2472" w:rsidP="00ED2472">
      <w:pPr>
        <w:numPr>
          <w:ilvl w:val="0"/>
          <w:numId w:val="1"/>
        </w:num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b/>
          <w:bCs/>
          <w:kern w:val="0"/>
          <w:lang w:eastAsia="es-MX"/>
          <w14:ligatures w14:val="none"/>
        </w:rPr>
        <w:t>Reducción de barreras de acceso</w:t>
      </w:r>
      <w:r w:rsidRPr="00ED2472">
        <w:rPr>
          <w:rFonts w:ascii="Times New Roman" w:eastAsia="Times New Roman" w:hAnsi="Times New Roman" w:cs="Times New Roman"/>
          <w:kern w:val="0"/>
          <w:lang w:eastAsia="es-MX"/>
          <w14:ligatures w14:val="none"/>
        </w:rPr>
        <w:t>, ya que solo se requiere conexión a internet y una billetera digital.</w:t>
      </w:r>
    </w:p>
    <w:p w14:paraId="4A19ED1A" w14:textId="77777777" w:rsidR="00ED2472" w:rsidRPr="00ED2472" w:rsidRDefault="00ED2472" w:rsidP="00ED2472">
      <w:pPr>
        <w:numPr>
          <w:ilvl w:val="0"/>
          <w:numId w:val="1"/>
        </w:num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b/>
          <w:bCs/>
          <w:kern w:val="0"/>
          <w:lang w:eastAsia="es-MX"/>
          <w14:ligatures w14:val="none"/>
        </w:rPr>
        <w:t>Disminución de costos de transacción</w:t>
      </w:r>
      <w:r w:rsidRPr="00ED2472">
        <w:rPr>
          <w:rFonts w:ascii="Times New Roman" w:eastAsia="Times New Roman" w:hAnsi="Times New Roman" w:cs="Times New Roman"/>
          <w:kern w:val="0"/>
          <w:lang w:eastAsia="es-MX"/>
          <w14:ligatures w14:val="none"/>
        </w:rPr>
        <w:t>, al eliminar intermediarios y reducir comisiones.</w:t>
      </w:r>
    </w:p>
    <w:p w14:paraId="5FA9D7E8" w14:textId="77777777" w:rsidR="00ED2472" w:rsidRPr="00ED2472" w:rsidRDefault="00ED2472" w:rsidP="00ED2472">
      <w:pPr>
        <w:numPr>
          <w:ilvl w:val="0"/>
          <w:numId w:val="1"/>
        </w:num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b/>
          <w:bCs/>
          <w:kern w:val="0"/>
          <w:lang w:eastAsia="es-MX"/>
          <w14:ligatures w14:val="none"/>
        </w:rPr>
        <w:t>Transparencia y trazabilidad</w:t>
      </w:r>
      <w:r w:rsidRPr="00ED2472">
        <w:rPr>
          <w:rFonts w:ascii="Times New Roman" w:eastAsia="Times New Roman" w:hAnsi="Times New Roman" w:cs="Times New Roman"/>
          <w:kern w:val="0"/>
          <w:lang w:eastAsia="es-MX"/>
          <w14:ligatures w14:val="none"/>
        </w:rPr>
        <w:t>, gracias al registro inmutable de las operaciones en la cadena de bloques.</w:t>
      </w:r>
    </w:p>
    <w:p w14:paraId="11CCDAD7" w14:textId="77777777" w:rsidR="00ED2472" w:rsidRPr="00ED2472" w:rsidRDefault="00ED2472" w:rsidP="00ED2472">
      <w:pPr>
        <w:numPr>
          <w:ilvl w:val="0"/>
          <w:numId w:val="1"/>
        </w:num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b/>
          <w:bCs/>
          <w:kern w:val="0"/>
          <w:lang w:eastAsia="es-MX"/>
          <w14:ligatures w14:val="none"/>
        </w:rPr>
        <w:t>Disponibilidad inmediata</w:t>
      </w:r>
      <w:r w:rsidRPr="00ED2472">
        <w:rPr>
          <w:rFonts w:ascii="Times New Roman" w:eastAsia="Times New Roman" w:hAnsi="Times New Roman" w:cs="Times New Roman"/>
          <w:kern w:val="0"/>
          <w:lang w:eastAsia="es-MX"/>
          <w14:ligatures w14:val="none"/>
        </w:rPr>
        <w:t>, permitiendo transferencias y pagos las 24 horas, sin limitaciones geográficas.</w:t>
      </w:r>
    </w:p>
    <w:p w14:paraId="7AF431BC"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Sin embargo, su potencial inclusivo también presenta desafíos importantes. La </w:t>
      </w:r>
      <w:r w:rsidRPr="00ED2472">
        <w:rPr>
          <w:rFonts w:ascii="Times New Roman" w:eastAsia="Times New Roman" w:hAnsi="Times New Roman" w:cs="Times New Roman"/>
          <w:b/>
          <w:bCs/>
          <w:kern w:val="0"/>
          <w:lang w:eastAsia="es-MX"/>
          <w14:ligatures w14:val="none"/>
        </w:rPr>
        <w:t>volatilidad de los precios</w:t>
      </w:r>
      <w:r w:rsidRPr="00ED2472">
        <w:rPr>
          <w:rFonts w:ascii="Times New Roman" w:eastAsia="Times New Roman" w:hAnsi="Times New Roman" w:cs="Times New Roman"/>
          <w:kern w:val="0"/>
          <w:lang w:eastAsia="es-MX"/>
          <w14:ligatures w14:val="none"/>
        </w:rPr>
        <w:t xml:space="preserve"> es uno de los principales riesgos, especialmente para usuarios con bajo conocimiento financiero o sin tolerancia a la pérdida de valor (</w:t>
      </w:r>
      <w:proofErr w:type="spellStart"/>
      <w:r w:rsidRPr="00ED2472">
        <w:rPr>
          <w:rFonts w:ascii="Times New Roman" w:eastAsia="Times New Roman" w:hAnsi="Times New Roman" w:cs="Times New Roman"/>
          <w:kern w:val="0"/>
          <w:lang w:eastAsia="es-MX"/>
          <w14:ligatures w14:val="none"/>
        </w:rPr>
        <w:t>Chudasri</w:t>
      </w:r>
      <w:proofErr w:type="spellEnd"/>
      <w:r w:rsidRPr="00ED2472">
        <w:rPr>
          <w:rFonts w:ascii="Times New Roman" w:eastAsia="Times New Roman" w:hAnsi="Times New Roman" w:cs="Times New Roman"/>
          <w:kern w:val="0"/>
          <w:lang w:eastAsia="es-MX"/>
          <w14:ligatures w14:val="none"/>
        </w:rPr>
        <w:t xml:space="preserve"> et al., 2024). Además, la </w:t>
      </w:r>
      <w:r w:rsidRPr="00ED2472">
        <w:rPr>
          <w:rFonts w:ascii="Times New Roman" w:eastAsia="Times New Roman" w:hAnsi="Times New Roman" w:cs="Times New Roman"/>
          <w:b/>
          <w:bCs/>
          <w:kern w:val="0"/>
          <w:lang w:eastAsia="es-MX"/>
          <w14:ligatures w14:val="none"/>
        </w:rPr>
        <w:t>ausencia de un marco regulatorio robusto</w:t>
      </w:r>
      <w:r w:rsidRPr="00ED2472">
        <w:rPr>
          <w:rFonts w:ascii="Times New Roman" w:eastAsia="Times New Roman" w:hAnsi="Times New Roman" w:cs="Times New Roman"/>
          <w:kern w:val="0"/>
          <w:lang w:eastAsia="es-MX"/>
          <w14:ligatures w14:val="none"/>
        </w:rPr>
        <w:t xml:space="preserve"> y la falta de educación financiera pueden exponer a los usuarios a fraudes o pérdidas derivadas de malas prácticas (Sánchez, 2021). En consecuencia, el uso de criptomonedas como instrumento de inclusión financiera debe ir acompañado de políticas de protección al consumidor, transparencia y educación digital.</w:t>
      </w:r>
    </w:p>
    <w:p w14:paraId="0524EC04"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En el caso boliviano, el uso de criptomonedas ha estado limitado por las regulaciones impuestas por el </w:t>
      </w:r>
      <w:r w:rsidRPr="00ED2472">
        <w:rPr>
          <w:rFonts w:ascii="Times New Roman" w:eastAsia="Times New Roman" w:hAnsi="Times New Roman" w:cs="Times New Roman"/>
          <w:b/>
          <w:bCs/>
          <w:kern w:val="0"/>
          <w:lang w:eastAsia="es-MX"/>
          <w14:ligatures w14:val="none"/>
        </w:rPr>
        <w:t>Banco Central de Bolivia (BCB)</w:t>
      </w:r>
      <w:r w:rsidRPr="00ED2472">
        <w:rPr>
          <w:rFonts w:ascii="Times New Roman" w:eastAsia="Times New Roman" w:hAnsi="Times New Roman" w:cs="Times New Roman"/>
          <w:kern w:val="0"/>
          <w:lang w:eastAsia="es-MX"/>
          <w14:ligatures w14:val="none"/>
        </w:rPr>
        <w:t xml:space="preserve">, que en años anteriores prohibió su uso como medio de pago oficial. No obstante, el panorama ha comenzado a cambiar. En 2025, el BCB anunció la exploración del </w:t>
      </w:r>
      <w:r w:rsidRPr="00ED2472">
        <w:rPr>
          <w:rFonts w:ascii="Times New Roman" w:eastAsia="Times New Roman" w:hAnsi="Times New Roman" w:cs="Times New Roman"/>
          <w:b/>
          <w:bCs/>
          <w:kern w:val="0"/>
          <w:lang w:eastAsia="es-MX"/>
          <w14:ligatures w14:val="none"/>
        </w:rPr>
        <w:t>“Boliviano Virtual”</w:t>
      </w:r>
      <w:r w:rsidRPr="00ED2472">
        <w:rPr>
          <w:rFonts w:ascii="Times New Roman" w:eastAsia="Times New Roman" w:hAnsi="Times New Roman" w:cs="Times New Roman"/>
          <w:kern w:val="0"/>
          <w:lang w:eastAsia="es-MX"/>
          <w14:ligatures w14:val="none"/>
        </w:rPr>
        <w:t xml:space="preserve">, una moneda digital emitida por el propio Estado, con el objetivo de fortalecer la eficiencia del sistema de pagos y fomentar la inclusión financiera (Venegas, 2025). Paralelamente, el estudio de </w:t>
      </w:r>
      <w:proofErr w:type="spellStart"/>
      <w:r w:rsidRPr="00ED2472">
        <w:rPr>
          <w:rFonts w:ascii="Times New Roman" w:eastAsia="Times New Roman" w:hAnsi="Times New Roman" w:cs="Times New Roman"/>
          <w:b/>
          <w:bCs/>
          <w:kern w:val="0"/>
          <w:lang w:eastAsia="es-MX"/>
          <w14:ligatures w14:val="none"/>
        </w:rPr>
        <w:t>Blockfinity</w:t>
      </w:r>
      <w:proofErr w:type="spellEnd"/>
      <w:r w:rsidRPr="00ED2472">
        <w:rPr>
          <w:rFonts w:ascii="Times New Roman" w:eastAsia="Times New Roman" w:hAnsi="Times New Roman" w:cs="Times New Roman"/>
          <w:b/>
          <w:bCs/>
          <w:kern w:val="0"/>
          <w:lang w:eastAsia="es-MX"/>
          <w14:ligatures w14:val="none"/>
        </w:rPr>
        <w:t xml:space="preserve"> </w:t>
      </w:r>
      <w:proofErr w:type="spellStart"/>
      <w:r w:rsidRPr="00ED2472">
        <w:rPr>
          <w:rFonts w:ascii="Times New Roman" w:eastAsia="Times New Roman" w:hAnsi="Times New Roman" w:cs="Times New Roman"/>
          <w:b/>
          <w:bCs/>
          <w:kern w:val="0"/>
          <w:lang w:eastAsia="es-MX"/>
          <w14:ligatures w14:val="none"/>
        </w:rPr>
        <w:t>Advisors</w:t>
      </w:r>
      <w:proofErr w:type="spellEnd"/>
      <w:r w:rsidRPr="00ED2472">
        <w:rPr>
          <w:rFonts w:ascii="Times New Roman" w:eastAsia="Times New Roman" w:hAnsi="Times New Roman" w:cs="Times New Roman"/>
          <w:b/>
          <w:bCs/>
          <w:kern w:val="0"/>
          <w:lang w:eastAsia="es-MX"/>
          <w14:ligatures w14:val="none"/>
        </w:rPr>
        <w:t xml:space="preserve"> (2025)</w:t>
      </w:r>
      <w:r w:rsidRPr="00ED2472">
        <w:rPr>
          <w:rFonts w:ascii="Times New Roman" w:eastAsia="Times New Roman" w:hAnsi="Times New Roman" w:cs="Times New Roman"/>
          <w:kern w:val="0"/>
          <w:lang w:eastAsia="es-MX"/>
          <w14:ligatures w14:val="none"/>
        </w:rPr>
        <w:t xml:space="preserve"> y la </w:t>
      </w:r>
      <w:r w:rsidRPr="00ED2472">
        <w:rPr>
          <w:rFonts w:ascii="Times New Roman" w:eastAsia="Times New Roman" w:hAnsi="Times New Roman" w:cs="Times New Roman"/>
          <w:b/>
          <w:bCs/>
          <w:kern w:val="0"/>
          <w:lang w:eastAsia="es-MX"/>
          <w14:ligatures w14:val="none"/>
        </w:rPr>
        <w:t xml:space="preserve">Cámara Boliviana de </w:t>
      </w:r>
      <w:proofErr w:type="spellStart"/>
      <w:r w:rsidRPr="00ED2472">
        <w:rPr>
          <w:rFonts w:ascii="Times New Roman" w:eastAsia="Times New Roman" w:hAnsi="Times New Roman" w:cs="Times New Roman"/>
          <w:b/>
          <w:bCs/>
          <w:kern w:val="0"/>
          <w:lang w:eastAsia="es-MX"/>
          <w14:ligatures w14:val="none"/>
        </w:rPr>
        <w:t>Blockchain</w:t>
      </w:r>
      <w:proofErr w:type="spellEnd"/>
      <w:r w:rsidRPr="00ED2472">
        <w:rPr>
          <w:rFonts w:ascii="Times New Roman" w:eastAsia="Times New Roman" w:hAnsi="Times New Roman" w:cs="Times New Roman"/>
          <w:kern w:val="0"/>
          <w:lang w:eastAsia="es-MX"/>
          <w14:ligatures w14:val="none"/>
        </w:rPr>
        <w:t xml:space="preserve"> mostró que el 43 % de los encuestados en el </w:t>
      </w:r>
      <w:r w:rsidRPr="00ED2472">
        <w:rPr>
          <w:rFonts w:ascii="Times New Roman" w:eastAsia="Times New Roman" w:hAnsi="Times New Roman" w:cs="Times New Roman"/>
          <w:kern w:val="0"/>
          <w:lang w:eastAsia="es-MX"/>
          <w14:ligatures w14:val="none"/>
        </w:rPr>
        <w:lastRenderedPageBreak/>
        <w:t>país posee criptomonedas, y un 81 % las percibe como una alternativa viable al sistema financiero tradicional.</w:t>
      </w:r>
    </w:p>
    <w:p w14:paraId="747F0C86"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Este interés creciente evidencia una apertura social y tecnológica hacia los </w:t>
      </w:r>
      <w:proofErr w:type="spellStart"/>
      <w:r w:rsidRPr="00ED2472">
        <w:rPr>
          <w:rFonts w:ascii="Times New Roman" w:eastAsia="Times New Roman" w:hAnsi="Times New Roman" w:cs="Times New Roman"/>
          <w:kern w:val="0"/>
          <w:lang w:eastAsia="es-MX"/>
          <w14:ligatures w14:val="none"/>
        </w:rPr>
        <w:t>criptoactivos</w:t>
      </w:r>
      <w:proofErr w:type="spellEnd"/>
      <w:r w:rsidRPr="00ED2472">
        <w:rPr>
          <w:rFonts w:ascii="Times New Roman" w:eastAsia="Times New Roman" w:hAnsi="Times New Roman" w:cs="Times New Roman"/>
          <w:kern w:val="0"/>
          <w:lang w:eastAsia="es-MX"/>
          <w14:ligatures w14:val="none"/>
        </w:rPr>
        <w:t xml:space="preserve">, especialmente entre jóvenes y trabajadores independientes que buscan opciones de ahorro y transferencia más flexibles. Sin embargo, la falta de reconocimiento legal y de educación financiera sigue siendo un obstáculo para su uso masivo. La experiencia internacional muestra que la inclusión financiera efectiva mediante criptomonedas depende no solo de su adopción tecnológica, sino también de la interacción entre </w:t>
      </w:r>
      <w:r w:rsidRPr="00ED2472">
        <w:rPr>
          <w:rFonts w:ascii="Times New Roman" w:eastAsia="Times New Roman" w:hAnsi="Times New Roman" w:cs="Times New Roman"/>
          <w:b/>
          <w:bCs/>
          <w:kern w:val="0"/>
          <w:lang w:eastAsia="es-MX"/>
          <w14:ligatures w14:val="none"/>
        </w:rPr>
        <w:t>regulación, confianza y educación</w:t>
      </w:r>
      <w:r w:rsidRPr="00ED2472">
        <w:rPr>
          <w:rFonts w:ascii="Times New Roman" w:eastAsia="Times New Roman" w:hAnsi="Times New Roman" w:cs="Times New Roman"/>
          <w:kern w:val="0"/>
          <w:lang w:eastAsia="es-MX"/>
          <w14:ligatures w14:val="none"/>
        </w:rPr>
        <w:t xml:space="preserve">, tres pilares fundamentales para garantizar un uso responsable y sostenible (El </w:t>
      </w:r>
      <w:proofErr w:type="spellStart"/>
      <w:r w:rsidRPr="00ED2472">
        <w:rPr>
          <w:rFonts w:ascii="Times New Roman" w:eastAsia="Times New Roman" w:hAnsi="Times New Roman" w:cs="Times New Roman"/>
          <w:kern w:val="0"/>
          <w:lang w:eastAsia="es-MX"/>
          <w14:ligatures w14:val="none"/>
        </w:rPr>
        <w:t>Hajj</w:t>
      </w:r>
      <w:proofErr w:type="spellEnd"/>
      <w:r w:rsidRPr="00ED2472">
        <w:rPr>
          <w:rFonts w:ascii="Times New Roman" w:eastAsia="Times New Roman" w:hAnsi="Times New Roman" w:cs="Times New Roman"/>
          <w:kern w:val="0"/>
          <w:lang w:eastAsia="es-MX"/>
          <w14:ligatures w14:val="none"/>
        </w:rPr>
        <w:t>, 2024).</w:t>
      </w:r>
    </w:p>
    <w:p w14:paraId="49105DED"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En suma, las criptomonedas pueden constituir una herramienta de democratización financiera si se integran en un marco normativo claro y con una base de educación digital sólida. En países como Bolivia, donde la cobertura bancaria es limitada, su incorporación estratégica podría reducir las barreras geográficas y los costos de acceso, contribuyendo a una mayor inclusión en la economía formal y digital.</w:t>
      </w:r>
    </w:p>
    <w:p w14:paraId="5E949CD1" w14:textId="77777777" w:rsidR="00ED2472" w:rsidRPr="00ED2472" w:rsidRDefault="00ED2472" w:rsidP="00ED2472">
      <w:pPr>
        <w:spacing w:before="100" w:beforeAutospacing="1" w:after="240" w:line="360" w:lineRule="auto"/>
        <w:jc w:val="both"/>
        <w:outlineLvl w:val="1"/>
        <w:rPr>
          <w:rFonts w:ascii="Times New Roman" w:eastAsia="Times New Roman" w:hAnsi="Times New Roman" w:cs="Times New Roman"/>
          <w:b/>
          <w:bCs/>
          <w:kern w:val="0"/>
          <w:lang w:eastAsia="es-MX"/>
          <w14:ligatures w14:val="none"/>
        </w:rPr>
      </w:pPr>
      <w:r w:rsidRPr="00ED2472">
        <w:rPr>
          <w:rFonts w:ascii="Times New Roman" w:eastAsia="Times New Roman" w:hAnsi="Times New Roman" w:cs="Times New Roman"/>
          <w:b/>
          <w:bCs/>
          <w:kern w:val="0"/>
          <w:lang w:eastAsia="es-MX"/>
          <w14:ligatures w14:val="none"/>
        </w:rPr>
        <w:t>3. Bolivia y las Criptomonedas</w:t>
      </w:r>
    </w:p>
    <w:p w14:paraId="0650E3D5"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El contexto boliviano en torno a las criptomonedas se caracteriza por una evolución gradual desde una postura restrictiva hacia una fase de exploración institucional y adopción tecnológica. Durante la última década, el </w:t>
      </w:r>
      <w:r w:rsidRPr="00ED2472">
        <w:rPr>
          <w:rFonts w:ascii="Times New Roman" w:eastAsia="Times New Roman" w:hAnsi="Times New Roman" w:cs="Times New Roman"/>
          <w:b/>
          <w:bCs/>
          <w:kern w:val="0"/>
          <w:lang w:eastAsia="es-MX"/>
          <w14:ligatures w14:val="none"/>
        </w:rPr>
        <w:t>Banco Central de Bolivia (BCB)</w:t>
      </w:r>
      <w:r w:rsidRPr="00ED2472">
        <w:rPr>
          <w:rFonts w:ascii="Times New Roman" w:eastAsia="Times New Roman" w:hAnsi="Times New Roman" w:cs="Times New Roman"/>
          <w:kern w:val="0"/>
          <w:lang w:eastAsia="es-MX"/>
          <w14:ligatures w14:val="none"/>
        </w:rPr>
        <w:t xml:space="preserve"> ha mantenido una política cautelosa respecto al uso de </w:t>
      </w:r>
      <w:proofErr w:type="spellStart"/>
      <w:r w:rsidRPr="00ED2472">
        <w:rPr>
          <w:rFonts w:ascii="Times New Roman" w:eastAsia="Times New Roman" w:hAnsi="Times New Roman" w:cs="Times New Roman"/>
          <w:kern w:val="0"/>
          <w:lang w:eastAsia="es-MX"/>
          <w14:ligatures w14:val="none"/>
        </w:rPr>
        <w:t>criptoactivos</w:t>
      </w:r>
      <w:proofErr w:type="spellEnd"/>
      <w:r w:rsidRPr="00ED2472">
        <w:rPr>
          <w:rFonts w:ascii="Times New Roman" w:eastAsia="Times New Roman" w:hAnsi="Times New Roman" w:cs="Times New Roman"/>
          <w:kern w:val="0"/>
          <w:lang w:eastAsia="es-MX"/>
          <w14:ligatures w14:val="none"/>
        </w:rPr>
        <w:t>, argumentando la necesidad de proteger la estabilidad del sistema financiero y prevenir el lavado de activos. En 2014, el BCB emitió una resolución que prohibía el uso de monedas virtuales como medio de pago legal dentro del territorio nacional. Sin embargo, esta prohibición no detuvo el crecimiento del interés ciudadano por las criptomonedas, especialmente en el contexto de crisis económicas, inflación y volatilidad cambiaria, que incentivaron la búsqueda de alternativas de ahorro y transferencia más flexibles (</w:t>
      </w:r>
      <w:proofErr w:type="spellStart"/>
      <w:r w:rsidRPr="00ED2472">
        <w:rPr>
          <w:rFonts w:ascii="Times New Roman" w:eastAsia="Times New Roman" w:hAnsi="Times New Roman" w:cs="Times New Roman"/>
          <w:kern w:val="0"/>
          <w:lang w:eastAsia="es-MX"/>
          <w14:ligatures w14:val="none"/>
        </w:rPr>
        <w:t>Blockfinity</w:t>
      </w:r>
      <w:proofErr w:type="spellEnd"/>
      <w:r w:rsidRPr="00ED2472">
        <w:rPr>
          <w:rFonts w:ascii="Times New Roman" w:eastAsia="Times New Roman" w:hAnsi="Times New Roman" w:cs="Times New Roman"/>
          <w:kern w:val="0"/>
          <w:lang w:eastAsia="es-MX"/>
          <w14:ligatures w14:val="none"/>
        </w:rPr>
        <w:t xml:space="preserve"> </w:t>
      </w:r>
      <w:proofErr w:type="spellStart"/>
      <w:r w:rsidRPr="00ED2472">
        <w:rPr>
          <w:rFonts w:ascii="Times New Roman" w:eastAsia="Times New Roman" w:hAnsi="Times New Roman" w:cs="Times New Roman"/>
          <w:kern w:val="0"/>
          <w:lang w:eastAsia="es-MX"/>
          <w14:ligatures w14:val="none"/>
        </w:rPr>
        <w:t>Advisors</w:t>
      </w:r>
      <w:proofErr w:type="spellEnd"/>
      <w:r w:rsidRPr="00ED2472">
        <w:rPr>
          <w:rFonts w:ascii="Times New Roman" w:eastAsia="Times New Roman" w:hAnsi="Times New Roman" w:cs="Times New Roman"/>
          <w:kern w:val="0"/>
          <w:lang w:eastAsia="es-MX"/>
          <w14:ligatures w14:val="none"/>
        </w:rPr>
        <w:t>, 2025).</w:t>
      </w:r>
    </w:p>
    <w:p w14:paraId="6841170D"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En los últimos años, el gobierno y las instituciones financieras han comenzado a reconocer el potencial de la digitalización como un motor de modernización económica. Este giro se </w:t>
      </w:r>
      <w:r w:rsidRPr="00ED2472">
        <w:rPr>
          <w:rFonts w:ascii="Times New Roman" w:eastAsia="Times New Roman" w:hAnsi="Times New Roman" w:cs="Times New Roman"/>
          <w:kern w:val="0"/>
          <w:lang w:eastAsia="es-MX"/>
          <w14:ligatures w14:val="none"/>
        </w:rPr>
        <w:lastRenderedPageBreak/>
        <w:t xml:space="preserve">evidenció con el anuncio de la </w:t>
      </w:r>
      <w:r w:rsidRPr="00ED2472">
        <w:rPr>
          <w:rFonts w:ascii="Times New Roman" w:eastAsia="Times New Roman" w:hAnsi="Times New Roman" w:cs="Times New Roman"/>
          <w:b/>
          <w:bCs/>
          <w:kern w:val="0"/>
          <w:lang w:eastAsia="es-MX"/>
          <w14:ligatures w14:val="none"/>
        </w:rPr>
        <w:t>iniciativa del “Boliviano Virtual”</w:t>
      </w:r>
      <w:r w:rsidRPr="00ED2472">
        <w:rPr>
          <w:rFonts w:ascii="Times New Roman" w:eastAsia="Times New Roman" w:hAnsi="Times New Roman" w:cs="Times New Roman"/>
          <w:kern w:val="0"/>
          <w:lang w:eastAsia="es-MX"/>
          <w14:ligatures w14:val="none"/>
        </w:rPr>
        <w:t xml:space="preserve">, un proyecto del BCB orientado a explorar la emisión de una moneda digital del banco central (CBDC, por sus siglas en inglés). Según </w:t>
      </w:r>
      <w:r w:rsidRPr="00ED2472">
        <w:rPr>
          <w:rFonts w:ascii="Times New Roman" w:eastAsia="Times New Roman" w:hAnsi="Times New Roman" w:cs="Times New Roman"/>
          <w:b/>
          <w:bCs/>
          <w:kern w:val="0"/>
          <w:lang w:eastAsia="es-MX"/>
          <w14:ligatures w14:val="none"/>
        </w:rPr>
        <w:t>Venegas (2025)</w:t>
      </w:r>
      <w:r w:rsidRPr="00ED2472">
        <w:rPr>
          <w:rFonts w:ascii="Times New Roman" w:eastAsia="Times New Roman" w:hAnsi="Times New Roman" w:cs="Times New Roman"/>
          <w:kern w:val="0"/>
          <w:lang w:eastAsia="es-MX"/>
          <w14:ligatures w14:val="none"/>
        </w:rPr>
        <w:t>, esta propuesta busca fortalecer la eficiencia del sistema de pagos, reducir la dependencia del efectivo y ampliar el acceso a servicios financieros digitales, especialmente en áreas rurales o con infraestructura bancaria limitada. La adopción de una moneda digital soberana podría sentar las bases para la integración futura de activos digitales privados bajo un esquema regulatorio controlado y transparente.</w:t>
      </w:r>
    </w:p>
    <w:p w14:paraId="241E422A"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A la par, el ecosistema cripto en Bolivia ha experimentado un crecimiento sostenido, aunque en un marco informal. El </w:t>
      </w:r>
      <w:r w:rsidRPr="00ED2472">
        <w:rPr>
          <w:rFonts w:ascii="Times New Roman" w:eastAsia="Times New Roman" w:hAnsi="Times New Roman" w:cs="Times New Roman"/>
          <w:b/>
          <w:bCs/>
          <w:kern w:val="0"/>
          <w:lang w:eastAsia="es-MX"/>
          <w14:ligatures w14:val="none"/>
        </w:rPr>
        <w:t xml:space="preserve">estudio de </w:t>
      </w:r>
      <w:proofErr w:type="spellStart"/>
      <w:r w:rsidRPr="00ED2472">
        <w:rPr>
          <w:rFonts w:ascii="Times New Roman" w:eastAsia="Times New Roman" w:hAnsi="Times New Roman" w:cs="Times New Roman"/>
          <w:b/>
          <w:bCs/>
          <w:kern w:val="0"/>
          <w:lang w:eastAsia="es-MX"/>
          <w14:ligatures w14:val="none"/>
        </w:rPr>
        <w:t>Blockfinity</w:t>
      </w:r>
      <w:proofErr w:type="spellEnd"/>
      <w:r w:rsidRPr="00ED2472">
        <w:rPr>
          <w:rFonts w:ascii="Times New Roman" w:eastAsia="Times New Roman" w:hAnsi="Times New Roman" w:cs="Times New Roman"/>
          <w:b/>
          <w:bCs/>
          <w:kern w:val="0"/>
          <w:lang w:eastAsia="es-MX"/>
          <w14:ligatures w14:val="none"/>
        </w:rPr>
        <w:t xml:space="preserve"> </w:t>
      </w:r>
      <w:proofErr w:type="spellStart"/>
      <w:r w:rsidRPr="00ED2472">
        <w:rPr>
          <w:rFonts w:ascii="Times New Roman" w:eastAsia="Times New Roman" w:hAnsi="Times New Roman" w:cs="Times New Roman"/>
          <w:b/>
          <w:bCs/>
          <w:kern w:val="0"/>
          <w:lang w:eastAsia="es-MX"/>
          <w14:ligatures w14:val="none"/>
        </w:rPr>
        <w:t>Advisors</w:t>
      </w:r>
      <w:proofErr w:type="spellEnd"/>
      <w:r w:rsidRPr="00ED2472">
        <w:rPr>
          <w:rFonts w:ascii="Times New Roman" w:eastAsia="Times New Roman" w:hAnsi="Times New Roman" w:cs="Times New Roman"/>
          <w:b/>
          <w:bCs/>
          <w:kern w:val="0"/>
          <w:lang w:eastAsia="es-MX"/>
          <w14:ligatures w14:val="none"/>
        </w:rPr>
        <w:t xml:space="preserve"> (2025)</w:t>
      </w:r>
      <w:r w:rsidRPr="00ED2472">
        <w:rPr>
          <w:rFonts w:ascii="Times New Roman" w:eastAsia="Times New Roman" w:hAnsi="Times New Roman" w:cs="Times New Roman"/>
          <w:kern w:val="0"/>
          <w:lang w:eastAsia="es-MX"/>
          <w14:ligatures w14:val="none"/>
        </w:rPr>
        <w:t xml:space="preserve"> revela que cerca del 43 % de los encuestados posee algún tipo de criptomoneda, y un porcentaje aún mayor manifiesta interés en adquirirlas como mecanismo de ahorro o inversión. Esta dinámica refleja una tendencia similar a la observada en otros países latinoamericanos, donde la falta de acceso a instrumentos financieros tradicionales y la desconfianza en la moneda local impulsan la adopción de activos digitales (BID &amp; CCAF, 2022).</w:t>
      </w:r>
    </w:p>
    <w:p w14:paraId="37DD0313"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Desde una perspectiva institucional, Bolivia enfrenta el desafío de armonizar la innovación tecnológica con la regulación financiera. Mientras que algunos países de la región —como Brasil o México— han avanzado en marcos regulatorios específicos para activos virtuales, Bolivia aún carece de una normativa integral que defina los derechos, responsabilidades y límites en el uso de criptomonedas. Esta ausencia de regulación genera incertidumbre jurídica, tanto para los usuarios como para las empresas que deseen ofrecer servicios relacionados con </w:t>
      </w:r>
      <w:proofErr w:type="spellStart"/>
      <w:r w:rsidRPr="00ED2472">
        <w:rPr>
          <w:rFonts w:ascii="Times New Roman" w:eastAsia="Times New Roman" w:hAnsi="Times New Roman" w:cs="Times New Roman"/>
          <w:kern w:val="0"/>
          <w:lang w:eastAsia="es-MX"/>
          <w14:ligatures w14:val="none"/>
        </w:rPr>
        <w:t>criptoactivos</w:t>
      </w:r>
      <w:proofErr w:type="spellEnd"/>
      <w:r w:rsidRPr="00ED2472">
        <w:rPr>
          <w:rFonts w:ascii="Times New Roman" w:eastAsia="Times New Roman" w:hAnsi="Times New Roman" w:cs="Times New Roman"/>
          <w:kern w:val="0"/>
          <w:lang w:eastAsia="es-MX"/>
          <w14:ligatures w14:val="none"/>
        </w:rPr>
        <w:t xml:space="preserve"> (AFI, 2024). No obstante, el desarrollo de una </w:t>
      </w:r>
      <w:r w:rsidRPr="00ED2472">
        <w:rPr>
          <w:rFonts w:ascii="Times New Roman" w:eastAsia="Times New Roman" w:hAnsi="Times New Roman" w:cs="Times New Roman"/>
          <w:b/>
          <w:bCs/>
          <w:kern w:val="0"/>
          <w:lang w:eastAsia="es-MX"/>
          <w14:ligatures w14:val="none"/>
        </w:rPr>
        <w:t>moneda digital nacional</w:t>
      </w:r>
      <w:r w:rsidRPr="00ED2472">
        <w:rPr>
          <w:rFonts w:ascii="Times New Roman" w:eastAsia="Times New Roman" w:hAnsi="Times New Roman" w:cs="Times New Roman"/>
          <w:kern w:val="0"/>
          <w:lang w:eastAsia="es-MX"/>
          <w14:ligatures w14:val="none"/>
        </w:rPr>
        <w:t xml:space="preserve"> puede ser el punto de partida para establecer una arquitectura regulatoria coherente que permita la coexistencia entre criptomonedas privadas y activos digitales emitidos por el Estado.</w:t>
      </w:r>
    </w:p>
    <w:p w14:paraId="34CBC41F"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La incorporación gradual de las criptomonedas al sistema financiero boliviano podría tener efectos positivos en términos de formalización económica y bancarización digital. Los activos digitales pueden actuar como </w:t>
      </w:r>
      <w:r w:rsidRPr="00ED2472">
        <w:rPr>
          <w:rFonts w:ascii="Times New Roman" w:eastAsia="Times New Roman" w:hAnsi="Times New Roman" w:cs="Times New Roman"/>
          <w:b/>
          <w:bCs/>
          <w:kern w:val="0"/>
          <w:lang w:eastAsia="es-MX"/>
          <w14:ligatures w14:val="none"/>
        </w:rPr>
        <w:t>puentes hacia la inclusión financiera</w:t>
      </w:r>
      <w:r w:rsidRPr="00ED2472">
        <w:rPr>
          <w:rFonts w:ascii="Times New Roman" w:eastAsia="Times New Roman" w:hAnsi="Times New Roman" w:cs="Times New Roman"/>
          <w:kern w:val="0"/>
          <w:lang w:eastAsia="es-MX"/>
          <w14:ligatures w14:val="none"/>
        </w:rPr>
        <w:t xml:space="preserve">, permitiendo que segmentos actualmente excluidos —como </w:t>
      </w:r>
      <w:proofErr w:type="spellStart"/>
      <w:r w:rsidRPr="00ED2472">
        <w:rPr>
          <w:rFonts w:ascii="Times New Roman" w:eastAsia="Times New Roman" w:hAnsi="Times New Roman" w:cs="Times New Roman"/>
          <w:kern w:val="0"/>
          <w:lang w:eastAsia="es-MX"/>
          <w14:ligatures w14:val="none"/>
        </w:rPr>
        <w:t>microemprendedores</w:t>
      </w:r>
      <w:proofErr w:type="spellEnd"/>
      <w:r w:rsidRPr="00ED2472">
        <w:rPr>
          <w:rFonts w:ascii="Times New Roman" w:eastAsia="Times New Roman" w:hAnsi="Times New Roman" w:cs="Times New Roman"/>
          <w:kern w:val="0"/>
          <w:lang w:eastAsia="es-MX"/>
          <w14:ligatures w14:val="none"/>
        </w:rPr>
        <w:t xml:space="preserve">, trabajadores informales o poblaciones rurales— accedan a mecanismos de ahorro, transferencia y pago sin depender </w:t>
      </w:r>
      <w:r w:rsidRPr="00ED2472">
        <w:rPr>
          <w:rFonts w:ascii="Times New Roman" w:eastAsia="Times New Roman" w:hAnsi="Times New Roman" w:cs="Times New Roman"/>
          <w:kern w:val="0"/>
          <w:lang w:eastAsia="es-MX"/>
          <w14:ligatures w14:val="none"/>
        </w:rPr>
        <w:lastRenderedPageBreak/>
        <w:t xml:space="preserve">de infraestructura bancaria física. En este sentido, la tecnología </w:t>
      </w:r>
      <w:proofErr w:type="spellStart"/>
      <w:r w:rsidRPr="00ED2472">
        <w:rPr>
          <w:rFonts w:ascii="Times New Roman" w:eastAsia="Times New Roman" w:hAnsi="Times New Roman" w:cs="Times New Roman"/>
          <w:kern w:val="0"/>
          <w:lang w:eastAsia="es-MX"/>
          <w14:ligatures w14:val="none"/>
        </w:rPr>
        <w:t>blockchain</w:t>
      </w:r>
      <w:proofErr w:type="spellEnd"/>
      <w:r w:rsidRPr="00ED2472">
        <w:rPr>
          <w:rFonts w:ascii="Times New Roman" w:eastAsia="Times New Roman" w:hAnsi="Times New Roman" w:cs="Times New Roman"/>
          <w:kern w:val="0"/>
          <w:lang w:eastAsia="es-MX"/>
          <w14:ligatures w14:val="none"/>
        </w:rPr>
        <w:t xml:space="preserve"> ofrece una oportunidad para </w:t>
      </w:r>
      <w:r w:rsidRPr="00ED2472">
        <w:rPr>
          <w:rFonts w:ascii="Times New Roman" w:eastAsia="Times New Roman" w:hAnsi="Times New Roman" w:cs="Times New Roman"/>
          <w:b/>
          <w:bCs/>
          <w:kern w:val="0"/>
          <w:lang w:eastAsia="es-MX"/>
          <w14:ligatures w14:val="none"/>
        </w:rPr>
        <w:t>transparentar transacciones</w:t>
      </w:r>
      <w:r w:rsidRPr="00ED2472">
        <w:rPr>
          <w:rFonts w:ascii="Times New Roman" w:eastAsia="Times New Roman" w:hAnsi="Times New Roman" w:cs="Times New Roman"/>
          <w:kern w:val="0"/>
          <w:lang w:eastAsia="es-MX"/>
          <w14:ligatures w14:val="none"/>
        </w:rPr>
        <w:t>, reducir costos operativos y fortalecer la confianza en los servicios digitales.</w:t>
      </w:r>
    </w:p>
    <w:p w14:paraId="082FB966"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Sin embargo, para que este proceso sea sostenible, es fundamental que el país avance en tres frentes estratégicos:</w:t>
      </w:r>
    </w:p>
    <w:p w14:paraId="29E83341" w14:textId="77777777" w:rsidR="00ED2472" w:rsidRPr="00ED2472" w:rsidRDefault="00ED2472" w:rsidP="00ED2472">
      <w:pPr>
        <w:numPr>
          <w:ilvl w:val="0"/>
          <w:numId w:val="2"/>
        </w:num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b/>
          <w:bCs/>
          <w:kern w:val="0"/>
          <w:lang w:eastAsia="es-MX"/>
          <w14:ligatures w14:val="none"/>
        </w:rPr>
        <w:t>Regulación progresiva y clara</w:t>
      </w:r>
      <w:r w:rsidRPr="00ED2472">
        <w:rPr>
          <w:rFonts w:ascii="Times New Roman" w:eastAsia="Times New Roman" w:hAnsi="Times New Roman" w:cs="Times New Roman"/>
          <w:kern w:val="0"/>
          <w:lang w:eastAsia="es-MX"/>
          <w14:ligatures w14:val="none"/>
        </w:rPr>
        <w:t xml:space="preserve">, que distinga entre usos legítimos e ilegales de los </w:t>
      </w:r>
      <w:proofErr w:type="spellStart"/>
      <w:r w:rsidRPr="00ED2472">
        <w:rPr>
          <w:rFonts w:ascii="Times New Roman" w:eastAsia="Times New Roman" w:hAnsi="Times New Roman" w:cs="Times New Roman"/>
          <w:kern w:val="0"/>
          <w:lang w:eastAsia="es-MX"/>
          <w14:ligatures w14:val="none"/>
        </w:rPr>
        <w:t>criptoactivos</w:t>
      </w:r>
      <w:proofErr w:type="spellEnd"/>
      <w:r w:rsidRPr="00ED2472">
        <w:rPr>
          <w:rFonts w:ascii="Times New Roman" w:eastAsia="Times New Roman" w:hAnsi="Times New Roman" w:cs="Times New Roman"/>
          <w:kern w:val="0"/>
          <w:lang w:eastAsia="es-MX"/>
          <w14:ligatures w14:val="none"/>
        </w:rPr>
        <w:t>.</w:t>
      </w:r>
    </w:p>
    <w:p w14:paraId="4C031D1A" w14:textId="77777777" w:rsidR="00ED2472" w:rsidRPr="00ED2472" w:rsidRDefault="00ED2472" w:rsidP="00ED2472">
      <w:pPr>
        <w:numPr>
          <w:ilvl w:val="0"/>
          <w:numId w:val="2"/>
        </w:num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b/>
          <w:bCs/>
          <w:kern w:val="0"/>
          <w:lang w:eastAsia="es-MX"/>
          <w14:ligatures w14:val="none"/>
        </w:rPr>
        <w:t>Educación financiera y digital</w:t>
      </w:r>
      <w:r w:rsidRPr="00ED2472">
        <w:rPr>
          <w:rFonts w:ascii="Times New Roman" w:eastAsia="Times New Roman" w:hAnsi="Times New Roman" w:cs="Times New Roman"/>
          <w:kern w:val="0"/>
          <w:lang w:eastAsia="es-MX"/>
          <w14:ligatures w14:val="none"/>
        </w:rPr>
        <w:t>, orientada a capacitar a los usuarios sobre los riesgos y beneficios de los activos digitales.</w:t>
      </w:r>
    </w:p>
    <w:p w14:paraId="2E805C24" w14:textId="77777777" w:rsidR="00ED2472" w:rsidRPr="00ED2472" w:rsidRDefault="00ED2472" w:rsidP="00ED2472">
      <w:pPr>
        <w:numPr>
          <w:ilvl w:val="0"/>
          <w:numId w:val="2"/>
        </w:num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b/>
          <w:bCs/>
          <w:kern w:val="0"/>
          <w:lang w:eastAsia="es-MX"/>
          <w14:ligatures w14:val="none"/>
        </w:rPr>
        <w:t>Integración tecnológica</w:t>
      </w:r>
      <w:r w:rsidRPr="00ED2472">
        <w:rPr>
          <w:rFonts w:ascii="Times New Roman" w:eastAsia="Times New Roman" w:hAnsi="Times New Roman" w:cs="Times New Roman"/>
          <w:kern w:val="0"/>
          <w:lang w:eastAsia="es-MX"/>
          <w14:ligatures w14:val="none"/>
        </w:rPr>
        <w:t>, mediante alianzas público-privadas que impulsen la infraestructura digital y fomenten la interoperabilidad entre plataformas.</w:t>
      </w:r>
    </w:p>
    <w:p w14:paraId="0D5BA7EC"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De esta manera, Bolivia se encuentra en una etapa de transición en la que las criptomonedas, aunque aún no plenamente reconocidas, podrían desempeñar un papel complementario dentro de las estrategias nacionales de inclusión financiera y digitalización. Su integración responsable, en coordinación con políticas públicas y un marco regulatorio adaptativo, podría transformar gradualmente el acceso a los servicios financieros, contribuyendo a un sistema más inclusivo, eficiente y resiliente.</w:t>
      </w:r>
    </w:p>
    <w:p w14:paraId="4A684F55" w14:textId="77777777" w:rsidR="00FD114F" w:rsidRPr="00ED2472" w:rsidRDefault="00FD114F" w:rsidP="00ED2472">
      <w:pPr>
        <w:spacing w:after="240" w:line="360" w:lineRule="auto"/>
        <w:jc w:val="both"/>
        <w:rPr>
          <w:rFonts w:ascii="Times New Roman" w:hAnsi="Times New Roman" w:cs="Times New Roman"/>
        </w:rPr>
      </w:pPr>
    </w:p>
    <w:p w14:paraId="1A556AFE" w14:textId="77777777" w:rsidR="00ED2472" w:rsidRPr="00ED2472" w:rsidRDefault="00ED2472" w:rsidP="00ED2472">
      <w:pPr>
        <w:spacing w:before="100" w:beforeAutospacing="1" w:after="240" w:line="360" w:lineRule="auto"/>
        <w:jc w:val="both"/>
        <w:outlineLvl w:val="1"/>
        <w:rPr>
          <w:rFonts w:ascii="Times New Roman" w:eastAsia="Times New Roman" w:hAnsi="Times New Roman" w:cs="Times New Roman"/>
          <w:b/>
          <w:bCs/>
          <w:kern w:val="0"/>
          <w:lang w:eastAsia="es-MX"/>
          <w14:ligatures w14:val="none"/>
        </w:rPr>
      </w:pPr>
      <w:r w:rsidRPr="00ED2472">
        <w:rPr>
          <w:rFonts w:ascii="Times New Roman" w:eastAsia="Times New Roman" w:hAnsi="Times New Roman" w:cs="Times New Roman"/>
          <w:b/>
          <w:bCs/>
          <w:kern w:val="0"/>
          <w:lang w:eastAsia="es-MX"/>
          <w14:ligatures w14:val="none"/>
        </w:rPr>
        <w:t>4. Análisis de Portafolio e Inclusión Financiera</w:t>
      </w:r>
    </w:p>
    <w:p w14:paraId="59F6509D"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El análisis de portafolio representa una herramienta fundamental para comprender cómo los inversionistas pueden optimizar la relación entre riesgo y rendimiento mediante la diversificación. En el contexto de la inclusión financiera, este enfoque permite explorar cómo los instrumentos digitales —en particular las criptomonedas— pueden ser utilizados para ampliar el acceso a oportunidades de inversión de manera responsable, eficiente y adaptable a distintos perfiles de riesgo.</w:t>
      </w:r>
    </w:p>
    <w:p w14:paraId="597F75AB"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lastRenderedPageBreak/>
        <w:t xml:space="preserve">El </w:t>
      </w:r>
      <w:r w:rsidRPr="00ED2472">
        <w:rPr>
          <w:rFonts w:ascii="Times New Roman" w:eastAsia="Times New Roman" w:hAnsi="Times New Roman" w:cs="Times New Roman"/>
          <w:b/>
          <w:bCs/>
          <w:kern w:val="0"/>
          <w:lang w:eastAsia="es-MX"/>
          <w14:ligatures w14:val="none"/>
        </w:rPr>
        <w:t>modelo de Markowitz (1952)</w:t>
      </w:r>
      <w:r w:rsidRPr="00ED2472">
        <w:rPr>
          <w:rFonts w:ascii="Times New Roman" w:eastAsia="Times New Roman" w:hAnsi="Times New Roman" w:cs="Times New Roman"/>
          <w:kern w:val="0"/>
          <w:lang w:eastAsia="es-MX"/>
          <w14:ligatures w14:val="none"/>
        </w:rPr>
        <w:t xml:space="preserve">, base de la teoría moderna de portafolios, establece que un inversionista racional busca maximizar su rendimiento esperado para un nivel dado de riesgo, o minimizar el riesgo para un rendimiento esperado determinado. Este equilibrio se logra mediante la diversificación, que reduce la exposición a la volatilidad individual de los activos al combinar instrumentos con diferentes niveles de correlación. En este sentido, el modelo introduce un enfoque cuantitativo que permite construir portafolios eficientes en función de la </w:t>
      </w:r>
      <w:r w:rsidRPr="00ED2472">
        <w:rPr>
          <w:rFonts w:ascii="Times New Roman" w:eastAsia="Times New Roman" w:hAnsi="Times New Roman" w:cs="Times New Roman"/>
          <w:b/>
          <w:bCs/>
          <w:kern w:val="0"/>
          <w:lang w:eastAsia="es-MX"/>
          <w14:ligatures w14:val="none"/>
        </w:rPr>
        <w:t>varianza y covarianza de los rendimientos</w:t>
      </w:r>
      <w:r w:rsidRPr="00ED2472">
        <w:rPr>
          <w:rFonts w:ascii="Times New Roman" w:eastAsia="Times New Roman" w:hAnsi="Times New Roman" w:cs="Times New Roman"/>
          <w:kern w:val="0"/>
          <w:lang w:eastAsia="es-MX"/>
          <w14:ligatures w14:val="none"/>
        </w:rPr>
        <w:t xml:space="preserve"> de los activos incluidos (Elton, </w:t>
      </w:r>
      <w:proofErr w:type="spellStart"/>
      <w:r w:rsidRPr="00ED2472">
        <w:rPr>
          <w:rFonts w:ascii="Times New Roman" w:eastAsia="Times New Roman" w:hAnsi="Times New Roman" w:cs="Times New Roman"/>
          <w:kern w:val="0"/>
          <w:lang w:eastAsia="es-MX"/>
          <w14:ligatures w14:val="none"/>
        </w:rPr>
        <w:t>Gruber</w:t>
      </w:r>
      <w:proofErr w:type="spellEnd"/>
      <w:r w:rsidRPr="00ED2472">
        <w:rPr>
          <w:rFonts w:ascii="Times New Roman" w:eastAsia="Times New Roman" w:hAnsi="Times New Roman" w:cs="Times New Roman"/>
          <w:kern w:val="0"/>
          <w:lang w:eastAsia="es-MX"/>
          <w14:ligatures w14:val="none"/>
        </w:rPr>
        <w:t xml:space="preserve">, Brown &amp; </w:t>
      </w:r>
      <w:proofErr w:type="spellStart"/>
      <w:r w:rsidRPr="00ED2472">
        <w:rPr>
          <w:rFonts w:ascii="Times New Roman" w:eastAsia="Times New Roman" w:hAnsi="Times New Roman" w:cs="Times New Roman"/>
          <w:kern w:val="0"/>
          <w:lang w:eastAsia="es-MX"/>
          <w14:ligatures w14:val="none"/>
        </w:rPr>
        <w:t>Goetzmann</w:t>
      </w:r>
      <w:proofErr w:type="spellEnd"/>
      <w:r w:rsidRPr="00ED2472">
        <w:rPr>
          <w:rFonts w:ascii="Times New Roman" w:eastAsia="Times New Roman" w:hAnsi="Times New Roman" w:cs="Times New Roman"/>
          <w:kern w:val="0"/>
          <w:lang w:eastAsia="es-MX"/>
          <w14:ligatures w14:val="none"/>
        </w:rPr>
        <w:t>, 2014).</w:t>
      </w:r>
    </w:p>
    <w:p w14:paraId="09D20AC6"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Aplicado al caso de las criptomonedas, el modelo de Markowitz permite identificar combinaciones de activos digitales que optimicen el rendimiento ajustado al riesgo dentro de un marco </w:t>
      </w:r>
      <w:proofErr w:type="spellStart"/>
      <w:r w:rsidRPr="00ED2472">
        <w:rPr>
          <w:rFonts w:ascii="Times New Roman" w:eastAsia="Times New Roman" w:hAnsi="Times New Roman" w:cs="Times New Roman"/>
          <w:kern w:val="0"/>
          <w:lang w:eastAsia="es-MX"/>
          <w14:ligatures w14:val="none"/>
        </w:rPr>
        <w:t>regulado</w:t>
      </w:r>
      <w:proofErr w:type="spellEnd"/>
      <w:r w:rsidRPr="00ED2472">
        <w:rPr>
          <w:rFonts w:ascii="Times New Roman" w:eastAsia="Times New Roman" w:hAnsi="Times New Roman" w:cs="Times New Roman"/>
          <w:kern w:val="0"/>
          <w:lang w:eastAsia="es-MX"/>
          <w14:ligatures w14:val="none"/>
        </w:rPr>
        <w:t xml:space="preserve">. Dado que el mercado de criptomonedas presenta una alta volatilidad, el análisis de la </w:t>
      </w:r>
      <w:r w:rsidRPr="00ED2472">
        <w:rPr>
          <w:rFonts w:ascii="Times New Roman" w:eastAsia="Times New Roman" w:hAnsi="Times New Roman" w:cs="Times New Roman"/>
          <w:b/>
          <w:bCs/>
          <w:kern w:val="0"/>
          <w:lang w:eastAsia="es-MX"/>
          <w14:ligatures w14:val="none"/>
        </w:rPr>
        <w:t>matriz varianza-covarianza</w:t>
      </w:r>
      <w:r w:rsidRPr="00ED2472">
        <w:rPr>
          <w:rFonts w:ascii="Times New Roman" w:eastAsia="Times New Roman" w:hAnsi="Times New Roman" w:cs="Times New Roman"/>
          <w:kern w:val="0"/>
          <w:lang w:eastAsia="es-MX"/>
          <w14:ligatures w14:val="none"/>
        </w:rPr>
        <w:t xml:space="preserve"> se convierte en un componente esencial para evaluar las relaciones entre los distintos </w:t>
      </w:r>
      <w:proofErr w:type="spellStart"/>
      <w:r w:rsidRPr="00ED2472">
        <w:rPr>
          <w:rFonts w:ascii="Times New Roman" w:eastAsia="Times New Roman" w:hAnsi="Times New Roman" w:cs="Times New Roman"/>
          <w:kern w:val="0"/>
          <w:lang w:eastAsia="es-MX"/>
          <w14:ligatures w14:val="none"/>
        </w:rPr>
        <w:t>criptoactivos</w:t>
      </w:r>
      <w:proofErr w:type="spellEnd"/>
      <w:r w:rsidRPr="00ED2472">
        <w:rPr>
          <w:rFonts w:ascii="Times New Roman" w:eastAsia="Times New Roman" w:hAnsi="Times New Roman" w:cs="Times New Roman"/>
          <w:kern w:val="0"/>
          <w:lang w:eastAsia="es-MX"/>
          <w14:ligatures w14:val="none"/>
        </w:rPr>
        <w:t xml:space="preserve"> y determinar su comportamiento conjunto. Este enfoque permite generar portafolios diversificados que reduzcan el impacto de la fluctuación extrema de precios en el valor total de la inversión, aumentando la estabilidad general del portafolio.</w:t>
      </w:r>
    </w:p>
    <w:p w14:paraId="59F405C0"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La aplicación de este modelo en el contexto boliviano tiene una doble relevancia. Por un lado, permite demostrar que la diversificación a través de activos digitales puede contribuir a reducir el riesgo financiero y ofrecer opciones de ahorro e inversión más accesibles. Por otro, se alinea con los objetivos de </w:t>
      </w:r>
      <w:r w:rsidRPr="00ED2472">
        <w:rPr>
          <w:rFonts w:ascii="Times New Roman" w:eastAsia="Times New Roman" w:hAnsi="Times New Roman" w:cs="Times New Roman"/>
          <w:b/>
          <w:bCs/>
          <w:kern w:val="0"/>
          <w:lang w:eastAsia="es-MX"/>
          <w14:ligatures w14:val="none"/>
        </w:rPr>
        <w:t>inclusión financiera digital</w:t>
      </w:r>
      <w:r w:rsidRPr="00ED2472">
        <w:rPr>
          <w:rFonts w:ascii="Times New Roman" w:eastAsia="Times New Roman" w:hAnsi="Times New Roman" w:cs="Times New Roman"/>
          <w:kern w:val="0"/>
          <w:lang w:eastAsia="es-MX"/>
          <w14:ligatures w14:val="none"/>
        </w:rPr>
        <w:t>, al proporcionar un instrumento de participación económica incluso para individuos que tradicionalmente no tienen acceso a fondos de inversión, acciones u otros productos financieros complejos.</w:t>
      </w:r>
    </w:p>
    <w:p w14:paraId="018D7CF5"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El proceso analítico parte de la identificación de criptomonedas disponibles en </w:t>
      </w:r>
      <w:proofErr w:type="spellStart"/>
      <w:r w:rsidRPr="00ED2472">
        <w:rPr>
          <w:rFonts w:ascii="Times New Roman" w:eastAsia="Times New Roman" w:hAnsi="Times New Roman" w:cs="Times New Roman"/>
          <w:kern w:val="0"/>
          <w:lang w:eastAsia="es-MX"/>
          <w14:ligatures w14:val="none"/>
        </w:rPr>
        <w:t>exchanges</w:t>
      </w:r>
      <w:proofErr w:type="spellEnd"/>
      <w:r w:rsidRPr="00ED2472">
        <w:rPr>
          <w:rFonts w:ascii="Times New Roman" w:eastAsia="Times New Roman" w:hAnsi="Times New Roman" w:cs="Times New Roman"/>
          <w:kern w:val="0"/>
          <w:lang w:eastAsia="es-MX"/>
          <w14:ligatures w14:val="none"/>
        </w:rPr>
        <w:t xml:space="preserve"> que operan legalmente o bajo supervisión regulatoria. Estos activos deben cumplir criterios de </w:t>
      </w:r>
      <w:r w:rsidRPr="00ED2472">
        <w:rPr>
          <w:rFonts w:ascii="Times New Roman" w:eastAsia="Times New Roman" w:hAnsi="Times New Roman" w:cs="Times New Roman"/>
          <w:b/>
          <w:bCs/>
          <w:kern w:val="0"/>
          <w:lang w:eastAsia="es-MX"/>
          <w14:ligatures w14:val="none"/>
        </w:rPr>
        <w:t>liquidez, capitalización de mercado, confiabilidad y accesibilidad tecnológica</w:t>
      </w:r>
      <w:r w:rsidRPr="00ED2472">
        <w:rPr>
          <w:rFonts w:ascii="Times New Roman" w:eastAsia="Times New Roman" w:hAnsi="Times New Roman" w:cs="Times New Roman"/>
          <w:kern w:val="0"/>
          <w:lang w:eastAsia="es-MX"/>
          <w14:ligatures w14:val="none"/>
        </w:rPr>
        <w:t xml:space="preserve">, asegurando su pertinencia para inversionistas minoristas. Una vez seleccionados los activos elegibles, el modelo evalúa sus rendimientos históricos y sus correlaciones, generando así una </w:t>
      </w:r>
      <w:r w:rsidRPr="00ED2472">
        <w:rPr>
          <w:rFonts w:ascii="Times New Roman" w:eastAsia="Times New Roman" w:hAnsi="Times New Roman" w:cs="Times New Roman"/>
          <w:b/>
          <w:bCs/>
          <w:kern w:val="0"/>
          <w:lang w:eastAsia="es-MX"/>
          <w14:ligatures w14:val="none"/>
        </w:rPr>
        <w:t>frontera eficiente</w:t>
      </w:r>
      <w:r w:rsidRPr="00ED2472">
        <w:rPr>
          <w:rFonts w:ascii="Times New Roman" w:eastAsia="Times New Roman" w:hAnsi="Times New Roman" w:cs="Times New Roman"/>
          <w:kern w:val="0"/>
          <w:lang w:eastAsia="es-MX"/>
          <w14:ligatures w14:val="none"/>
        </w:rPr>
        <w:t xml:space="preserve"> que ilustra las combinaciones óptimas de riesgo y retorno.</w:t>
      </w:r>
    </w:p>
    <w:p w14:paraId="2BFF6D31" w14:textId="77777777" w:rsid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La </w:t>
      </w:r>
      <w:r w:rsidRPr="00ED2472">
        <w:rPr>
          <w:rFonts w:ascii="Times New Roman" w:eastAsia="Times New Roman" w:hAnsi="Times New Roman" w:cs="Times New Roman"/>
          <w:b/>
          <w:bCs/>
          <w:kern w:val="0"/>
          <w:lang w:eastAsia="es-MX"/>
          <w14:ligatures w14:val="none"/>
        </w:rPr>
        <w:t>matriz de varianza-covarianza</w:t>
      </w:r>
      <w:r w:rsidRPr="00ED2472">
        <w:rPr>
          <w:rFonts w:ascii="Times New Roman" w:eastAsia="Times New Roman" w:hAnsi="Times New Roman" w:cs="Times New Roman"/>
          <w:kern w:val="0"/>
          <w:lang w:eastAsia="es-MX"/>
          <w14:ligatures w14:val="none"/>
        </w:rPr>
        <w:t xml:space="preserve"> se define formalmente como:</w:t>
      </w:r>
    </w:p>
    <w:p w14:paraId="3A0EA32B" w14:textId="77777777" w:rsidR="00ED2472" w:rsidRDefault="00ED2472" w:rsidP="00ED2472">
      <w:pPr>
        <w:spacing w:before="280" w:after="80" w:line="360" w:lineRule="auto"/>
        <w:jc w:val="both"/>
        <w:rPr>
          <w:rFonts w:ascii="Times New Roman" w:eastAsia="Times New Roman" w:hAnsi="Times New Roman" w:cs="Times New Roman"/>
        </w:rPr>
      </w:pPr>
      <m:oMathPara>
        <m:oMath>
          <m:r>
            <w:rPr>
              <w:rFonts w:ascii="Cambria Math" w:eastAsia="Times New Roman" w:hAnsi="Cambria Math" w:cs="Times New Roman"/>
            </w:rPr>
            <w:lastRenderedPageBreak/>
            <m:t>Cov</m:t>
          </m:r>
          <m:d>
            <m:dPr>
              <m:ctrlPr>
                <w:rPr>
                  <w:rFonts w:ascii="Cambria Math" w:eastAsia="Times New Roman" w:hAnsi="Cambria Math" w:cs="Times New Roman"/>
                  <w:i/>
                </w:rPr>
              </m:ctrlPr>
            </m:dPr>
            <m:e>
              <m:r>
                <w:rPr>
                  <w:rFonts w:ascii="Cambria Math" w:eastAsia="Times New Roman" w:hAnsi="Cambria Math" w:cs="Times New Roman"/>
                </w:rPr>
                <m:t>x,y</m:t>
              </m:r>
            </m:e>
          </m:d>
          <m:r>
            <w:rPr>
              <w:rFonts w:ascii="Cambria Math" w:eastAsia="Times New Roman" w:hAnsi="Cambria Math" w:cs="Times New Roman"/>
            </w:rPr>
            <m:t>=</m:t>
          </m:r>
          <m:nary>
            <m:naryPr>
              <m:chr m:val="∑"/>
              <m:limLoc m:val="undOvr"/>
              <m:ctrlPr>
                <w:rPr>
                  <w:rFonts w:ascii="Cambria Math" w:eastAsia="Times New Roman" w:hAnsi="Cambria Math" w:cs="Times New Roman"/>
                  <w:i/>
                </w:rPr>
              </m:ctrlPr>
            </m:naryPr>
            <m:sub>
              <m:r>
                <w:rPr>
                  <w:rFonts w:ascii="Cambria Math" w:eastAsia="Times New Roman" w:hAnsi="Cambria Math" w:cs="Times New Roman"/>
                </w:rPr>
                <m:t>i=1</m:t>
              </m:r>
            </m:sub>
            <m:sup>
              <m:r>
                <w:rPr>
                  <w:rFonts w:ascii="Cambria Math" w:eastAsia="Times New Roman" w:hAnsi="Cambria Math" w:cs="Times New Roman"/>
                </w:rPr>
                <m:t>n</m:t>
              </m:r>
            </m:sup>
            <m:e>
              <m:f>
                <m:fPr>
                  <m:ctrlPr>
                    <w:rPr>
                      <w:rFonts w:ascii="Cambria Math" w:eastAsia="Times New Roman" w:hAnsi="Cambria Math" w:cs="Times New Roman"/>
                      <w:i/>
                    </w:rPr>
                  </m:ctrlPr>
                </m:fPr>
                <m:num>
                  <m:r>
                    <w:rPr>
                      <w:rFonts w:ascii="Cambria Math" w:eastAsia="Times New Roman" w:hAnsi="Cambria Math" w:cs="Times New Roman"/>
                    </w:rPr>
                    <m:t>(Xi-X)(Yi-Y)</m:t>
                  </m:r>
                </m:num>
                <m:den>
                  <m:r>
                    <w:rPr>
                      <w:rFonts w:ascii="Cambria Math" w:eastAsia="Times New Roman" w:hAnsi="Cambria Math" w:cs="Times New Roman"/>
                    </w:rPr>
                    <m:t>n</m:t>
                  </m:r>
                </m:den>
              </m:f>
            </m:e>
          </m:nary>
        </m:oMath>
      </m:oMathPara>
    </w:p>
    <w:p w14:paraId="5E966E74" w14:textId="77777777" w:rsidR="00ED2472" w:rsidRPr="00804FCB" w:rsidRDefault="00ED2472" w:rsidP="00ED2472">
      <w:pPr>
        <w:spacing w:before="280" w:after="80" w:line="360" w:lineRule="auto"/>
        <w:jc w:val="both"/>
        <w:rPr>
          <w:rFonts w:ascii="Times New Roman" w:eastAsia="Times New Roman" w:hAnsi="Times New Roman" w:cs="Times New Roman"/>
        </w:rPr>
      </w:pPr>
      <m:oMathPara>
        <m:oMath>
          <m:r>
            <w:rPr>
              <w:rFonts w:ascii="Cambria Math" w:eastAsia="Times New Roman" w:hAnsi="Cambria Math" w:cs="Times New Roman"/>
            </w:rPr>
            <m:t>Matriz de Varianza-Covarianza=</m:t>
          </m:r>
          <m:d>
            <m:dPr>
              <m:begChr m:val="["/>
              <m:endChr m:val="]"/>
              <m:ctrlPr>
                <w:rPr>
                  <w:rFonts w:ascii="Cambria Math" w:eastAsia="Times New Roman" w:hAnsi="Cambria Math" w:cs="Times New Roman"/>
                  <w:i/>
                </w:rPr>
              </m:ctrlPr>
            </m:dPr>
            <m:e>
              <m:m>
                <m:mPr>
                  <m:mcs>
                    <m:mc>
                      <m:mcPr>
                        <m:count m:val="3"/>
                        <m:mcJc m:val="center"/>
                      </m:mcPr>
                    </m:mc>
                  </m:mcs>
                  <m:ctrlPr>
                    <w:rPr>
                      <w:rFonts w:ascii="Cambria Math" w:eastAsia="Times New Roman" w:hAnsi="Cambria Math" w:cs="Times New Roman"/>
                      <w:i/>
                    </w:rPr>
                  </m:ctrlPr>
                </m:mPr>
                <m:mr>
                  <m:e>
                    <m:r>
                      <w:rPr>
                        <w:rFonts w:ascii="Cambria Math" w:eastAsia="Times New Roman" w:hAnsi="Cambria Math" w:cs="Times New Roman"/>
                      </w:rPr>
                      <m:t>Var(X)</m:t>
                    </m:r>
                  </m:e>
                  <m:e>
                    <m:r>
                      <w:rPr>
                        <w:rFonts w:ascii="Cambria Math" w:eastAsia="Times New Roman" w:hAnsi="Cambria Math" w:cs="Times New Roman"/>
                      </w:rPr>
                      <m:t>Cov(X,Y)</m:t>
                    </m:r>
                  </m:e>
                  <m:e>
                    <m:r>
                      <w:rPr>
                        <w:rFonts w:ascii="Cambria Math" w:eastAsia="Times New Roman" w:hAnsi="Cambria Math" w:cs="Times New Roman"/>
                      </w:rPr>
                      <m:t>…</m:t>
                    </m:r>
                  </m:e>
                </m:mr>
                <m:mr>
                  <m:e>
                    <m:r>
                      <w:rPr>
                        <w:rFonts w:ascii="Cambria Math" w:eastAsia="Times New Roman" w:hAnsi="Cambria Math" w:cs="Times New Roman"/>
                      </w:rPr>
                      <m:t>Cov(Y,X)</m:t>
                    </m:r>
                  </m:e>
                  <m:e>
                    <m:r>
                      <w:rPr>
                        <w:rFonts w:ascii="Cambria Math" w:eastAsia="Times New Roman" w:hAnsi="Cambria Math" w:cs="Times New Roman"/>
                      </w:rPr>
                      <m:t>Var(Y)</m:t>
                    </m:r>
                  </m:e>
                  <m:e>
                    <m:r>
                      <w:rPr>
                        <w:rFonts w:ascii="Cambria Math" w:eastAsia="Times New Roman" w:hAnsi="Cambria Math" w:cs="Times New Roman"/>
                      </w:rPr>
                      <m:t>…</m:t>
                    </m:r>
                  </m:e>
                </m:mr>
                <m:mr>
                  <m:e>
                    <m:r>
                      <w:rPr>
                        <w:rFonts w:ascii="Cambria Math" w:eastAsia="Times New Roman" w:hAnsi="Cambria Math" w:cs="Times New Roman"/>
                      </w:rPr>
                      <m:t>⋮</m:t>
                    </m:r>
                  </m:e>
                  <m:e>
                    <m:r>
                      <w:rPr>
                        <w:rFonts w:ascii="Cambria Math" w:eastAsia="Times New Roman" w:hAnsi="Cambria Math" w:cs="Times New Roman"/>
                      </w:rPr>
                      <m:t>⋮</m:t>
                    </m:r>
                  </m:e>
                  <m:e>
                    <m:r>
                      <w:rPr>
                        <w:rFonts w:ascii="Cambria Math" w:eastAsia="Times New Roman" w:hAnsi="Cambria Math" w:cs="Times New Roman"/>
                      </w:rPr>
                      <m:t>⋱</m:t>
                    </m:r>
                  </m:e>
                </m:mr>
              </m:m>
            </m:e>
          </m:d>
        </m:oMath>
      </m:oMathPara>
    </w:p>
    <w:p w14:paraId="32747DE6"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p>
    <w:p w14:paraId="5E8B2381"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Esta matriz permite analizar la dispersión y relación entre los rendimientos de los activos que integran el portafolio. Los elementos en la diagonal principal representan la varianza de cada criptomoneda (su riesgo individual), mientras que los elementos fuera de la diagonal expresan la covarianza o grado de interdependencia entre pares de activos. Cuanto menor sea la correlación entre ellos, mayor será el potencial de diversificación y, por tanto, menor el riesgo global del portafolio.</w:t>
      </w:r>
    </w:p>
    <w:p w14:paraId="1ADE0703"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En términos de </w:t>
      </w:r>
      <w:r w:rsidRPr="00ED2472">
        <w:rPr>
          <w:rFonts w:ascii="Times New Roman" w:eastAsia="Times New Roman" w:hAnsi="Times New Roman" w:cs="Times New Roman"/>
          <w:b/>
          <w:bCs/>
          <w:kern w:val="0"/>
          <w:lang w:eastAsia="es-MX"/>
          <w14:ligatures w14:val="none"/>
        </w:rPr>
        <w:t>inclusión financiera</w:t>
      </w:r>
      <w:r w:rsidRPr="00ED2472">
        <w:rPr>
          <w:rFonts w:ascii="Times New Roman" w:eastAsia="Times New Roman" w:hAnsi="Times New Roman" w:cs="Times New Roman"/>
          <w:kern w:val="0"/>
          <w:lang w:eastAsia="es-MX"/>
          <w14:ligatures w14:val="none"/>
        </w:rPr>
        <w:t xml:space="preserve">, el modelo de Markowitz ofrece un marco técnico que puede ser utilizado para diseñar </w:t>
      </w:r>
      <w:r w:rsidRPr="00ED2472">
        <w:rPr>
          <w:rFonts w:ascii="Times New Roman" w:eastAsia="Times New Roman" w:hAnsi="Times New Roman" w:cs="Times New Roman"/>
          <w:b/>
          <w:bCs/>
          <w:kern w:val="0"/>
          <w:lang w:eastAsia="es-MX"/>
          <w14:ligatures w14:val="none"/>
        </w:rPr>
        <w:t>productos financieros digitales accesibles</w:t>
      </w:r>
      <w:r w:rsidRPr="00ED2472">
        <w:rPr>
          <w:rFonts w:ascii="Times New Roman" w:eastAsia="Times New Roman" w:hAnsi="Times New Roman" w:cs="Times New Roman"/>
          <w:kern w:val="0"/>
          <w:lang w:eastAsia="es-MX"/>
          <w14:ligatures w14:val="none"/>
        </w:rPr>
        <w:t>, como fondos de inversión en criptomonedas o carteras automatizadas (robo-</w:t>
      </w:r>
      <w:proofErr w:type="spellStart"/>
      <w:r w:rsidRPr="00ED2472">
        <w:rPr>
          <w:rFonts w:ascii="Times New Roman" w:eastAsia="Times New Roman" w:hAnsi="Times New Roman" w:cs="Times New Roman"/>
          <w:kern w:val="0"/>
          <w:lang w:eastAsia="es-MX"/>
          <w14:ligatures w14:val="none"/>
        </w:rPr>
        <w:t>advisors</w:t>
      </w:r>
      <w:proofErr w:type="spellEnd"/>
      <w:r w:rsidRPr="00ED2472">
        <w:rPr>
          <w:rFonts w:ascii="Times New Roman" w:eastAsia="Times New Roman" w:hAnsi="Times New Roman" w:cs="Times New Roman"/>
          <w:kern w:val="0"/>
          <w:lang w:eastAsia="es-MX"/>
          <w14:ligatures w14:val="none"/>
        </w:rPr>
        <w:t xml:space="preserve">) adaptadas a distintos niveles de riesgo. Estas herramientas pueden democratizar el acceso a los mercados de inversión, ofreciendo a pequeños ahorristas la posibilidad de participar en instrumentos diversificados sin necesidad de grandes montos de capital ni intermediarios tradicionales. Además, la implementación de tales mecanismos en plataformas digitales puede facilitar la </w:t>
      </w:r>
      <w:r w:rsidRPr="00ED2472">
        <w:rPr>
          <w:rFonts w:ascii="Times New Roman" w:eastAsia="Times New Roman" w:hAnsi="Times New Roman" w:cs="Times New Roman"/>
          <w:b/>
          <w:bCs/>
          <w:kern w:val="0"/>
          <w:lang w:eastAsia="es-MX"/>
          <w14:ligatures w14:val="none"/>
        </w:rPr>
        <w:t>educación financiera práctica</w:t>
      </w:r>
      <w:r w:rsidRPr="00ED2472">
        <w:rPr>
          <w:rFonts w:ascii="Times New Roman" w:eastAsia="Times New Roman" w:hAnsi="Times New Roman" w:cs="Times New Roman"/>
          <w:kern w:val="0"/>
          <w:lang w:eastAsia="es-MX"/>
          <w14:ligatures w14:val="none"/>
        </w:rPr>
        <w:t>, al permitir que los usuarios comprendan la relación entre riesgo, retorno y diversificación mediante experiencias de inversión reales o simuladas.</w:t>
      </w:r>
    </w:p>
    <w:p w14:paraId="52BFBE14" w14:textId="77777777" w:rsidR="00ED2472" w:rsidRPr="00ED2472" w:rsidRDefault="00ED2472" w:rsidP="00ED2472">
      <w:pPr>
        <w:spacing w:before="100" w:beforeAutospacing="1" w:after="240" w:line="36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Por tanto, el análisis de portafolio aplicado a las criptomonedas no solo tiene implicaciones técnicas, sino también </w:t>
      </w:r>
      <w:r w:rsidRPr="00ED2472">
        <w:rPr>
          <w:rFonts w:ascii="Times New Roman" w:eastAsia="Times New Roman" w:hAnsi="Times New Roman" w:cs="Times New Roman"/>
          <w:b/>
          <w:bCs/>
          <w:kern w:val="0"/>
          <w:lang w:eastAsia="es-MX"/>
          <w14:ligatures w14:val="none"/>
        </w:rPr>
        <w:t>sociales y estructurales</w:t>
      </w:r>
      <w:r w:rsidRPr="00ED2472">
        <w:rPr>
          <w:rFonts w:ascii="Times New Roman" w:eastAsia="Times New Roman" w:hAnsi="Times New Roman" w:cs="Times New Roman"/>
          <w:kern w:val="0"/>
          <w:lang w:eastAsia="es-MX"/>
          <w14:ligatures w14:val="none"/>
        </w:rPr>
        <w:t>. Al fomentar el acceso a instrumentos de inversión diversificados y transparentes, se fortalece la autonomía económica de los individuos y se amplía la base de participación en la economía digital. Desde la perspectiva boliviana, la aplicación del modelo de Markowitz puede servir como un puente entre la innovación tecnológica y la inclusión financiera, contribuyendo a la creación de un sistema financiero más equitativo, resiliente y adaptado a las nuevas realidades del mercado digital.</w:t>
      </w:r>
    </w:p>
    <w:p w14:paraId="29BA709F" w14:textId="4D3E16FD" w:rsidR="00ED2472" w:rsidRPr="00ED2472" w:rsidRDefault="00ED2472" w:rsidP="00ED2472">
      <w:pPr>
        <w:jc w:val="both"/>
        <w:rPr>
          <w:b/>
          <w:bCs/>
        </w:rPr>
      </w:pPr>
      <w:r w:rsidRPr="00ED2472">
        <w:rPr>
          <w:b/>
          <w:bCs/>
        </w:rPr>
        <w:lastRenderedPageBreak/>
        <w:t>Bibliografía</w:t>
      </w:r>
    </w:p>
    <w:p w14:paraId="3E726DEB" w14:textId="77777777" w:rsidR="00ED2472" w:rsidRPr="00ED2472" w:rsidRDefault="00ED2472" w:rsidP="00ED2472">
      <w:pPr>
        <w:jc w:val="both"/>
      </w:pPr>
    </w:p>
    <w:p w14:paraId="357DDE6D" w14:textId="77777777" w:rsidR="00ED2472" w:rsidRPr="00ED2472" w:rsidRDefault="00ED2472" w:rsidP="00ED2472">
      <w:pPr>
        <w:pStyle w:val="Prrafodelista"/>
        <w:numPr>
          <w:ilvl w:val="0"/>
          <w:numId w:val="3"/>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Agencia Boliviana de Información. (2024). </w:t>
      </w:r>
      <w:r w:rsidRPr="00ED2472">
        <w:rPr>
          <w:rFonts w:ascii="Times New Roman" w:eastAsia="Times New Roman" w:hAnsi="Times New Roman" w:cs="Times New Roman"/>
          <w:i/>
          <w:iCs/>
          <w:kern w:val="0"/>
          <w:lang w:eastAsia="es-MX"/>
          <w14:ligatures w14:val="none"/>
        </w:rPr>
        <w:t>Bolivia mejora su índice de inclusión financiera gracias a las billeteras digitales</w:t>
      </w:r>
      <w:r w:rsidRPr="00ED2472">
        <w:rPr>
          <w:rFonts w:ascii="Times New Roman" w:eastAsia="Times New Roman" w:hAnsi="Times New Roman" w:cs="Times New Roman"/>
          <w:kern w:val="0"/>
          <w:lang w:eastAsia="es-MX"/>
          <w14:ligatures w14:val="none"/>
        </w:rPr>
        <w:t>. ABI.</w:t>
      </w:r>
      <w:r w:rsidRPr="00ED2472">
        <w:rPr>
          <w:rFonts w:ascii="Times New Roman" w:eastAsia="Times New Roman" w:hAnsi="Times New Roman" w:cs="Times New Roman"/>
          <w:kern w:val="0"/>
          <w:lang w:eastAsia="es-MX"/>
          <w14:ligatures w14:val="none"/>
        </w:rPr>
        <w:br/>
        <w:t>https://www.abi.bo</w:t>
      </w:r>
    </w:p>
    <w:p w14:paraId="38CAD297" w14:textId="77777777" w:rsidR="00ED2472" w:rsidRPr="00ED2472" w:rsidRDefault="00ED2472" w:rsidP="00ED2472">
      <w:pPr>
        <w:pStyle w:val="Prrafodelista"/>
        <w:numPr>
          <w:ilvl w:val="0"/>
          <w:numId w:val="3"/>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Alliance </w:t>
      </w:r>
      <w:proofErr w:type="spellStart"/>
      <w:r w:rsidRPr="00ED2472">
        <w:rPr>
          <w:rFonts w:ascii="Times New Roman" w:eastAsia="Times New Roman" w:hAnsi="Times New Roman" w:cs="Times New Roman"/>
          <w:kern w:val="0"/>
          <w:lang w:eastAsia="es-MX"/>
          <w14:ligatures w14:val="none"/>
        </w:rPr>
        <w:t>for</w:t>
      </w:r>
      <w:proofErr w:type="spellEnd"/>
      <w:r w:rsidRPr="00ED2472">
        <w:rPr>
          <w:rFonts w:ascii="Times New Roman" w:eastAsia="Times New Roman" w:hAnsi="Times New Roman" w:cs="Times New Roman"/>
          <w:kern w:val="0"/>
          <w:lang w:eastAsia="es-MX"/>
          <w14:ligatures w14:val="none"/>
        </w:rPr>
        <w:t xml:space="preserve"> </w:t>
      </w:r>
      <w:proofErr w:type="spellStart"/>
      <w:r w:rsidRPr="00ED2472">
        <w:rPr>
          <w:rFonts w:ascii="Times New Roman" w:eastAsia="Times New Roman" w:hAnsi="Times New Roman" w:cs="Times New Roman"/>
          <w:kern w:val="0"/>
          <w:lang w:eastAsia="es-MX"/>
          <w14:ligatures w14:val="none"/>
        </w:rPr>
        <w:t>Financial</w:t>
      </w:r>
      <w:proofErr w:type="spellEnd"/>
      <w:r w:rsidRPr="00ED2472">
        <w:rPr>
          <w:rFonts w:ascii="Times New Roman" w:eastAsia="Times New Roman" w:hAnsi="Times New Roman" w:cs="Times New Roman"/>
          <w:kern w:val="0"/>
          <w:lang w:eastAsia="es-MX"/>
          <w14:ligatures w14:val="none"/>
        </w:rPr>
        <w:t xml:space="preserve"> </w:t>
      </w:r>
      <w:proofErr w:type="spellStart"/>
      <w:r w:rsidRPr="00ED2472">
        <w:rPr>
          <w:rFonts w:ascii="Times New Roman" w:eastAsia="Times New Roman" w:hAnsi="Times New Roman" w:cs="Times New Roman"/>
          <w:kern w:val="0"/>
          <w:lang w:eastAsia="es-MX"/>
          <w14:ligatures w14:val="none"/>
        </w:rPr>
        <w:t>Inclusion</w:t>
      </w:r>
      <w:proofErr w:type="spellEnd"/>
      <w:r w:rsidRPr="00ED2472">
        <w:rPr>
          <w:rFonts w:ascii="Times New Roman" w:eastAsia="Times New Roman" w:hAnsi="Times New Roman" w:cs="Times New Roman"/>
          <w:kern w:val="0"/>
          <w:lang w:eastAsia="es-MX"/>
          <w14:ligatures w14:val="none"/>
        </w:rPr>
        <w:t xml:space="preserve"> (AFI). (2024). </w:t>
      </w:r>
      <w:r w:rsidRPr="00ED2472">
        <w:rPr>
          <w:rFonts w:ascii="Times New Roman" w:eastAsia="Times New Roman" w:hAnsi="Times New Roman" w:cs="Times New Roman"/>
          <w:i/>
          <w:iCs/>
          <w:kern w:val="0"/>
          <w:lang w:eastAsia="es-MX"/>
          <w14:ligatures w14:val="none"/>
        </w:rPr>
        <w:t>Activos virtuales e inclusión financiera para América Latina y el Caribe</w:t>
      </w:r>
      <w:r w:rsidRPr="00ED2472">
        <w:rPr>
          <w:rFonts w:ascii="Times New Roman" w:eastAsia="Times New Roman" w:hAnsi="Times New Roman" w:cs="Times New Roman"/>
          <w:kern w:val="0"/>
          <w:lang w:eastAsia="es-MX"/>
          <w14:ligatures w14:val="none"/>
        </w:rPr>
        <w:t>. AFI.</w:t>
      </w:r>
      <w:r w:rsidRPr="00ED2472">
        <w:rPr>
          <w:rFonts w:ascii="Times New Roman" w:eastAsia="Times New Roman" w:hAnsi="Times New Roman" w:cs="Times New Roman"/>
          <w:kern w:val="0"/>
          <w:lang w:eastAsia="es-MX"/>
          <w14:ligatures w14:val="none"/>
        </w:rPr>
        <w:br/>
      </w:r>
      <w:hyperlink r:id="rId5" w:tgtFrame="_new" w:history="1">
        <w:r w:rsidRPr="00ED2472">
          <w:rPr>
            <w:rFonts w:ascii="Times New Roman" w:eastAsia="Times New Roman" w:hAnsi="Times New Roman" w:cs="Times New Roman"/>
            <w:color w:val="0000FF"/>
            <w:kern w:val="0"/>
            <w:u w:val="single"/>
            <w:lang w:eastAsia="es-MX"/>
            <w14:ligatures w14:val="none"/>
          </w:rPr>
          <w:t>https://www.afi-global.org/wp-content/uploads/2024/12/Virtual-Assets-Policy-Brief_Spanish.pdf</w:t>
        </w:r>
      </w:hyperlink>
    </w:p>
    <w:p w14:paraId="57FDC046" w14:textId="77777777" w:rsidR="00ED2472" w:rsidRPr="00ED2472" w:rsidRDefault="00ED2472" w:rsidP="00ED2472">
      <w:pPr>
        <w:pStyle w:val="Prrafodelista"/>
        <w:numPr>
          <w:ilvl w:val="0"/>
          <w:numId w:val="3"/>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Asociación de Bancos Privados de Bolivia (ASOBAN). (2023). </w:t>
      </w:r>
      <w:r w:rsidRPr="00ED2472">
        <w:rPr>
          <w:rFonts w:ascii="Times New Roman" w:eastAsia="Times New Roman" w:hAnsi="Times New Roman" w:cs="Times New Roman"/>
          <w:i/>
          <w:iCs/>
          <w:kern w:val="0"/>
          <w:lang w:eastAsia="es-MX"/>
          <w14:ligatures w14:val="none"/>
        </w:rPr>
        <w:t>Informe sobre la digitalización de servicios financieros en Bolivia</w:t>
      </w:r>
      <w:r w:rsidRPr="00ED2472">
        <w:rPr>
          <w:rFonts w:ascii="Times New Roman" w:eastAsia="Times New Roman" w:hAnsi="Times New Roman" w:cs="Times New Roman"/>
          <w:kern w:val="0"/>
          <w:lang w:eastAsia="es-MX"/>
          <w14:ligatures w14:val="none"/>
        </w:rPr>
        <w:t>. Bolivia Emprende.</w:t>
      </w:r>
      <w:r w:rsidRPr="00ED2472">
        <w:rPr>
          <w:rFonts w:ascii="Times New Roman" w:eastAsia="Times New Roman" w:hAnsi="Times New Roman" w:cs="Times New Roman"/>
          <w:kern w:val="0"/>
          <w:lang w:eastAsia="es-MX"/>
          <w14:ligatures w14:val="none"/>
        </w:rPr>
        <w:br/>
        <w:t>https://boliviaemprende.com/publicaciones</w:t>
      </w:r>
    </w:p>
    <w:p w14:paraId="3CC619F7" w14:textId="77777777" w:rsidR="00ED2472" w:rsidRPr="00ED2472" w:rsidRDefault="00ED2472" w:rsidP="00ED2472">
      <w:pPr>
        <w:pStyle w:val="Prrafodelista"/>
        <w:numPr>
          <w:ilvl w:val="0"/>
          <w:numId w:val="3"/>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Banco Interamericano de Desarrollo (BID) &amp; Cambridge Centre </w:t>
      </w:r>
      <w:proofErr w:type="spellStart"/>
      <w:r w:rsidRPr="00ED2472">
        <w:rPr>
          <w:rFonts w:ascii="Times New Roman" w:eastAsia="Times New Roman" w:hAnsi="Times New Roman" w:cs="Times New Roman"/>
          <w:kern w:val="0"/>
          <w:lang w:eastAsia="es-MX"/>
          <w14:ligatures w14:val="none"/>
        </w:rPr>
        <w:t>for</w:t>
      </w:r>
      <w:proofErr w:type="spellEnd"/>
      <w:r w:rsidRPr="00ED2472">
        <w:rPr>
          <w:rFonts w:ascii="Times New Roman" w:eastAsia="Times New Roman" w:hAnsi="Times New Roman" w:cs="Times New Roman"/>
          <w:kern w:val="0"/>
          <w:lang w:eastAsia="es-MX"/>
          <w14:ligatures w14:val="none"/>
        </w:rPr>
        <w:t xml:space="preserve"> Alternative </w:t>
      </w:r>
      <w:proofErr w:type="spellStart"/>
      <w:r w:rsidRPr="00ED2472">
        <w:rPr>
          <w:rFonts w:ascii="Times New Roman" w:eastAsia="Times New Roman" w:hAnsi="Times New Roman" w:cs="Times New Roman"/>
          <w:kern w:val="0"/>
          <w:lang w:eastAsia="es-MX"/>
          <w14:ligatures w14:val="none"/>
        </w:rPr>
        <w:t>Finance</w:t>
      </w:r>
      <w:proofErr w:type="spellEnd"/>
      <w:r w:rsidRPr="00ED2472">
        <w:rPr>
          <w:rFonts w:ascii="Times New Roman" w:eastAsia="Times New Roman" w:hAnsi="Times New Roman" w:cs="Times New Roman"/>
          <w:kern w:val="0"/>
          <w:lang w:eastAsia="es-MX"/>
          <w14:ligatures w14:val="none"/>
        </w:rPr>
        <w:t xml:space="preserve"> (CCAF). (2022). </w:t>
      </w:r>
      <w:r w:rsidRPr="00ED2472">
        <w:rPr>
          <w:rFonts w:ascii="Times New Roman" w:eastAsia="Times New Roman" w:hAnsi="Times New Roman" w:cs="Times New Roman"/>
          <w:i/>
          <w:iCs/>
          <w:kern w:val="0"/>
          <w:lang w:eastAsia="es-MX"/>
          <w14:ligatures w14:val="none"/>
        </w:rPr>
        <w:t xml:space="preserve">Ecosistema de </w:t>
      </w:r>
      <w:proofErr w:type="spellStart"/>
      <w:r w:rsidRPr="00ED2472">
        <w:rPr>
          <w:rFonts w:ascii="Times New Roman" w:eastAsia="Times New Roman" w:hAnsi="Times New Roman" w:cs="Times New Roman"/>
          <w:i/>
          <w:iCs/>
          <w:kern w:val="0"/>
          <w:lang w:eastAsia="es-MX"/>
          <w14:ligatures w14:val="none"/>
        </w:rPr>
        <w:t>criptoactivos</w:t>
      </w:r>
      <w:proofErr w:type="spellEnd"/>
      <w:r w:rsidRPr="00ED2472">
        <w:rPr>
          <w:rFonts w:ascii="Times New Roman" w:eastAsia="Times New Roman" w:hAnsi="Times New Roman" w:cs="Times New Roman"/>
          <w:i/>
          <w:iCs/>
          <w:kern w:val="0"/>
          <w:lang w:eastAsia="es-MX"/>
          <w14:ligatures w14:val="none"/>
        </w:rPr>
        <w:t xml:space="preserve"> en América Latina y el Caribe</w:t>
      </w:r>
      <w:r w:rsidRPr="00ED2472">
        <w:rPr>
          <w:rFonts w:ascii="Times New Roman" w:eastAsia="Times New Roman" w:hAnsi="Times New Roman" w:cs="Times New Roman"/>
          <w:kern w:val="0"/>
          <w:lang w:eastAsia="es-MX"/>
          <w14:ligatures w14:val="none"/>
        </w:rPr>
        <w:t>. BID.</w:t>
      </w:r>
      <w:r w:rsidRPr="00ED2472">
        <w:rPr>
          <w:rFonts w:ascii="Times New Roman" w:eastAsia="Times New Roman" w:hAnsi="Times New Roman" w:cs="Times New Roman"/>
          <w:kern w:val="0"/>
          <w:lang w:eastAsia="es-MX"/>
          <w14:ligatures w14:val="none"/>
        </w:rPr>
        <w:br/>
      </w:r>
      <w:hyperlink r:id="rId6" w:tgtFrame="_new" w:history="1">
        <w:r w:rsidRPr="00ED2472">
          <w:rPr>
            <w:rFonts w:ascii="Times New Roman" w:eastAsia="Times New Roman" w:hAnsi="Times New Roman" w:cs="Times New Roman"/>
            <w:color w:val="0000FF"/>
            <w:kern w:val="0"/>
            <w:u w:val="single"/>
            <w:lang w:eastAsia="es-MX"/>
            <w14:ligatures w14:val="none"/>
          </w:rPr>
          <w:t>https://www.iadb.org/es/noticias/estudio-el-ecosistema-de-criptoactivos-registra-un-crecimiento-significativo-en-america</w:t>
        </w:r>
      </w:hyperlink>
    </w:p>
    <w:p w14:paraId="16DEFF16" w14:textId="77777777" w:rsidR="00ED2472" w:rsidRPr="00ED2472" w:rsidRDefault="00ED2472" w:rsidP="00ED2472">
      <w:pPr>
        <w:pStyle w:val="Prrafodelista"/>
        <w:numPr>
          <w:ilvl w:val="0"/>
          <w:numId w:val="3"/>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proofErr w:type="spellStart"/>
      <w:r w:rsidRPr="00ED2472">
        <w:rPr>
          <w:rFonts w:ascii="Times New Roman" w:eastAsia="Times New Roman" w:hAnsi="Times New Roman" w:cs="Times New Roman"/>
          <w:kern w:val="0"/>
          <w:lang w:eastAsia="es-MX"/>
          <w14:ligatures w14:val="none"/>
        </w:rPr>
        <w:t>Blockfinity</w:t>
      </w:r>
      <w:proofErr w:type="spellEnd"/>
      <w:r w:rsidRPr="00ED2472">
        <w:rPr>
          <w:rFonts w:ascii="Times New Roman" w:eastAsia="Times New Roman" w:hAnsi="Times New Roman" w:cs="Times New Roman"/>
          <w:kern w:val="0"/>
          <w:lang w:eastAsia="es-MX"/>
          <w14:ligatures w14:val="none"/>
        </w:rPr>
        <w:t xml:space="preserve"> </w:t>
      </w:r>
      <w:proofErr w:type="spellStart"/>
      <w:r w:rsidRPr="00ED2472">
        <w:rPr>
          <w:rFonts w:ascii="Times New Roman" w:eastAsia="Times New Roman" w:hAnsi="Times New Roman" w:cs="Times New Roman"/>
          <w:kern w:val="0"/>
          <w:lang w:eastAsia="es-MX"/>
          <w14:ligatures w14:val="none"/>
        </w:rPr>
        <w:t>Advisors</w:t>
      </w:r>
      <w:proofErr w:type="spellEnd"/>
      <w:r w:rsidRPr="00ED2472">
        <w:rPr>
          <w:rFonts w:ascii="Times New Roman" w:eastAsia="Times New Roman" w:hAnsi="Times New Roman" w:cs="Times New Roman"/>
          <w:kern w:val="0"/>
          <w:lang w:eastAsia="es-MX"/>
          <w14:ligatures w14:val="none"/>
        </w:rPr>
        <w:t xml:space="preserve">. (2025). </w:t>
      </w:r>
      <w:r w:rsidRPr="00ED2472">
        <w:rPr>
          <w:rFonts w:ascii="Times New Roman" w:eastAsia="Times New Roman" w:hAnsi="Times New Roman" w:cs="Times New Roman"/>
          <w:i/>
          <w:iCs/>
          <w:kern w:val="0"/>
          <w:lang w:eastAsia="es-MX"/>
          <w14:ligatures w14:val="none"/>
        </w:rPr>
        <w:t>Percepción y uso de criptomonedas en Bolivia</w:t>
      </w:r>
      <w:r w:rsidRPr="00ED2472">
        <w:rPr>
          <w:rFonts w:ascii="Times New Roman" w:eastAsia="Times New Roman" w:hAnsi="Times New Roman" w:cs="Times New Roman"/>
          <w:kern w:val="0"/>
          <w:lang w:eastAsia="es-MX"/>
          <w14:ligatures w14:val="none"/>
        </w:rPr>
        <w:t xml:space="preserve">. Cámara Boliviana de </w:t>
      </w:r>
      <w:proofErr w:type="spellStart"/>
      <w:r w:rsidRPr="00ED2472">
        <w:rPr>
          <w:rFonts w:ascii="Times New Roman" w:eastAsia="Times New Roman" w:hAnsi="Times New Roman" w:cs="Times New Roman"/>
          <w:kern w:val="0"/>
          <w:lang w:eastAsia="es-MX"/>
          <w14:ligatures w14:val="none"/>
        </w:rPr>
        <w:t>Blockchain</w:t>
      </w:r>
      <w:proofErr w:type="spellEnd"/>
      <w:r w:rsidRPr="00ED2472">
        <w:rPr>
          <w:rFonts w:ascii="Times New Roman" w:eastAsia="Times New Roman" w:hAnsi="Times New Roman" w:cs="Times New Roman"/>
          <w:kern w:val="0"/>
          <w:lang w:eastAsia="es-MX"/>
          <w14:ligatures w14:val="none"/>
        </w:rPr>
        <w:t>.</w:t>
      </w:r>
      <w:r w:rsidRPr="00ED2472">
        <w:rPr>
          <w:rFonts w:ascii="Times New Roman" w:eastAsia="Times New Roman" w:hAnsi="Times New Roman" w:cs="Times New Roman"/>
          <w:kern w:val="0"/>
          <w:lang w:eastAsia="es-MX"/>
          <w14:ligatures w14:val="none"/>
        </w:rPr>
        <w:br/>
      </w:r>
      <w:hyperlink r:id="rId7" w:tgtFrame="_new" w:history="1">
        <w:r w:rsidRPr="00ED2472">
          <w:rPr>
            <w:rFonts w:ascii="Times New Roman" w:eastAsia="Times New Roman" w:hAnsi="Times New Roman" w:cs="Times New Roman"/>
            <w:color w:val="0000FF"/>
            <w:kern w:val="0"/>
            <w:u w:val="single"/>
            <w:lang w:eastAsia="es-MX"/>
            <w14:ligatures w14:val="none"/>
          </w:rPr>
          <w:t>https://www.blockfinityadvisors.com/documents/Percepci%C3%B3n%20y%20Uso%20de%20Criptomonedas%20en%20Bolivia.pdf</w:t>
        </w:r>
      </w:hyperlink>
    </w:p>
    <w:p w14:paraId="03ECA71E" w14:textId="77777777" w:rsidR="00ED2472" w:rsidRPr="00ED2472" w:rsidRDefault="00ED2472" w:rsidP="00ED2472">
      <w:pPr>
        <w:pStyle w:val="Prrafodelista"/>
        <w:numPr>
          <w:ilvl w:val="0"/>
          <w:numId w:val="3"/>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Caballero </w:t>
      </w:r>
      <w:proofErr w:type="spellStart"/>
      <w:r w:rsidRPr="00ED2472">
        <w:rPr>
          <w:rFonts w:ascii="Times New Roman" w:eastAsia="Times New Roman" w:hAnsi="Times New Roman" w:cs="Times New Roman"/>
          <w:kern w:val="0"/>
          <w:lang w:eastAsia="es-MX"/>
          <w14:ligatures w14:val="none"/>
        </w:rPr>
        <w:t>Caballero</w:t>
      </w:r>
      <w:proofErr w:type="spellEnd"/>
      <w:r w:rsidRPr="00ED2472">
        <w:rPr>
          <w:rFonts w:ascii="Times New Roman" w:eastAsia="Times New Roman" w:hAnsi="Times New Roman" w:cs="Times New Roman"/>
          <w:kern w:val="0"/>
          <w:lang w:eastAsia="es-MX"/>
          <w14:ligatures w14:val="none"/>
        </w:rPr>
        <w:t xml:space="preserve">, A. B. (2024). </w:t>
      </w:r>
      <w:r w:rsidRPr="00ED2472">
        <w:rPr>
          <w:rFonts w:ascii="Times New Roman" w:eastAsia="Times New Roman" w:hAnsi="Times New Roman" w:cs="Times New Roman"/>
          <w:i/>
          <w:iCs/>
          <w:kern w:val="0"/>
          <w:lang w:eastAsia="es-MX"/>
          <w14:ligatures w14:val="none"/>
        </w:rPr>
        <w:t xml:space="preserve">Inclusión financiera en Bolivia – Un estudio de caso para los productores </w:t>
      </w:r>
      <w:proofErr w:type="spellStart"/>
      <w:r w:rsidRPr="00ED2472">
        <w:rPr>
          <w:rFonts w:ascii="Times New Roman" w:eastAsia="Times New Roman" w:hAnsi="Times New Roman" w:cs="Times New Roman"/>
          <w:i/>
          <w:iCs/>
          <w:kern w:val="0"/>
          <w:lang w:eastAsia="es-MX"/>
          <w14:ligatures w14:val="none"/>
        </w:rPr>
        <w:t>quinueros</w:t>
      </w:r>
      <w:proofErr w:type="spellEnd"/>
      <w:r w:rsidRPr="00ED2472">
        <w:rPr>
          <w:rFonts w:ascii="Times New Roman" w:eastAsia="Times New Roman" w:hAnsi="Times New Roman" w:cs="Times New Roman"/>
          <w:i/>
          <w:iCs/>
          <w:kern w:val="0"/>
          <w:lang w:eastAsia="es-MX"/>
          <w14:ligatures w14:val="none"/>
        </w:rPr>
        <w:t xml:space="preserve"> del Altiplano Sur</w:t>
      </w:r>
      <w:r w:rsidRPr="00ED2472">
        <w:rPr>
          <w:rFonts w:ascii="Times New Roman" w:eastAsia="Times New Roman" w:hAnsi="Times New Roman" w:cs="Times New Roman"/>
          <w:kern w:val="0"/>
          <w:lang w:eastAsia="es-MX"/>
          <w14:ligatures w14:val="none"/>
        </w:rPr>
        <w:t xml:space="preserve"> (</w:t>
      </w:r>
      <w:proofErr w:type="spellStart"/>
      <w:r w:rsidRPr="00ED2472">
        <w:rPr>
          <w:rFonts w:ascii="Times New Roman" w:eastAsia="Times New Roman" w:hAnsi="Times New Roman" w:cs="Times New Roman"/>
          <w:kern w:val="0"/>
          <w:lang w:eastAsia="es-MX"/>
          <w14:ligatures w14:val="none"/>
        </w:rPr>
        <w:t>Working</w:t>
      </w:r>
      <w:proofErr w:type="spellEnd"/>
      <w:r w:rsidRPr="00ED2472">
        <w:rPr>
          <w:rFonts w:ascii="Times New Roman" w:eastAsia="Times New Roman" w:hAnsi="Times New Roman" w:cs="Times New Roman"/>
          <w:kern w:val="0"/>
          <w:lang w:eastAsia="es-MX"/>
          <w14:ligatures w14:val="none"/>
        </w:rPr>
        <w:t xml:space="preserve"> </w:t>
      </w:r>
      <w:proofErr w:type="spellStart"/>
      <w:r w:rsidRPr="00ED2472">
        <w:rPr>
          <w:rFonts w:ascii="Times New Roman" w:eastAsia="Times New Roman" w:hAnsi="Times New Roman" w:cs="Times New Roman"/>
          <w:kern w:val="0"/>
          <w:lang w:eastAsia="es-MX"/>
          <w14:ligatures w14:val="none"/>
        </w:rPr>
        <w:t>Paper</w:t>
      </w:r>
      <w:proofErr w:type="spellEnd"/>
      <w:r w:rsidRPr="00ED2472">
        <w:rPr>
          <w:rFonts w:ascii="Times New Roman" w:eastAsia="Times New Roman" w:hAnsi="Times New Roman" w:cs="Times New Roman"/>
          <w:kern w:val="0"/>
          <w:lang w:eastAsia="es-MX"/>
          <w14:ligatures w14:val="none"/>
        </w:rPr>
        <w:t xml:space="preserve"> 15/2024). INESAD.</w:t>
      </w:r>
      <w:r w:rsidRPr="00ED2472">
        <w:rPr>
          <w:rFonts w:ascii="Times New Roman" w:eastAsia="Times New Roman" w:hAnsi="Times New Roman" w:cs="Times New Roman"/>
          <w:kern w:val="0"/>
          <w:lang w:eastAsia="es-MX"/>
          <w14:ligatures w14:val="none"/>
        </w:rPr>
        <w:br/>
        <w:t>https://inesad.edu.bo</w:t>
      </w:r>
    </w:p>
    <w:p w14:paraId="28D3DF40" w14:textId="77777777" w:rsidR="00ED2472" w:rsidRPr="00ED2472" w:rsidRDefault="00ED2472" w:rsidP="00ED2472">
      <w:pPr>
        <w:pStyle w:val="Prrafodelista"/>
        <w:numPr>
          <w:ilvl w:val="0"/>
          <w:numId w:val="3"/>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proofErr w:type="spellStart"/>
      <w:r w:rsidRPr="00ED2472">
        <w:rPr>
          <w:rFonts w:ascii="Times New Roman" w:eastAsia="Times New Roman" w:hAnsi="Times New Roman" w:cs="Times New Roman"/>
          <w:kern w:val="0"/>
          <w:lang w:eastAsia="es-MX"/>
          <w14:ligatures w14:val="none"/>
        </w:rPr>
        <w:t>Céspedes</w:t>
      </w:r>
      <w:proofErr w:type="spellEnd"/>
      <w:r w:rsidRPr="00ED2472">
        <w:rPr>
          <w:rFonts w:ascii="Times New Roman" w:eastAsia="Times New Roman" w:hAnsi="Times New Roman" w:cs="Times New Roman"/>
          <w:kern w:val="0"/>
          <w:lang w:eastAsia="es-MX"/>
          <w14:ligatures w14:val="none"/>
        </w:rPr>
        <w:t xml:space="preserve">, Á., </w:t>
      </w:r>
      <w:proofErr w:type="spellStart"/>
      <w:r w:rsidRPr="00ED2472">
        <w:rPr>
          <w:rFonts w:ascii="Times New Roman" w:eastAsia="Times New Roman" w:hAnsi="Times New Roman" w:cs="Times New Roman"/>
          <w:kern w:val="0"/>
          <w:lang w:eastAsia="es-MX"/>
          <w14:ligatures w14:val="none"/>
        </w:rPr>
        <w:t>Cossio</w:t>
      </w:r>
      <w:proofErr w:type="spellEnd"/>
      <w:r w:rsidRPr="00ED2472">
        <w:rPr>
          <w:rFonts w:ascii="Times New Roman" w:eastAsia="Times New Roman" w:hAnsi="Times New Roman" w:cs="Times New Roman"/>
          <w:kern w:val="0"/>
          <w:lang w:eastAsia="es-MX"/>
          <w14:ligatures w14:val="none"/>
        </w:rPr>
        <w:t xml:space="preserve">, J., &amp; Calle, A. (2018). </w:t>
      </w:r>
      <w:r w:rsidRPr="00ED2472">
        <w:rPr>
          <w:rFonts w:ascii="Times New Roman" w:eastAsia="Times New Roman" w:hAnsi="Times New Roman" w:cs="Times New Roman"/>
          <w:i/>
          <w:iCs/>
          <w:kern w:val="0"/>
          <w:lang w:eastAsia="es-MX"/>
          <w14:ligatures w14:val="none"/>
        </w:rPr>
        <w:t>Inclusión financiera y pobreza en Bolivia</w:t>
      </w:r>
      <w:r w:rsidRPr="00ED2472">
        <w:rPr>
          <w:rFonts w:ascii="Times New Roman" w:eastAsia="Times New Roman" w:hAnsi="Times New Roman" w:cs="Times New Roman"/>
          <w:kern w:val="0"/>
          <w:lang w:eastAsia="es-MX"/>
          <w14:ligatures w14:val="none"/>
        </w:rPr>
        <w:t xml:space="preserve">. </w:t>
      </w:r>
      <w:r w:rsidRPr="00ED2472">
        <w:rPr>
          <w:rFonts w:ascii="Times New Roman" w:eastAsia="Times New Roman" w:hAnsi="Times New Roman" w:cs="Times New Roman"/>
          <w:i/>
          <w:iCs/>
          <w:kern w:val="0"/>
          <w:lang w:eastAsia="es-MX"/>
          <w14:ligatures w14:val="none"/>
        </w:rPr>
        <w:t>Revista de Análisis del Banco Central de Bolivia, 29</w:t>
      </w:r>
      <w:r w:rsidRPr="00ED2472">
        <w:rPr>
          <w:rFonts w:ascii="Times New Roman" w:eastAsia="Times New Roman" w:hAnsi="Times New Roman" w:cs="Times New Roman"/>
          <w:kern w:val="0"/>
          <w:lang w:eastAsia="es-MX"/>
          <w14:ligatures w14:val="none"/>
        </w:rPr>
        <w:t>(2), 83–126.</w:t>
      </w:r>
      <w:r w:rsidRPr="00ED2472">
        <w:rPr>
          <w:rFonts w:ascii="Times New Roman" w:eastAsia="Times New Roman" w:hAnsi="Times New Roman" w:cs="Times New Roman"/>
          <w:kern w:val="0"/>
          <w:lang w:eastAsia="es-MX"/>
          <w14:ligatures w14:val="none"/>
        </w:rPr>
        <w:br/>
      </w:r>
      <w:hyperlink r:id="rId8" w:tgtFrame="_new" w:history="1">
        <w:r w:rsidRPr="00ED2472">
          <w:rPr>
            <w:rFonts w:ascii="Times New Roman" w:eastAsia="Times New Roman" w:hAnsi="Times New Roman" w:cs="Times New Roman"/>
            <w:color w:val="0000FF"/>
            <w:kern w:val="0"/>
            <w:u w:val="single"/>
            <w:lang w:eastAsia="es-MX"/>
            <w14:ligatures w14:val="none"/>
          </w:rPr>
          <w:t>https://www.bcb.gob.bo/webdocs/publicacionesbcb/revista_analisis/ra_vol29/articulo_3_v29.pdf</w:t>
        </w:r>
      </w:hyperlink>
    </w:p>
    <w:p w14:paraId="63285A50" w14:textId="77777777" w:rsidR="00ED2472" w:rsidRPr="00ED2472" w:rsidRDefault="00ED2472" w:rsidP="00ED2472">
      <w:pPr>
        <w:pStyle w:val="Prrafodelista"/>
        <w:numPr>
          <w:ilvl w:val="0"/>
          <w:numId w:val="3"/>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proofErr w:type="spellStart"/>
      <w:r w:rsidRPr="00ED2472">
        <w:rPr>
          <w:rFonts w:ascii="Times New Roman" w:eastAsia="Times New Roman" w:hAnsi="Times New Roman" w:cs="Times New Roman"/>
          <w:kern w:val="0"/>
          <w:lang w:eastAsia="es-MX"/>
          <w14:ligatures w14:val="none"/>
        </w:rPr>
        <w:t>Chudasri</w:t>
      </w:r>
      <w:proofErr w:type="spellEnd"/>
      <w:r w:rsidRPr="00ED2472">
        <w:rPr>
          <w:rFonts w:ascii="Times New Roman" w:eastAsia="Times New Roman" w:hAnsi="Times New Roman" w:cs="Times New Roman"/>
          <w:kern w:val="0"/>
          <w:lang w:eastAsia="es-MX"/>
          <w14:ligatures w14:val="none"/>
        </w:rPr>
        <w:t xml:space="preserve">, P., et al. (2024). </w:t>
      </w:r>
      <w:r w:rsidRPr="00ED2472">
        <w:rPr>
          <w:rFonts w:ascii="Times New Roman" w:eastAsia="Times New Roman" w:hAnsi="Times New Roman" w:cs="Times New Roman"/>
          <w:i/>
          <w:iCs/>
          <w:kern w:val="0"/>
          <w:lang w:eastAsia="es-MX"/>
          <w14:ligatures w14:val="none"/>
        </w:rPr>
        <w:t>Las criptomonedas como catalizadores de la inclusión financiera en América Latina</w:t>
      </w:r>
      <w:r w:rsidRPr="00ED2472">
        <w:rPr>
          <w:rFonts w:ascii="Times New Roman" w:eastAsia="Times New Roman" w:hAnsi="Times New Roman" w:cs="Times New Roman"/>
          <w:kern w:val="0"/>
          <w:lang w:eastAsia="es-MX"/>
          <w14:ligatures w14:val="none"/>
        </w:rPr>
        <w:t xml:space="preserve">. </w:t>
      </w:r>
      <w:r w:rsidRPr="00ED2472">
        <w:rPr>
          <w:rFonts w:ascii="Times New Roman" w:eastAsia="Times New Roman" w:hAnsi="Times New Roman" w:cs="Times New Roman"/>
          <w:i/>
          <w:iCs/>
          <w:kern w:val="0"/>
          <w:lang w:eastAsia="es-MX"/>
          <w14:ligatures w14:val="none"/>
        </w:rPr>
        <w:t>Revista Latinoamericana de Economía, 24</w:t>
      </w:r>
      <w:r w:rsidRPr="00ED2472">
        <w:rPr>
          <w:rFonts w:ascii="Times New Roman" w:eastAsia="Times New Roman" w:hAnsi="Times New Roman" w:cs="Times New Roman"/>
          <w:kern w:val="0"/>
          <w:lang w:eastAsia="es-MX"/>
          <w14:ligatures w14:val="none"/>
        </w:rPr>
        <w:t>(2), 204–218.</w:t>
      </w:r>
      <w:r w:rsidRPr="00ED2472">
        <w:rPr>
          <w:rFonts w:ascii="Times New Roman" w:eastAsia="Times New Roman" w:hAnsi="Times New Roman" w:cs="Times New Roman"/>
          <w:kern w:val="0"/>
          <w:lang w:eastAsia="es-MX"/>
          <w14:ligatures w14:val="none"/>
        </w:rPr>
        <w:br/>
      </w:r>
      <w:hyperlink r:id="rId9" w:tgtFrame="_new" w:history="1">
        <w:r w:rsidRPr="00ED2472">
          <w:rPr>
            <w:rFonts w:ascii="Times New Roman" w:eastAsia="Times New Roman" w:hAnsi="Times New Roman" w:cs="Times New Roman"/>
            <w:color w:val="0000FF"/>
            <w:kern w:val="0"/>
            <w:u w:val="single"/>
            <w:lang w:eastAsia="es-MX"/>
            <w14:ligatures w14:val="none"/>
          </w:rPr>
          <w:t>https://www.scielo.org.mx/scielo.php?lng=es&amp;nrm=iso&amp;pid=S2683-26902024000200204&amp;script=sci_arttext</w:t>
        </w:r>
      </w:hyperlink>
    </w:p>
    <w:p w14:paraId="1E1D9485" w14:textId="77777777" w:rsidR="00ED2472" w:rsidRPr="00ED2472" w:rsidRDefault="00ED2472" w:rsidP="00ED2472">
      <w:pPr>
        <w:pStyle w:val="Prrafodelista"/>
        <w:numPr>
          <w:ilvl w:val="0"/>
          <w:numId w:val="3"/>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Credicorp. (2024). </w:t>
      </w:r>
      <w:r w:rsidRPr="00ED2472">
        <w:rPr>
          <w:rFonts w:ascii="Times New Roman" w:eastAsia="Times New Roman" w:hAnsi="Times New Roman" w:cs="Times New Roman"/>
          <w:i/>
          <w:iCs/>
          <w:kern w:val="0"/>
          <w:lang w:eastAsia="es-MX"/>
          <w14:ligatures w14:val="none"/>
        </w:rPr>
        <w:t>Índice de Inclusión Financiera 2024: Resultados regionales y por país</w:t>
      </w:r>
      <w:r w:rsidRPr="00ED2472">
        <w:rPr>
          <w:rFonts w:ascii="Times New Roman" w:eastAsia="Times New Roman" w:hAnsi="Times New Roman" w:cs="Times New Roman"/>
          <w:kern w:val="0"/>
          <w:lang w:eastAsia="es-MX"/>
          <w14:ligatures w14:val="none"/>
        </w:rPr>
        <w:t>. Credicorp.</w:t>
      </w:r>
      <w:r w:rsidRPr="00ED2472">
        <w:rPr>
          <w:rFonts w:ascii="Times New Roman" w:eastAsia="Times New Roman" w:hAnsi="Times New Roman" w:cs="Times New Roman"/>
          <w:kern w:val="0"/>
          <w:lang w:eastAsia="es-MX"/>
          <w14:ligatures w14:val="none"/>
        </w:rPr>
        <w:br/>
        <w:t>https://www.credicorpbank.com</w:t>
      </w:r>
    </w:p>
    <w:p w14:paraId="6FD7638B" w14:textId="77777777" w:rsidR="00ED2472" w:rsidRPr="00ED2472" w:rsidRDefault="00ED2472" w:rsidP="00ED2472">
      <w:pPr>
        <w:pStyle w:val="Prrafodelista"/>
        <w:numPr>
          <w:ilvl w:val="0"/>
          <w:numId w:val="3"/>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El </w:t>
      </w:r>
      <w:proofErr w:type="spellStart"/>
      <w:r w:rsidRPr="00ED2472">
        <w:rPr>
          <w:rFonts w:ascii="Times New Roman" w:eastAsia="Times New Roman" w:hAnsi="Times New Roman" w:cs="Times New Roman"/>
          <w:kern w:val="0"/>
          <w:lang w:eastAsia="es-MX"/>
          <w14:ligatures w14:val="none"/>
        </w:rPr>
        <w:t>Hajj</w:t>
      </w:r>
      <w:proofErr w:type="spellEnd"/>
      <w:r w:rsidRPr="00ED2472">
        <w:rPr>
          <w:rFonts w:ascii="Times New Roman" w:eastAsia="Times New Roman" w:hAnsi="Times New Roman" w:cs="Times New Roman"/>
          <w:kern w:val="0"/>
          <w:lang w:eastAsia="es-MX"/>
          <w14:ligatures w14:val="none"/>
        </w:rPr>
        <w:t xml:space="preserve">, M. (2024). </w:t>
      </w:r>
      <w:proofErr w:type="spellStart"/>
      <w:r w:rsidRPr="00ED2472">
        <w:rPr>
          <w:rFonts w:ascii="Times New Roman" w:eastAsia="Times New Roman" w:hAnsi="Times New Roman" w:cs="Times New Roman"/>
          <w:i/>
          <w:iCs/>
          <w:kern w:val="0"/>
          <w:lang w:eastAsia="es-MX"/>
          <w14:ligatures w14:val="none"/>
        </w:rPr>
        <w:t>The</w:t>
      </w:r>
      <w:proofErr w:type="spellEnd"/>
      <w:r w:rsidRPr="00ED2472">
        <w:rPr>
          <w:rFonts w:ascii="Times New Roman" w:eastAsia="Times New Roman" w:hAnsi="Times New Roman" w:cs="Times New Roman"/>
          <w:i/>
          <w:iCs/>
          <w:kern w:val="0"/>
          <w:lang w:eastAsia="es-MX"/>
          <w14:ligatures w14:val="none"/>
        </w:rPr>
        <w:t xml:space="preserve"> </w:t>
      </w:r>
      <w:proofErr w:type="spellStart"/>
      <w:r w:rsidRPr="00ED2472">
        <w:rPr>
          <w:rFonts w:ascii="Times New Roman" w:eastAsia="Times New Roman" w:hAnsi="Times New Roman" w:cs="Times New Roman"/>
          <w:i/>
          <w:iCs/>
          <w:kern w:val="0"/>
          <w:lang w:eastAsia="es-MX"/>
          <w14:ligatures w14:val="none"/>
        </w:rPr>
        <w:t>cryptocurrencies</w:t>
      </w:r>
      <w:proofErr w:type="spellEnd"/>
      <w:r w:rsidRPr="00ED2472">
        <w:rPr>
          <w:rFonts w:ascii="Times New Roman" w:eastAsia="Times New Roman" w:hAnsi="Times New Roman" w:cs="Times New Roman"/>
          <w:i/>
          <w:iCs/>
          <w:kern w:val="0"/>
          <w:lang w:eastAsia="es-MX"/>
          <w14:ligatures w14:val="none"/>
        </w:rPr>
        <w:t xml:space="preserve"> in </w:t>
      </w:r>
      <w:proofErr w:type="spellStart"/>
      <w:r w:rsidRPr="00ED2472">
        <w:rPr>
          <w:rFonts w:ascii="Times New Roman" w:eastAsia="Times New Roman" w:hAnsi="Times New Roman" w:cs="Times New Roman"/>
          <w:i/>
          <w:iCs/>
          <w:kern w:val="0"/>
          <w:lang w:eastAsia="es-MX"/>
          <w14:ligatures w14:val="none"/>
        </w:rPr>
        <w:t>emerging</w:t>
      </w:r>
      <w:proofErr w:type="spellEnd"/>
      <w:r w:rsidRPr="00ED2472">
        <w:rPr>
          <w:rFonts w:ascii="Times New Roman" w:eastAsia="Times New Roman" w:hAnsi="Times New Roman" w:cs="Times New Roman"/>
          <w:i/>
          <w:iCs/>
          <w:kern w:val="0"/>
          <w:lang w:eastAsia="es-MX"/>
          <w14:ligatures w14:val="none"/>
        </w:rPr>
        <w:t xml:space="preserve"> </w:t>
      </w:r>
      <w:proofErr w:type="spellStart"/>
      <w:r w:rsidRPr="00ED2472">
        <w:rPr>
          <w:rFonts w:ascii="Times New Roman" w:eastAsia="Times New Roman" w:hAnsi="Times New Roman" w:cs="Times New Roman"/>
          <w:i/>
          <w:iCs/>
          <w:kern w:val="0"/>
          <w:lang w:eastAsia="es-MX"/>
          <w14:ligatures w14:val="none"/>
        </w:rPr>
        <w:t>markets</w:t>
      </w:r>
      <w:proofErr w:type="spellEnd"/>
      <w:r w:rsidRPr="00ED2472">
        <w:rPr>
          <w:rFonts w:ascii="Times New Roman" w:eastAsia="Times New Roman" w:hAnsi="Times New Roman" w:cs="Times New Roman"/>
          <w:i/>
          <w:iCs/>
          <w:kern w:val="0"/>
          <w:lang w:eastAsia="es-MX"/>
          <w14:ligatures w14:val="none"/>
        </w:rPr>
        <w:t xml:space="preserve">: </w:t>
      </w:r>
      <w:proofErr w:type="spellStart"/>
      <w:r w:rsidRPr="00ED2472">
        <w:rPr>
          <w:rFonts w:ascii="Times New Roman" w:eastAsia="Times New Roman" w:hAnsi="Times New Roman" w:cs="Times New Roman"/>
          <w:i/>
          <w:iCs/>
          <w:kern w:val="0"/>
          <w:lang w:eastAsia="es-MX"/>
          <w14:ligatures w14:val="none"/>
        </w:rPr>
        <w:t>Enhancing</w:t>
      </w:r>
      <w:proofErr w:type="spellEnd"/>
      <w:r w:rsidRPr="00ED2472">
        <w:rPr>
          <w:rFonts w:ascii="Times New Roman" w:eastAsia="Times New Roman" w:hAnsi="Times New Roman" w:cs="Times New Roman"/>
          <w:i/>
          <w:iCs/>
          <w:kern w:val="0"/>
          <w:lang w:eastAsia="es-MX"/>
          <w14:ligatures w14:val="none"/>
        </w:rPr>
        <w:t xml:space="preserve"> </w:t>
      </w:r>
      <w:proofErr w:type="spellStart"/>
      <w:r w:rsidRPr="00ED2472">
        <w:rPr>
          <w:rFonts w:ascii="Times New Roman" w:eastAsia="Times New Roman" w:hAnsi="Times New Roman" w:cs="Times New Roman"/>
          <w:i/>
          <w:iCs/>
          <w:kern w:val="0"/>
          <w:lang w:eastAsia="es-MX"/>
          <w14:ligatures w14:val="none"/>
        </w:rPr>
        <w:t>financial</w:t>
      </w:r>
      <w:proofErr w:type="spellEnd"/>
      <w:r w:rsidRPr="00ED2472">
        <w:rPr>
          <w:rFonts w:ascii="Times New Roman" w:eastAsia="Times New Roman" w:hAnsi="Times New Roman" w:cs="Times New Roman"/>
          <w:i/>
          <w:iCs/>
          <w:kern w:val="0"/>
          <w:lang w:eastAsia="es-MX"/>
          <w14:ligatures w14:val="none"/>
        </w:rPr>
        <w:t xml:space="preserve"> </w:t>
      </w:r>
      <w:proofErr w:type="spellStart"/>
      <w:r w:rsidRPr="00ED2472">
        <w:rPr>
          <w:rFonts w:ascii="Times New Roman" w:eastAsia="Times New Roman" w:hAnsi="Times New Roman" w:cs="Times New Roman"/>
          <w:i/>
          <w:iCs/>
          <w:kern w:val="0"/>
          <w:lang w:eastAsia="es-MX"/>
          <w14:ligatures w14:val="none"/>
        </w:rPr>
        <w:t>inclusion</w:t>
      </w:r>
      <w:proofErr w:type="spellEnd"/>
      <w:r w:rsidRPr="00ED2472">
        <w:rPr>
          <w:rFonts w:ascii="Times New Roman" w:eastAsia="Times New Roman" w:hAnsi="Times New Roman" w:cs="Times New Roman"/>
          <w:i/>
          <w:iCs/>
          <w:kern w:val="0"/>
          <w:lang w:eastAsia="es-MX"/>
          <w14:ligatures w14:val="none"/>
        </w:rPr>
        <w:t xml:space="preserve"> </w:t>
      </w:r>
      <w:proofErr w:type="spellStart"/>
      <w:r w:rsidRPr="00ED2472">
        <w:rPr>
          <w:rFonts w:ascii="Times New Roman" w:eastAsia="Times New Roman" w:hAnsi="Times New Roman" w:cs="Times New Roman"/>
          <w:i/>
          <w:iCs/>
          <w:kern w:val="0"/>
          <w:lang w:eastAsia="es-MX"/>
          <w14:ligatures w14:val="none"/>
        </w:rPr>
        <w:t>through</w:t>
      </w:r>
      <w:proofErr w:type="spellEnd"/>
      <w:r w:rsidRPr="00ED2472">
        <w:rPr>
          <w:rFonts w:ascii="Times New Roman" w:eastAsia="Times New Roman" w:hAnsi="Times New Roman" w:cs="Times New Roman"/>
          <w:i/>
          <w:iCs/>
          <w:kern w:val="0"/>
          <w:lang w:eastAsia="es-MX"/>
          <w14:ligatures w14:val="none"/>
        </w:rPr>
        <w:t xml:space="preserve"> </w:t>
      </w:r>
      <w:proofErr w:type="spellStart"/>
      <w:r w:rsidRPr="00ED2472">
        <w:rPr>
          <w:rFonts w:ascii="Times New Roman" w:eastAsia="Times New Roman" w:hAnsi="Times New Roman" w:cs="Times New Roman"/>
          <w:i/>
          <w:iCs/>
          <w:kern w:val="0"/>
          <w:lang w:eastAsia="es-MX"/>
          <w14:ligatures w14:val="none"/>
        </w:rPr>
        <w:t>adoption</w:t>
      </w:r>
      <w:proofErr w:type="spellEnd"/>
      <w:r w:rsidRPr="00ED2472">
        <w:rPr>
          <w:rFonts w:ascii="Times New Roman" w:eastAsia="Times New Roman" w:hAnsi="Times New Roman" w:cs="Times New Roman"/>
          <w:kern w:val="0"/>
          <w:lang w:eastAsia="es-MX"/>
          <w14:ligatures w14:val="none"/>
        </w:rPr>
        <w:t xml:space="preserve">. </w:t>
      </w:r>
      <w:proofErr w:type="spellStart"/>
      <w:r w:rsidRPr="00ED2472">
        <w:rPr>
          <w:rFonts w:ascii="Times New Roman" w:eastAsia="Times New Roman" w:hAnsi="Times New Roman" w:cs="Times New Roman"/>
          <w:i/>
          <w:iCs/>
          <w:kern w:val="0"/>
          <w:lang w:eastAsia="es-MX"/>
          <w14:ligatures w14:val="none"/>
        </w:rPr>
        <w:t>Journal</w:t>
      </w:r>
      <w:proofErr w:type="spellEnd"/>
      <w:r w:rsidRPr="00ED2472">
        <w:rPr>
          <w:rFonts w:ascii="Times New Roman" w:eastAsia="Times New Roman" w:hAnsi="Times New Roman" w:cs="Times New Roman"/>
          <w:i/>
          <w:iCs/>
          <w:kern w:val="0"/>
          <w:lang w:eastAsia="es-MX"/>
          <w14:ligatures w14:val="none"/>
        </w:rPr>
        <w:t xml:space="preserve"> </w:t>
      </w:r>
      <w:proofErr w:type="spellStart"/>
      <w:r w:rsidRPr="00ED2472">
        <w:rPr>
          <w:rFonts w:ascii="Times New Roman" w:eastAsia="Times New Roman" w:hAnsi="Times New Roman" w:cs="Times New Roman"/>
          <w:i/>
          <w:iCs/>
          <w:kern w:val="0"/>
          <w:lang w:eastAsia="es-MX"/>
          <w14:ligatures w14:val="none"/>
        </w:rPr>
        <w:t>of</w:t>
      </w:r>
      <w:proofErr w:type="spellEnd"/>
      <w:r w:rsidRPr="00ED2472">
        <w:rPr>
          <w:rFonts w:ascii="Times New Roman" w:eastAsia="Times New Roman" w:hAnsi="Times New Roman" w:cs="Times New Roman"/>
          <w:i/>
          <w:iCs/>
          <w:kern w:val="0"/>
          <w:lang w:eastAsia="es-MX"/>
          <w14:ligatures w14:val="none"/>
        </w:rPr>
        <w:t xml:space="preserve"> </w:t>
      </w:r>
      <w:proofErr w:type="spellStart"/>
      <w:r w:rsidRPr="00ED2472">
        <w:rPr>
          <w:rFonts w:ascii="Times New Roman" w:eastAsia="Times New Roman" w:hAnsi="Times New Roman" w:cs="Times New Roman"/>
          <w:i/>
          <w:iCs/>
          <w:kern w:val="0"/>
          <w:lang w:eastAsia="es-MX"/>
          <w14:ligatures w14:val="none"/>
        </w:rPr>
        <w:t>Risk</w:t>
      </w:r>
      <w:proofErr w:type="spellEnd"/>
      <w:r w:rsidRPr="00ED2472">
        <w:rPr>
          <w:rFonts w:ascii="Times New Roman" w:eastAsia="Times New Roman" w:hAnsi="Times New Roman" w:cs="Times New Roman"/>
          <w:i/>
          <w:iCs/>
          <w:kern w:val="0"/>
          <w:lang w:eastAsia="es-MX"/>
          <w14:ligatures w14:val="none"/>
        </w:rPr>
        <w:t xml:space="preserve"> and </w:t>
      </w:r>
      <w:proofErr w:type="spellStart"/>
      <w:r w:rsidRPr="00ED2472">
        <w:rPr>
          <w:rFonts w:ascii="Times New Roman" w:eastAsia="Times New Roman" w:hAnsi="Times New Roman" w:cs="Times New Roman"/>
          <w:i/>
          <w:iCs/>
          <w:kern w:val="0"/>
          <w:lang w:eastAsia="es-MX"/>
          <w14:ligatures w14:val="none"/>
        </w:rPr>
        <w:t>Financial</w:t>
      </w:r>
      <w:proofErr w:type="spellEnd"/>
      <w:r w:rsidRPr="00ED2472">
        <w:rPr>
          <w:rFonts w:ascii="Times New Roman" w:eastAsia="Times New Roman" w:hAnsi="Times New Roman" w:cs="Times New Roman"/>
          <w:i/>
          <w:iCs/>
          <w:kern w:val="0"/>
          <w:lang w:eastAsia="es-MX"/>
          <w14:ligatures w14:val="none"/>
        </w:rPr>
        <w:t xml:space="preserve"> Management, 17</w:t>
      </w:r>
      <w:r w:rsidRPr="00ED2472">
        <w:rPr>
          <w:rFonts w:ascii="Times New Roman" w:eastAsia="Times New Roman" w:hAnsi="Times New Roman" w:cs="Times New Roman"/>
          <w:kern w:val="0"/>
          <w:lang w:eastAsia="es-MX"/>
          <w14:ligatures w14:val="none"/>
        </w:rPr>
        <w:t>(10), 467.</w:t>
      </w:r>
      <w:r w:rsidRPr="00ED2472">
        <w:rPr>
          <w:rFonts w:ascii="Times New Roman" w:eastAsia="Times New Roman" w:hAnsi="Times New Roman" w:cs="Times New Roman"/>
          <w:kern w:val="0"/>
          <w:lang w:eastAsia="es-MX"/>
          <w14:ligatures w14:val="none"/>
        </w:rPr>
        <w:br/>
      </w:r>
      <w:hyperlink r:id="rId10" w:tgtFrame="_new" w:history="1">
        <w:r w:rsidRPr="00ED2472">
          <w:rPr>
            <w:rFonts w:ascii="Times New Roman" w:eastAsia="Times New Roman" w:hAnsi="Times New Roman" w:cs="Times New Roman"/>
            <w:color w:val="0000FF"/>
            <w:kern w:val="0"/>
            <w:u w:val="single"/>
            <w:lang w:eastAsia="es-MX"/>
            <w14:ligatures w14:val="none"/>
          </w:rPr>
          <w:t>https://www.mdpi.com/1911-8074/17/10/467</w:t>
        </w:r>
      </w:hyperlink>
    </w:p>
    <w:p w14:paraId="3512B24C" w14:textId="77777777" w:rsidR="00ED2472" w:rsidRPr="00ED2472" w:rsidRDefault="00ED2472" w:rsidP="00ED2472">
      <w:pPr>
        <w:pStyle w:val="Prrafodelista"/>
        <w:numPr>
          <w:ilvl w:val="0"/>
          <w:numId w:val="3"/>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El País. (2024). </w:t>
      </w:r>
      <w:r w:rsidRPr="00ED2472">
        <w:rPr>
          <w:rFonts w:ascii="Times New Roman" w:eastAsia="Times New Roman" w:hAnsi="Times New Roman" w:cs="Times New Roman"/>
          <w:i/>
          <w:iCs/>
          <w:kern w:val="0"/>
          <w:lang w:eastAsia="es-MX"/>
          <w14:ligatures w14:val="none"/>
        </w:rPr>
        <w:t>Brechas de género en el acceso financiero digital en Bolivia</w:t>
      </w:r>
      <w:r w:rsidRPr="00ED2472">
        <w:rPr>
          <w:rFonts w:ascii="Times New Roman" w:eastAsia="Times New Roman" w:hAnsi="Times New Roman" w:cs="Times New Roman"/>
          <w:kern w:val="0"/>
          <w:lang w:eastAsia="es-MX"/>
          <w14:ligatures w14:val="none"/>
        </w:rPr>
        <w:t>. El País Bolivia.</w:t>
      </w:r>
      <w:r w:rsidRPr="00ED2472">
        <w:rPr>
          <w:rFonts w:ascii="Times New Roman" w:eastAsia="Times New Roman" w:hAnsi="Times New Roman" w:cs="Times New Roman"/>
          <w:kern w:val="0"/>
          <w:lang w:eastAsia="es-MX"/>
          <w14:ligatures w14:val="none"/>
        </w:rPr>
        <w:br/>
        <w:t>https://elpais.bo/economia</w:t>
      </w:r>
    </w:p>
    <w:p w14:paraId="294EEF8B" w14:textId="77777777" w:rsidR="00ED2472" w:rsidRPr="00ED2472" w:rsidRDefault="00ED2472" w:rsidP="00ED2472">
      <w:pPr>
        <w:pStyle w:val="Prrafodelista"/>
        <w:numPr>
          <w:ilvl w:val="0"/>
          <w:numId w:val="3"/>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lastRenderedPageBreak/>
        <w:t xml:space="preserve">Elton, E. J., </w:t>
      </w:r>
      <w:proofErr w:type="spellStart"/>
      <w:r w:rsidRPr="00ED2472">
        <w:rPr>
          <w:rFonts w:ascii="Times New Roman" w:eastAsia="Times New Roman" w:hAnsi="Times New Roman" w:cs="Times New Roman"/>
          <w:kern w:val="0"/>
          <w:lang w:eastAsia="es-MX"/>
          <w14:ligatures w14:val="none"/>
        </w:rPr>
        <w:t>Gruber</w:t>
      </w:r>
      <w:proofErr w:type="spellEnd"/>
      <w:r w:rsidRPr="00ED2472">
        <w:rPr>
          <w:rFonts w:ascii="Times New Roman" w:eastAsia="Times New Roman" w:hAnsi="Times New Roman" w:cs="Times New Roman"/>
          <w:kern w:val="0"/>
          <w:lang w:eastAsia="es-MX"/>
          <w14:ligatures w14:val="none"/>
        </w:rPr>
        <w:t xml:space="preserve">, M. J., Brown, S. J., &amp; </w:t>
      </w:r>
      <w:proofErr w:type="spellStart"/>
      <w:r w:rsidRPr="00ED2472">
        <w:rPr>
          <w:rFonts w:ascii="Times New Roman" w:eastAsia="Times New Roman" w:hAnsi="Times New Roman" w:cs="Times New Roman"/>
          <w:kern w:val="0"/>
          <w:lang w:eastAsia="es-MX"/>
          <w14:ligatures w14:val="none"/>
        </w:rPr>
        <w:t>Goetzmann</w:t>
      </w:r>
      <w:proofErr w:type="spellEnd"/>
      <w:r w:rsidRPr="00ED2472">
        <w:rPr>
          <w:rFonts w:ascii="Times New Roman" w:eastAsia="Times New Roman" w:hAnsi="Times New Roman" w:cs="Times New Roman"/>
          <w:kern w:val="0"/>
          <w:lang w:eastAsia="es-MX"/>
          <w14:ligatures w14:val="none"/>
        </w:rPr>
        <w:t xml:space="preserve">, W. N. (2014). </w:t>
      </w:r>
      <w:r w:rsidRPr="00ED2472">
        <w:rPr>
          <w:rFonts w:ascii="Times New Roman" w:eastAsia="Times New Roman" w:hAnsi="Times New Roman" w:cs="Times New Roman"/>
          <w:i/>
          <w:iCs/>
          <w:kern w:val="0"/>
          <w:lang w:eastAsia="es-MX"/>
          <w14:ligatures w14:val="none"/>
        </w:rPr>
        <w:t xml:space="preserve">Modern portfolio </w:t>
      </w:r>
      <w:proofErr w:type="spellStart"/>
      <w:r w:rsidRPr="00ED2472">
        <w:rPr>
          <w:rFonts w:ascii="Times New Roman" w:eastAsia="Times New Roman" w:hAnsi="Times New Roman" w:cs="Times New Roman"/>
          <w:i/>
          <w:iCs/>
          <w:kern w:val="0"/>
          <w:lang w:eastAsia="es-MX"/>
          <w14:ligatures w14:val="none"/>
        </w:rPr>
        <w:t>theory</w:t>
      </w:r>
      <w:proofErr w:type="spellEnd"/>
      <w:r w:rsidRPr="00ED2472">
        <w:rPr>
          <w:rFonts w:ascii="Times New Roman" w:eastAsia="Times New Roman" w:hAnsi="Times New Roman" w:cs="Times New Roman"/>
          <w:i/>
          <w:iCs/>
          <w:kern w:val="0"/>
          <w:lang w:eastAsia="es-MX"/>
          <w14:ligatures w14:val="none"/>
        </w:rPr>
        <w:t xml:space="preserve"> and </w:t>
      </w:r>
      <w:proofErr w:type="spellStart"/>
      <w:r w:rsidRPr="00ED2472">
        <w:rPr>
          <w:rFonts w:ascii="Times New Roman" w:eastAsia="Times New Roman" w:hAnsi="Times New Roman" w:cs="Times New Roman"/>
          <w:i/>
          <w:iCs/>
          <w:kern w:val="0"/>
          <w:lang w:eastAsia="es-MX"/>
          <w14:ligatures w14:val="none"/>
        </w:rPr>
        <w:t>investment</w:t>
      </w:r>
      <w:proofErr w:type="spellEnd"/>
      <w:r w:rsidRPr="00ED2472">
        <w:rPr>
          <w:rFonts w:ascii="Times New Roman" w:eastAsia="Times New Roman" w:hAnsi="Times New Roman" w:cs="Times New Roman"/>
          <w:i/>
          <w:iCs/>
          <w:kern w:val="0"/>
          <w:lang w:eastAsia="es-MX"/>
          <w14:ligatures w14:val="none"/>
        </w:rPr>
        <w:t xml:space="preserve"> </w:t>
      </w:r>
      <w:proofErr w:type="spellStart"/>
      <w:r w:rsidRPr="00ED2472">
        <w:rPr>
          <w:rFonts w:ascii="Times New Roman" w:eastAsia="Times New Roman" w:hAnsi="Times New Roman" w:cs="Times New Roman"/>
          <w:i/>
          <w:iCs/>
          <w:kern w:val="0"/>
          <w:lang w:eastAsia="es-MX"/>
          <w14:ligatures w14:val="none"/>
        </w:rPr>
        <w:t>analysis</w:t>
      </w:r>
      <w:proofErr w:type="spellEnd"/>
      <w:r w:rsidRPr="00ED2472">
        <w:rPr>
          <w:rFonts w:ascii="Times New Roman" w:eastAsia="Times New Roman" w:hAnsi="Times New Roman" w:cs="Times New Roman"/>
          <w:kern w:val="0"/>
          <w:lang w:eastAsia="es-MX"/>
          <w14:ligatures w14:val="none"/>
        </w:rPr>
        <w:t xml:space="preserve"> (9th ed.). John Wiley &amp; </w:t>
      </w:r>
      <w:proofErr w:type="spellStart"/>
      <w:r w:rsidRPr="00ED2472">
        <w:rPr>
          <w:rFonts w:ascii="Times New Roman" w:eastAsia="Times New Roman" w:hAnsi="Times New Roman" w:cs="Times New Roman"/>
          <w:kern w:val="0"/>
          <w:lang w:eastAsia="es-MX"/>
          <w14:ligatures w14:val="none"/>
        </w:rPr>
        <w:t>Sons</w:t>
      </w:r>
      <w:proofErr w:type="spellEnd"/>
      <w:r w:rsidRPr="00ED2472">
        <w:rPr>
          <w:rFonts w:ascii="Times New Roman" w:eastAsia="Times New Roman" w:hAnsi="Times New Roman" w:cs="Times New Roman"/>
          <w:kern w:val="0"/>
          <w:lang w:eastAsia="es-MX"/>
          <w14:ligatures w14:val="none"/>
        </w:rPr>
        <w:t>.</w:t>
      </w:r>
    </w:p>
    <w:p w14:paraId="54486A7B" w14:textId="77777777" w:rsidR="00ED2472" w:rsidRPr="00ED2472" w:rsidRDefault="00ED2472" w:rsidP="00ED2472">
      <w:pPr>
        <w:pStyle w:val="Prrafodelista"/>
        <w:numPr>
          <w:ilvl w:val="0"/>
          <w:numId w:val="3"/>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La Patria. (2023). </w:t>
      </w:r>
      <w:r w:rsidRPr="00ED2472">
        <w:rPr>
          <w:rFonts w:ascii="Times New Roman" w:eastAsia="Times New Roman" w:hAnsi="Times New Roman" w:cs="Times New Roman"/>
          <w:i/>
          <w:iCs/>
          <w:kern w:val="0"/>
          <w:lang w:eastAsia="es-MX"/>
          <w14:ligatures w14:val="none"/>
        </w:rPr>
        <w:t>Cuentas bancarias en Bolivia superan los 13 millones</w:t>
      </w:r>
      <w:r w:rsidRPr="00ED2472">
        <w:rPr>
          <w:rFonts w:ascii="Times New Roman" w:eastAsia="Times New Roman" w:hAnsi="Times New Roman" w:cs="Times New Roman"/>
          <w:kern w:val="0"/>
          <w:lang w:eastAsia="es-MX"/>
          <w14:ligatures w14:val="none"/>
        </w:rPr>
        <w:t>. La Patria Bolivia.</w:t>
      </w:r>
      <w:r w:rsidRPr="00ED2472">
        <w:rPr>
          <w:rFonts w:ascii="Times New Roman" w:eastAsia="Times New Roman" w:hAnsi="Times New Roman" w:cs="Times New Roman"/>
          <w:kern w:val="0"/>
          <w:lang w:eastAsia="es-MX"/>
          <w14:ligatures w14:val="none"/>
        </w:rPr>
        <w:br/>
        <w:t>https://lapatria.bo</w:t>
      </w:r>
    </w:p>
    <w:p w14:paraId="7929D95B" w14:textId="77777777" w:rsidR="00ED2472" w:rsidRPr="00ED2472" w:rsidRDefault="00ED2472" w:rsidP="00ED2472">
      <w:pPr>
        <w:pStyle w:val="Prrafodelista"/>
        <w:numPr>
          <w:ilvl w:val="0"/>
          <w:numId w:val="3"/>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Ramos Vidaurre, C. A. (2024). </w:t>
      </w:r>
      <w:r w:rsidRPr="00ED2472">
        <w:rPr>
          <w:rFonts w:ascii="Times New Roman" w:eastAsia="Times New Roman" w:hAnsi="Times New Roman" w:cs="Times New Roman"/>
          <w:i/>
          <w:iCs/>
          <w:kern w:val="0"/>
          <w:lang w:eastAsia="es-MX"/>
          <w14:ligatures w14:val="none"/>
        </w:rPr>
        <w:t>El impacto de la inclusión financiera en el desarrollo económico de Bolivia en el periodo 2006–2022</w:t>
      </w:r>
      <w:r w:rsidRPr="00ED2472">
        <w:rPr>
          <w:rFonts w:ascii="Times New Roman" w:eastAsia="Times New Roman" w:hAnsi="Times New Roman" w:cs="Times New Roman"/>
          <w:kern w:val="0"/>
          <w:lang w:eastAsia="es-MX"/>
          <w14:ligatures w14:val="none"/>
        </w:rPr>
        <w:t xml:space="preserve"> [Tesis de grado, Universidad Mayor de San Andrés]. Repositorio UMSA.</w:t>
      </w:r>
      <w:r w:rsidRPr="00ED2472">
        <w:rPr>
          <w:rFonts w:ascii="Times New Roman" w:eastAsia="Times New Roman" w:hAnsi="Times New Roman" w:cs="Times New Roman"/>
          <w:kern w:val="0"/>
          <w:lang w:eastAsia="es-MX"/>
          <w14:ligatures w14:val="none"/>
        </w:rPr>
        <w:br/>
      </w:r>
      <w:hyperlink r:id="rId11" w:tgtFrame="_new" w:history="1">
        <w:r w:rsidRPr="00ED2472">
          <w:rPr>
            <w:rFonts w:ascii="Times New Roman" w:eastAsia="Times New Roman" w:hAnsi="Times New Roman" w:cs="Times New Roman"/>
            <w:color w:val="0000FF"/>
            <w:kern w:val="0"/>
            <w:u w:val="single"/>
            <w:lang w:eastAsia="es-MX"/>
            <w14:ligatures w14:val="none"/>
          </w:rPr>
          <w:t>https://repositorio.umsa.bo/handle/123456789/40631</w:t>
        </w:r>
      </w:hyperlink>
    </w:p>
    <w:p w14:paraId="55846EBE" w14:textId="77777777" w:rsidR="00ED2472" w:rsidRPr="00ED2472" w:rsidRDefault="00ED2472" w:rsidP="00ED2472">
      <w:pPr>
        <w:pStyle w:val="Prrafodelista"/>
        <w:numPr>
          <w:ilvl w:val="0"/>
          <w:numId w:val="3"/>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Rocha Miranda, S. E. (2018). </w:t>
      </w:r>
      <w:r w:rsidRPr="00ED2472">
        <w:rPr>
          <w:rFonts w:ascii="Times New Roman" w:eastAsia="Times New Roman" w:hAnsi="Times New Roman" w:cs="Times New Roman"/>
          <w:i/>
          <w:iCs/>
          <w:kern w:val="0"/>
          <w:lang w:eastAsia="es-MX"/>
          <w14:ligatures w14:val="none"/>
        </w:rPr>
        <w:t>Factores determinantes de la inclusión financiera en Bolivia: Período 2006–2017</w:t>
      </w:r>
      <w:r w:rsidRPr="00ED2472">
        <w:rPr>
          <w:rFonts w:ascii="Times New Roman" w:eastAsia="Times New Roman" w:hAnsi="Times New Roman" w:cs="Times New Roman"/>
          <w:kern w:val="0"/>
          <w:lang w:eastAsia="es-MX"/>
          <w14:ligatures w14:val="none"/>
        </w:rPr>
        <w:t xml:space="preserve"> [Tesis de grado, Universidad Mayor de San Andrés]. Repositorio UMSA.</w:t>
      </w:r>
      <w:r w:rsidRPr="00ED2472">
        <w:rPr>
          <w:rFonts w:ascii="Times New Roman" w:eastAsia="Times New Roman" w:hAnsi="Times New Roman" w:cs="Times New Roman"/>
          <w:kern w:val="0"/>
          <w:lang w:eastAsia="es-MX"/>
          <w14:ligatures w14:val="none"/>
        </w:rPr>
        <w:br/>
      </w:r>
      <w:hyperlink r:id="rId12" w:tgtFrame="_new" w:history="1">
        <w:r w:rsidRPr="00ED2472">
          <w:rPr>
            <w:rFonts w:ascii="Times New Roman" w:eastAsia="Times New Roman" w:hAnsi="Times New Roman" w:cs="Times New Roman"/>
            <w:color w:val="0000FF"/>
            <w:kern w:val="0"/>
            <w:u w:val="single"/>
            <w:lang w:eastAsia="es-MX"/>
            <w14:ligatures w14:val="none"/>
          </w:rPr>
          <w:t>https://repositorio.umsa.bo/handle/123456789/23508</w:t>
        </w:r>
      </w:hyperlink>
    </w:p>
    <w:p w14:paraId="5499646F" w14:textId="77777777" w:rsidR="00ED2472" w:rsidRPr="00ED2472" w:rsidRDefault="00ED2472" w:rsidP="00ED2472">
      <w:pPr>
        <w:pStyle w:val="Prrafodelista"/>
        <w:numPr>
          <w:ilvl w:val="0"/>
          <w:numId w:val="3"/>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Quispe Condori, N. R. (2022). </w:t>
      </w:r>
      <w:r w:rsidRPr="00ED2472">
        <w:rPr>
          <w:rFonts w:ascii="Times New Roman" w:eastAsia="Times New Roman" w:hAnsi="Times New Roman" w:cs="Times New Roman"/>
          <w:i/>
          <w:iCs/>
          <w:kern w:val="0"/>
          <w:lang w:eastAsia="es-MX"/>
          <w14:ligatures w14:val="none"/>
        </w:rPr>
        <w:t>Determinantes de la inclusión financiera en Bolivia, periodo 2000–2020</w:t>
      </w:r>
      <w:r w:rsidRPr="00ED2472">
        <w:rPr>
          <w:rFonts w:ascii="Times New Roman" w:eastAsia="Times New Roman" w:hAnsi="Times New Roman" w:cs="Times New Roman"/>
          <w:kern w:val="0"/>
          <w:lang w:eastAsia="es-MX"/>
          <w14:ligatures w14:val="none"/>
        </w:rPr>
        <w:t xml:space="preserve"> [Tesis de grado, Universidad Mayor de San Andrés]. Repositorio UMSA.</w:t>
      </w:r>
      <w:r w:rsidRPr="00ED2472">
        <w:rPr>
          <w:rFonts w:ascii="Times New Roman" w:eastAsia="Times New Roman" w:hAnsi="Times New Roman" w:cs="Times New Roman"/>
          <w:kern w:val="0"/>
          <w:lang w:eastAsia="es-MX"/>
          <w14:ligatures w14:val="none"/>
        </w:rPr>
        <w:br/>
      </w:r>
      <w:hyperlink r:id="rId13" w:tgtFrame="_new" w:history="1">
        <w:r w:rsidRPr="00ED2472">
          <w:rPr>
            <w:rFonts w:ascii="Times New Roman" w:eastAsia="Times New Roman" w:hAnsi="Times New Roman" w:cs="Times New Roman"/>
            <w:color w:val="0000FF"/>
            <w:kern w:val="0"/>
            <w:u w:val="single"/>
            <w:lang w:eastAsia="es-MX"/>
            <w14:ligatures w14:val="none"/>
          </w:rPr>
          <w:t>https://repositorio.umsa.bo/xmlui/handle/123456789/30458</w:t>
        </w:r>
      </w:hyperlink>
    </w:p>
    <w:p w14:paraId="1BAEE85E" w14:textId="77777777" w:rsidR="00ED2472" w:rsidRPr="00ED2472" w:rsidRDefault="00ED2472" w:rsidP="00ED2472">
      <w:pPr>
        <w:pStyle w:val="Prrafodelista"/>
        <w:numPr>
          <w:ilvl w:val="0"/>
          <w:numId w:val="3"/>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Sánchez, S. G. O. (2021). </w:t>
      </w:r>
      <w:r w:rsidRPr="00ED2472">
        <w:rPr>
          <w:rFonts w:ascii="Times New Roman" w:eastAsia="Times New Roman" w:hAnsi="Times New Roman" w:cs="Times New Roman"/>
          <w:i/>
          <w:iCs/>
          <w:kern w:val="0"/>
          <w:lang w:eastAsia="es-MX"/>
          <w14:ligatures w14:val="none"/>
        </w:rPr>
        <w:t>Educación financiera basada en el bitcoin y la inclusión en México</w:t>
      </w:r>
      <w:r w:rsidRPr="00ED2472">
        <w:rPr>
          <w:rFonts w:ascii="Times New Roman" w:eastAsia="Times New Roman" w:hAnsi="Times New Roman" w:cs="Times New Roman"/>
          <w:kern w:val="0"/>
          <w:lang w:eastAsia="es-MX"/>
          <w14:ligatures w14:val="none"/>
        </w:rPr>
        <w:t xml:space="preserve">. </w:t>
      </w:r>
      <w:r w:rsidRPr="00ED2472">
        <w:rPr>
          <w:rFonts w:ascii="Times New Roman" w:eastAsia="Times New Roman" w:hAnsi="Times New Roman" w:cs="Times New Roman"/>
          <w:i/>
          <w:iCs/>
          <w:kern w:val="0"/>
          <w:lang w:eastAsia="es-MX"/>
          <w14:ligatures w14:val="none"/>
        </w:rPr>
        <w:t>Revista Iberoamericana para la Investigación y el Desarrollo Educativo, 12</w:t>
      </w:r>
      <w:r w:rsidRPr="00ED2472">
        <w:rPr>
          <w:rFonts w:ascii="Times New Roman" w:eastAsia="Times New Roman" w:hAnsi="Times New Roman" w:cs="Times New Roman"/>
          <w:kern w:val="0"/>
          <w:lang w:eastAsia="es-MX"/>
          <w14:ligatures w14:val="none"/>
        </w:rPr>
        <w:t>(24), 1–22.</w:t>
      </w:r>
      <w:r w:rsidRPr="00ED2472">
        <w:rPr>
          <w:rFonts w:ascii="Times New Roman" w:eastAsia="Times New Roman" w:hAnsi="Times New Roman" w:cs="Times New Roman"/>
          <w:kern w:val="0"/>
          <w:lang w:eastAsia="es-MX"/>
          <w14:ligatures w14:val="none"/>
        </w:rPr>
        <w:br/>
      </w:r>
      <w:hyperlink r:id="rId14" w:tgtFrame="_new" w:history="1">
        <w:r w:rsidRPr="00ED2472">
          <w:rPr>
            <w:rFonts w:ascii="Times New Roman" w:eastAsia="Times New Roman" w:hAnsi="Times New Roman" w:cs="Times New Roman"/>
            <w:color w:val="0000FF"/>
            <w:kern w:val="0"/>
            <w:u w:val="single"/>
            <w:lang w:eastAsia="es-MX"/>
            <w14:ligatures w14:val="none"/>
          </w:rPr>
          <w:t>https://ride.org.mx/index.php/RIDE/article/view/973/3218</w:t>
        </w:r>
      </w:hyperlink>
    </w:p>
    <w:p w14:paraId="20152329" w14:textId="77777777" w:rsidR="00ED2472" w:rsidRPr="00ED2472" w:rsidRDefault="00ED2472" w:rsidP="00ED2472">
      <w:pPr>
        <w:pStyle w:val="Prrafodelista"/>
        <w:numPr>
          <w:ilvl w:val="0"/>
          <w:numId w:val="3"/>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Universidad Mayor de San Andrés (UMSA). (2022). </w:t>
      </w:r>
      <w:r w:rsidRPr="00ED2472">
        <w:rPr>
          <w:rFonts w:ascii="Times New Roman" w:eastAsia="Times New Roman" w:hAnsi="Times New Roman" w:cs="Times New Roman"/>
          <w:i/>
          <w:iCs/>
          <w:kern w:val="0"/>
          <w:lang w:eastAsia="es-MX"/>
          <w14:ligatures w14:val="none"/>
        </w:rPr>
        <w:t>Comentarios a la Ley N.º 393 de Servicios Financieros y su impacto en la inclusión digital</w:t>
      </w:r>
      <w:r w:rsidRPr="00ED2472">
        <w:rPr>
          <w:rFonts w:ascii="Times New Roman" w:eastAsia="Times New Roman" w:hAnsi="Times New Roman" w:cs="Times New Roman"/>
          <w:kern w:val="0"/>
          <w:lang w:eastAsia="es-MX"/>
          <w14:ligatures w14:val="none"/>
        </w:rPr>
        <w:t>. UMSA.</w:t>
      </w:r>
      <w:r w:rsidRPr="00ED2472">
        <w:rPr>
          <w:rFonts w:ascii="Times New Roman" w:eastAsia="Times New Roman" w:hAnsi="Times New Roman" w:cs="Times New Roman"/>
          <w:kern w:val="0"/>
          <w:lang w:eastAsia="es-MX"/>
          <w14:ligatures w14:val="none"/>
        </w:rPr>
        <w:br/>
      </w:r>
      <w:hyperlink r:id="rId15" w:tgtFrame="_new" w:history="1">
        <w:r w:rsidRPr="00ED2472">
          <w:rPr>
            <w:rFonts w:ascii="Times New Roman" w:eastAsia="Times New Roman" w:hAnsi="Times New Roman" w:cs="Times New Roman"/>
            <w:color w:val="0000FF"/>
            <w:kern w:val="0"/>
            <w:u w:val="single"/>
            <w:lang w:eastAsia="es-MX"/>
            <w14:ligatures w14:val="none"/>
          </w:rPr>
          <w:t>https://umsa.bo</w:t>
        </w:r>
      </w:hyperlink>
    </w:p>
    <w:p w14:paraId="65F29A88" w14:textId="77777777" w:rsidR="00ED2472" w:rsidRPr="00ED2472" w:rsidRDefault="00ED2472" w:rsidP="00ED2472">
      <w:pPr>
        <w:pStyle w:val="Prrafodelista"/>
        <w:numPr>
          <w:ilvl w:val="0"/>
          <w:numId w:val="3"/>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Venegas, J. (2025). </w:t>
      </w:r>
      <w:r w:rsidRPr="00ED2472">
        <w:rPr>
          <w:rFonts w:ascii="Times New Roman" w:eastAsia="Times New Roman" w:hAnsi="Times New Roman" w:cs="Times New Roman"/>
          <w:i/>
          <w:iCs/>
          <w:kern w:val="0"/>
          <w:lang w:eastAsia="es-MX"/>
          <w14:ligatures w14:val="none"/>
        </w:rPr>
        <w:t>El “Boliviano Virtual”: Exploración de una moneda digital del Banco Central de Bolivia</w:t>
      </w:r>
      <w:r w:rsidRPr="00ED2472">
        <w:rPr>
          <w:rFonts w:ascii="Times New Roman" w:eastAsia="Times New Roman" w:hAnsi="Times New Roman" w:cs="Times New Roman"/>
          <w:kern w:val="0"/>
          <w:lang w:eastAsia="es-MX"/>
          <w14:ligatures w14:val="none"/>
        </w:rPr>
        <w:t>. Banco Central de Bolivia.</w:t>
      </w:r>
      <w:r w:rsidRPr="00ED2472">
        <w:rPr>
          <w:rFonts w:ascii="Times New Roman" w:eastAsia="Times New Roman" w:hAnsi="Times New Roman" w:cs="Times New Roman"/>
          <w:kern w:val="0"/>
          <w:lang w:eastAsia="es-MX"/>
          <w14:ligatures w14:val="none"/>
        </w:rPr>
        <w:br/>
      </w:r>
      <w:hyperlink r:id="rId16" w:tgtFrame="_new" w:history="1">
        <w:r w:rsidRPr="00ED2472">
          <w:rPr>
            <w:rFonts w:ascii="Times New Roman" w:eastAsia="Times New Roman" w:hAnsi="Times New Roman" w:cs="Times New Roman"/>
            <w:color w:val="0000FF"/>
            <w:kern w:val="0"/>
            <w:u w:val="single"/>
            <w:lang w:eastAsia="es-MX"/>
            <w14:ligatures w14:val="none"/>
          </w:rPr>
          <w:t>https://www.bcb.gob.bo</w:t>
        </w:r>
      </w:hyperlink>
    </w:p>
    <w:p w14:paraId="271F4DEA" w14:textId="77777777" w:rsidR="00ED2472" w:rsidRPr="00ED2472" w:rsidRDefault="00ED2472" w:rsidP="00ED2472">
      <w:pPr>
        <w:pStyle w:val="Prrafodelista"/>
        <w:numPr>
          <w:ilvl w:val="0"/>
          <w:numId w:val="3"/>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ED2472">
        <w:rPr>
          <w:rFonts w:ascii="Times New Roman" w:eastAsia="Times New Roman" w:hAnsi="Times New Roman" w:cs="Times New Roman"/>
          <w:kern w:val="0"/>
          <w:lang w:eastAsia="es-MX"/>
          <w14:ligatures w14:val="none"/>
        </w:rPr>
        <w:t xml:space="preserve">Zúñiga, R. A. C. (2024). </w:t>
      </w:r>
      <w:r w:rsidRPr="00ED2472">
        <w:rPr>
          <w:rFonts w:ascii="Times New Roman" w:eastAsia="Times New Roman" w:hAnsi="Times New Roman" w:cs="Times New Roman"/>
          <w:i/>
          <w:iCs/>
          <w:kern w:val="0"/>
          <w:lang w:eastAsia="es-MX"/>
          <w14:ligatures w14:val="none"/>
        </w:rPr>
        <w:t>Las criptomonedas como catalizadores de la inclusión financiera</w:t>
      </w:r>
      <w:r w:rsidRPr="00ED2472">
        <w:rPr>
          <w:rFonts w:ascii="Times New Roman" w:eastAsia="Times New Roman" w:hAnsi="Times New Roman" w:cs="Times New Roman"/>
          <w:kern w:val="0"/>
          <w:lang w:eastAsia="es-MX"/>
          <w14:ligatures w14:val="none"/>
        </w:rPr>
        <w:t xml:space="preserve">. </w:t>
      </w:r>
      <w:proofErr w:type="spellStart"/>
      <w:r w:rsidRPr="00ED2472">
        <w:rPr>
          <w:rFonts w:ascii="Times New Roman" w:eastAsia="Times New Roman" w:hAnsi="Times New Roman" w:cs="Times New Roman"/>
          <w:i/>
          <w:iCs/>
          <w:kern w:val="0"/>
          <w:lang w:eastAsia="es-MX"/>
          <w14:ligatures w14:val="none"/>
        </w:rPr>
        <w:t>The</w:t>
      </w:r>
      <w:proofErr w:type="spellEnd"/>
      <w:r w:rsidRPr="00ED2472">
        <w:rPr>
          <w:rFonts w:ascii="Times New Roman" w:eastAsia="Times New Roman" w:hAnsi="Times New Roman" w:cs="Times New Roman"/>
          <w:i/>
          <w:iCs/>
          <w:kern w:val="0"/>
          <w:lang w:eastAsia="es-MX"/>
          <w14:ligatures w14:val="none"/>
        </w:rPr>
        <w:t xml:space="preserve"> Anáhuac </w:t>
      </w:r>
      <w:proofErr w:type="spellStart"/>
      <w:r w:rsidRPr="00ED2472">
        <w:rPr>
          <w:rFonts w:ascii="Times New Roman" w:eastAsia="Times New Roman" w:hAnsi="Times New Roman" w:cs="Times New Roman"/>
          <w:i/>
          <w:iCs/>
          <w:kern w:val="0"/>
          <w:lang w:eastAsia="es-MX"/>
          <w14:ligatures w14:val="none"/>
        </w:rPr>
        <w:t>Journal</w:t>
      </w:r>
      <w:proofErr w:type="spellEnd"/>
      <w:r w:rsidRPr="00ED2472">
        <w:rPr>
          <w:rFonts w:ascii="Times New Roman" w:eastAsia="Times New Roman" w:hAnsi="Times New Roman" w:cs="Times New Roman"/>
          <w:i/>
          <w:iCs/>
          <w:kern w:val="0"/>
          <w:lang w:eastAsia="es-MX"/>
          <w14:ligatures w14:val="none"/>
        </w:rPr>
        <w:t>, 2</w:t>
      </w:r>
      <w:r w:rsidRPr="00ED2472">
        <w:rPr>
          <w:rFonts w:ascii="Times New Roman" w:eastAsia="Times New Roman" w:hAnsi="Times New Roman" w:cs="Times New Roman"/>
          <w:kern w:val="0"/>
          <w:lang w:eastAsia="es-MX"/>
          <w14:ligatures w14:val="none"/>
        </w:rPr>
        <w:t>(2), 204–220.</w:t>
      </w:r>
      <w:r w:rsidRPr="00ED2472">
        <w:rPr>
          <w:rFonts w:ascii="Times New Roman" w:eastAsia="Times New Roman" w:hAnsi="Times New Roman" w:cs="Times New Roman"/>
          <w:kern w:val="0"/>
          <w:lang w:eastAsia="es-MX"/>
          <w14:ligatures w14:val="none"/>
        </w:rPr>
        <w:br/>
      </w:r>
      <w:hyperlink r:id="rId17" w:tgtFrame="_new" w:history="1">
        <w:r w:rsidRPr="00ED2472">
          <w:rPr>
            <w:rFonts w:ascii="Times New Roman" w:eastAsia="Times New Roman" w:hAnsi="Times New Roman" w:cs="Times New Roman"/>
            <w:color w:val="0000FF"/>
            <w:kern w:val="0"/>
            <w:u w:val="single"/>
            <w:lang w:eastAsia="es-MX"/>
            <w14:ligatures w14:val="none"/>
          </w:rPr>
          <w:t>https://revistas.anahuac.mx/index.php/the_anahuac_journal/article/view/2389</w:t>
        </w:r>
      </w:hyperlink>
    </w:p>
    <w:p w14:paraId="5C45E785" w14:textId="77777777" w:rsidR="00ED2472" w:rsidRPr="00ED2472" w:rsidRDefault="00ED2472" w:rsidP="00ED2472">
      <w:pPr>
        <w:jc w:val="both"/>
      </w:pPr>
    </w:p>
    <w:sectPr w:rsidR="00ED2472" w:rsidRPr="00ED247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1E0A"/>
    <w:multiLevelType w:val="multilevel"/>
    <w:tmpl w:val="5672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61FDF"/>
    <w:multiLevelType w:val="hybridMultilevel"/>
    <w:tmpl w:val="B69AC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F6F79C4"/>
    <w:multiLevelType w:val="multilevel"/>
    <w:tmpl w:val="33E42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6353786">
    <w:abstractNumId w:val="0"/>
  </w:num>
  <w:num w:numId="2" w16cid:durableId="425618357">
    <w:abstractNumId w:val="2"/>
  </w:num>
  <w:num w:numId="3" w16cid:durableId="20403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ECE"/>
    <w:rsid w:val="001A035A"/>
    <w:rsid w:val="00210998"/>
    <w:rsid w:val="00B81ECE"/>
    <w:rsid w:val="00ED2472"/>
    <w:rsid w:val="00FD11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9EA17"/>
  <w15:chartTrackingRefBased/>
  <w15:docId w15:val="{01BF5C3B-7DEC-4631-8AAA-BECBCA687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1E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1E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1E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1E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1E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1E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1E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1E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1E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1E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1E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1E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1E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1E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1E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1E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1E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1ECE"/>
    <w:rPr>
      <w:rFonts w:eastAsiaTheme="majorEastAsia" w:cstheme="majorBidi"/>
      <w:color w:val="272727" w:themeColor="text1" w:themeTint="D8"/>
    </w:rPr>
  </w:style>
  <w:style w:type="paragraph" w:styleId="Ttulo">
    <w:name w:val="Title"/>
    <w:basedOn w:val="Normal"/>
    <w:next w:val="Normal"/>
    <w:link w:val="TtuloCar"/>
    <w:uiPriority w:val="10"/>
    <w:qFormat/>
    <w:rsid w:val="00B81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1E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1E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1E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1ECE"/>
    <w:pPr>
      <w:spacing w:before="160"/>
      <w:jc w:val="center"/>
    </w:pPr>
    <w:rPr>
      <w:i/>
      <w:iCs/>
      <w:color w:val="404040" w:themeColor="text1" w:themeTint="BF"/>
    </w:rPr>
  </w:style>
  <w:style w:type="character" w:customStyle="1" w:styleId="CitaCar">
    <w:name w:val="Cita Car"/>
    <w:basedOn w:val="Fuentedeprrafopredeter"/>
    <w:link w:val="Cita"/>
    <w:uiPriority w:val="29"/>
    <w:rsid w:val="00B81ECE"/>
    <w:rPr>
      <w:i/>
      <w:iCs/>
      <w:color w:val="404040" w:themeColor="text1" w:themeTint="BF"/>
    </w:rPr>
  </w:style>
  <w:style w:type="paragraph" w:styleId="Prrafodelista">
    <w:name w:val="List Paragraph"/>
    <w:basedOn w:val="Normal"/>
    <w:uiPriority w:val="34"/>
    <w:qFormat/>
    <w:rsid w:val="00B81ECE"/>
    <w:pPr>
      <w:ind w:left="720"/>
      <w:contextualSpacing/>
    </w:pPr>
  </w:style>
  <w:style w:type="character" w:styleId="nfasisintenso">
    <w:name w:val="Intense Emphasis"/>
    <w:basedOn w:val="Fuentedeprrafopredeter"/>
    <w:uiPriority w:val="21"/>
    <w:qFormat/>
    <w:rsid w:val="00B81ECE"/>
    <w:rPr>
      <w:i/>
      <w:iCs/>
      <w:color w:val="0F4761" w:themeColor="accent1" w:themeShade="BF"/>
    </w:rPr>
  </w:style>
  <w:style w:type="paragraph" w:styleId="Citadestacada">
    <w:name w:val="Intense Quote"/>
    <w:basedOn w:val="Normal"/>
    <w:next w:val="Normal"/>
    <w:link w:val="CitadestacadaCar"/>
    <w:uiPriority w:val="30"/>
    <w:qFormat/>
    <w:rsid w:val="00B81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1ECE"/>
    <w:rPr>
      <w:i/>
      <w:iCs/>
      <w:color w:val="0F4761" w:themeColor="accent1" w:themeShade="BF"/>
    </w:rPr>
  </w:style>
  <w:style w:type="character" w:styleId="Referenciaintensa">
    <w:name w:val="Intense Reference"/>
    <w:basedOn w:val="Fuentedeprrafopredeter"/>
    <w:uiPriority w:val="32"/>
    <w:qFormat/>
    <w:rsid w:val="00B81ECE"/>
    <w:rPr>
      <w:b/>
      <w:bCs/>
      <w:smallCaps/>
      <w:color w:val="0F4761" w:themeColor="accent1" w:themeShade="BF"/>
      <w:spacing w:val="5"/>
    </w:rPr>
  </w:style>
  <w:style w:type="character" w:styleId="Hipervnculo">
    <w:name w:val="Hyperlink"/>
    <w:basedOn w:val="Fuentedeprrafopredeter"/>
    <w:uiPriority w:val="99"/>
    <w:unhideWhenUsed/>
    <w:rsid w:val="00ED2472"/>
    <w:rPr>
      <w:color w:val="467886" w:themeColor="hyperlink"/>
      <w:u w:val="single"/>
    </w:rPr>
  </w:style>
  <w:style w:type="character" w:styleId="Mencinsinresolver">
    <w:name w:val="Unresolved Mention"/>
    <w:basedOn w:val="Fuentedeprrafopredeter"/>
    <w:uiPriority w:val="99"/>
    <w:semiHidden/>
    <w:unhideWhenUsed/>
    <w:rsid w:val="00ED24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1574">
      <w:bodyDiv w:val="1"/>
      <w:marLeft w:val="0"/>
      <w:marRight w:val="0"/>
      <w:marTop w:val="0"/>
      <w:marBottom w:val="0"/>
      <w:divBdr>
        <w:top w:val="none" w:sz="0" w:space="0" w:color="auto"/>
        <w:left w:val="none" w:sz="0" w:space="0" w:color="auto"/>
        <w:bottom w:val="none" w:sz="0" w:space="0" w:color="auto"/>
        <w:right w:val="none" w:sz="0" w:space="0" w:color="auto"/>
      </w:divBdr>
    </w:div>
    <w:div w:id="350492716">
      <w:bodyDiv w:val="1"/>
      <w:marLeft w:val="0"/>
      <w:marRight w:val="0"/>
      <w:marTop w:val="0"/>
      <w:marBottom w:val="0"/>
      <w:divBdr>
        <w:top w:val="none" w:sz="0" w:space="0" w:color="auto"/>
        <w:left w:val="none" w:sz="0" w:space="0" w:color="auto"/>
        <w:bottom w:val="none" w:sz="0" w:space="0" w:color="auto"/>
        <w:right w:val="none" w:sz="0" w:space="0" w:color="auto"/>
      </w:divBdr>
    </w:div>
    <w:div w:id="449936190">
      <w:bodyDiv w:val="1"/>
      <w:marLeft w:val="0"/>
      <w:marRight w:val="0"/>
      <w:marTop w:val="0"/>
      <w:marBottom w:val="0"/>
      <w:divBdr>
        <w:top w:val="none" w:sz="0" w:space="0" w:color="auto"/>
        <w:left w:val="none" w:sz="0" w:space="0" w:color="auto"/>
        <w:bottom w:val="none" w:sz="0" w:space="0" w:color="auto"/>
        <w:right w:val="none" w:sz="0" w:space="0" w:color="auto"/>
      </w:divBdr>
    </w:div>
    <w:div w:id="1078092829">
      <w:bodyDiv w:val="1"/>
      <w:marLeft w:val="0"/>
      <w:marRight w:val="0"/>
      <w:marTop w:val="0"/>
      <w:marBottom w:val="0"/>
      <w:divBdr>
        <w:top w:val="none" w:sz="0" w:space="0" w:color="auto"/>
        <w:left w:val="none" w:sz="0" w:space="0" w:color="auto"/>
        <w:bottom w:val="none" w:sz="0" w:space="0" w:color="auto"/>
        <w:right w:val="none" w:sz="0" w:space="0" w:color="auto"/>
      </w:divBdr>
    </w:div>
    <w:div w:id="1159274789">
      <w:bodyDiv w:val="1"/>
      <w:marLeft w:val="0"/>
      <w:marRight w:val="0"/>
      <w:marTop w:val="0"/>
      <w:marBottom w:val="0"/>
      <w:divBdr>
        <w:top w:val="none" w:sz="0" w:space="0" w:color="auto"/>
        <w:left w:val="none" w:sz="0" w:space="0" w:color="auto"/>
        <w:bottom w:val="none" w:sz="0" w:space="0" w:color="auto"/>
        <w:right w:val="none" w:sz="0" w:space="0" w:color="auto"/>
      </w:divBdr>
    </w:div>
    <w:div w:id="1182278958">
      <w:bodyDiv w:val="1"/>
      <w:marLeft w:val="0"/>
      <w:marRight w:val="0"/>
      <w:marTop w:val="0"/>
      <w:marBottom w:val="0"/>
      <w:divBdr>
        <w:top w:val="none" w:sz="0" w:space="0" w:color="auto"/>
        <w:left w:val="none" w:sz="0" w:space="0" w:color="auto"/>
        <w:bottom w:val="none" w:sz="0" w:space="0" w:color="auto"/>
        <w:right w:val="none" w:sz="0" w:space="0" w:color="auto"/>
      </w:divBdr>
    </w:div>
    <w:div w:id="1206991599">
      <w:bodyDiv w:val="1"/>
      <w:marLeft w:val="0"/>
      <w:marRight w:val="0"/>
      <w:marTop w:val="0"/>
      <w:marBottom w:val="0"/>
      <w:divBdr>
        <w:top w:val="none" w:sz="0" w:space="0" w:color="auto"/>
        <w:left w:val="none" w:sz="0" w:space="0" w:color="auto"/>
        <w:bottom w:val="none" w:sz="0" w:space="0" w:color="auto"/>
        <w:right w:val="none" w:sz="0" w:space="0" w:color="auto"/>
      </w:divBdr>
    </w:div>
    <w:div w:id="1848858373">
      <w:bodyDiv w:val="1"/>
      <w:marLeft w:val="0"/>
      <w:marRight w:val="0"/>
      <w:marTop w:val="0"/>
      <w:marBottom w:val="0"/>
      <w:divBdr>
        <w:top w:val="none" w:sz="0" w:space="0" w:color="auto"/>
        <w:left w:val="none" w:sz="0" w:space="0" w:color="auto"/>
        <w:bottom w:val="none" w:sz="0" w:space="0" w:color="auto"/>
        <w:right w:val="none" w:sz="0" w:space="0" w:color="auto"/>
      </w:divBdr>
    </w:div>
    <w:div w:id="1929655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cb.gob.bo/webdocs/publicacionesbcb/revista_analisis/ra_vol29/articulo_3_v29.pdf" TargetMode="External"/><Relationship Id="rId13" Type="http://schemas.openxmlformats.org/officeDocument/2006/relationships/hyperlink" Target="https://repositorio.umsa.bo/xmlui/handle/123456789/30458"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lockfinityadvisors.com/documents/Percepci%C3%B3n%20y%20Uso%20de%20Criptomonedas%20en%20Bolivia.pdf" TargetMode="External"/><Relationship Id="rId12" Type="http://schemas.openxmlformats.org/officeDocument/2006/relationships/hyperlink" Target="https://repositorio.umsa.bo/handle/123456789/23508" TargetMode="External"/><Relationship Id="rId17" Type="http://schemas.openxmlformats.org/officeDocument/2006/relationships/hyperlink" Target="https://revistas.anahuac.mx/index.php/the_anahuac_journal/article/view/2389" TargetMode="External"/><Relationship Id="rId2" Type="http://schemas.openxmlformats.org/officeDocument/2006/relationships/styles" Target="styles.xml"/><Relationship Id="rId16" Type="http://schemas.openxmlformats.org/officeDocument/2006/relationships/hyperlink" Target="https://www.bcb.gob.bo" TargetMode="External"/><Relationship Id="rId1" Type="http://schemas.openxmlformats.org/officeDocument/2006/relationships/numbering" Target="numbering.xml"/><Relationship Id="rId6" Type="http://schemas.openxmlformats.org/officeDocument/2006/relationships/hyperlink" Target="https://www.iadb.org/es/noticias/estudio-el-ecosistema-de-criptoactivos-registra-un-crecimiento-significativo-en-america" TargetMode="External"/><Relationship Id="rId11" Type="http://schemas.openxmlformats.org/officeDocument/2006/relationships/hyperlink" Target="https://repositorio.umsa.bo/handle/123456789/40631" TargetMode="External"/><Relationship Id="rId5" Type="http://schemas.openxmlformats.org/officeDocument/2006/relationships/hyperlink" Target="https://www.afi-global.org/wp-content/uploads/2024/12/Virtual-Assets-Policy-Brief_Spanish.pdf" TargetMode="External"/><Relationship Id="rId15" Type="http://schemas.openxmlformats.org/officeDocument/2006/relationships/hyperlink" Target="https://umsa.bo" TargetMode="External"/><Relationship Id="rId10" Type="http://schemas.openxmlformats.org/officeDocument/2006/relationships/hyperlink" Target="https://www.mdpi.com/1911-8074/17/10/467"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cielo.org.mx/scielo.php?lng=es&amp;nrm=iso&amp;pid=S2683-26902024000200204&amp;script=sci_arttext" TargetMode="External"/><Relationship Id="rId14" Type="http://schemas.openxmlformats.org/officeDocument/2006/relationships/hyperlink" Target="https://ride.org.mx/index.php/RIDE/article/view/973/321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4527</Words>
  <Characters>24902</Characters>
  <Application>Microsoft Office Word</Application>
  <DocSecurity>0</DocSecurity>
  <Lines>207</Lines>
  <Paragraphs>58</Paragraphs>
  <ScaleCrop>false</ScaleCrop>
  <Company/>
  <LinksUpToDate>false</LinksUpToDate>
  <CharactersWithSpaces>29371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2025-10-20T13:48:00Z</dcterms:created>
  <dcterms:modified xsi:type="dcterms:W3CDTF">2025-10-20T13:59:00Z</dcterms:modified>
</cp:coreProperties>
</file>