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079669"/>
          <w:sz w:val="48"/>
        </w:rPr>
        <w:t>💰  Finsave</w:t>
      </w:r>
    </w:p>
    <w:p>
      <w:pPr>
        <w:jc w:val="center"/>
      </w:pPr>
      <w:r>
        <w:rPr>
          <w:b/>
          <w:color w:val="111827"/>
          <w:sz w:val="68"/>
        </w:rPr>
        <w:t>Manual del Administrador</w:t>
        <w:br/>
        <w:t>y Facturación SII</w:t>
      </w:r>
    </w:p>
    <w:p>
      <w:pPr>
        <w:jc w:val="center"/>
      </w:pPr>
      <w:r>
        <w:rPr>
          <w:color w:val="667085"/>
          <w:sz w:val="26"/>
        </w:rPr>
        <w:t>Operación comercial · soporte · pagos · planes · documentos tributarios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05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-Finsave-SI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05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AF3"/>
            <w:vAlign w:val="center"/>
          </w:tcPr>
          <w:p>
            <w:pPr>
              <w:spacing w:after="40"/>
            </w:pPr>
            <w:r>
              <w:rPr>
                <w:b/>
                <w:color w:val="079669"/>
              </w:rPr>
              <w:t>Versión operativa</w:t>
              <w:br/>
            </w:r>
            <w:r>
              <w:t>Preparada para el flujo manual actual de Finsave y para una futura integración con pasarela de pago. Actualizada: julio de 2026.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200" w:after="100"/>
      </w:pPr>
      <w:r>
        <w:t>🧭 1. Qué hace Finsave y qué hace el SII</w:t>
      </w:r>
    </w:p>
    <w:p>
      <w:pPr>
        <w:spacing w:after="100" w:line="259" w:lineRule="auto"/>
      </w:pPr>
      <w:r>
        <w:t>Finsave administra clientes, planes, cobros, comprobantes, estados internos y respaldos. El documento tributario legal —boleta, factura, factura exenta o nota de crédito— se emite, firma y envía mediante el SII o un sistema autorizado.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8"/>
            <w:vAlign w:val="center"/>
          </w:tcPr>
          <w:p>
            <w:pPr>
              <w:spacing w:after="40"/>
            </w:pPr>
            <w:r>
              <w:rPr>
                <w:b/>
                <w:color w:val="079669"/>
              </w:rPr>
              <w:t>No confundir</w:t>
              <w:br/>
            </w:r>
            <w:r>
              <w:t>Una “factura interna” de Finsave es una cuenta por cobrar. No reemplaza un DTE del SII ni debe informarse como facturada hasta tener tipo, folio y fecha de emisión reales.</w:t>
            </w:r>
          </w:p>
        </w:tc>
      </w:tr>
    </w:tbl>
    <w:p>
      <w:pPr>
        <w:spacing w:after="0"/>
      </w:pPr>
    </w:p>
    <w:p>
      <w:pPr>
        <w:pStyle w:val="Heading2"/>
        <w:spacing w:before="200" w:after="100"/>
      </w:pPr>
      <w:r>
        <w:t>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79669"/>
          </w:tcPr>
          <w:p>
            <w:r>
              <w:t>Actor</w:t>
            </w:r>
          </w:p>
        </w:tc>
        <w:tc>
          <w:tcPr>
            <w:tcW w:type="dxa" w:w="3408"/>
            <w:shd w:fill="079669"/>
          </w:tcPr>
          <w:p>
            <w:r>
              <w:t>Responsabilidad</w:t>
            </w:r>
          </w:p>
        </w:tc>
        <w:tc>
          <w:tcPr>
            <w:tcW w:type="dxa" w:w="3408"/>
            <w:shd w:fill="079669"/>
          </w:tcPr>
          <w:p>
            <w:r>
              <w:t>No debe hacer</w:t>
            </w:r>
          </w:p>
        </w:tc>
      </w:tr>
      <w:tr>
        <w:tc>
          <w:tcPr>
            <w:tcW w:type="dxa" w:w="3408"/>
          </w:tcPr>
          <w:p>
            <w:r>
              <w:t>Cliente</w:t>
            </w:r>
          </w:p>
        </w:tc>
        <w:tc>
          <w:tcPr>
            <w:tcW w:type="dxa" w:w="3408"/>
          </w:tcPr>
          <w:p>
            <w:r>
              <w:t>Entrega RUT, nombre/razón social, correo y comprobante.</w:t>
            </w:r>
          </w:p>
        </w:tc>
        <w:tc>
          <w:tcPr>
            <w:tcW w:type="dxa" w:w="3408"/>
          </w:tcPr>
          <w:p>
            <w:r>
              <w:t>Elegir el DTE o marcarse como pagado.</w:t>
            </w:r>
          </w:p>
        </w:tc>
      </w:tr>
      <w:tr>
        <w:tc>
          <w:tcPr>
            <w:tcW w:type="dxa" w:w="3408"/>
          </w:tcPr>
          <w:p>
            <w:r>
              <w:t>Administrador Finsave</w:t>
            </w:r>
          </w:p>
        </w:tc>
        <w:tc>
          <w:tcPr>
            <w:tcW w:type="dxa" w:w="3408"/>
          </w:tcPr>
          <w:p>
            <w:r>
              <w:t>Valida pago, clasifica cliente y prepara el cobro.</w:t>
            </w:r>
          </w:p>
        </w:tc>
        <w:tc>
          <w:tcPr>
            <w:tcW w:type="dxa" w:w="3408"/>
          </w:tcPr>
          <w:p>
            <w:r>
              <w:t>Inventar antecedentes o folios.</w:t>
            </w:r>
          </w:p>
        </w:tc>
      </w:tr>
      <w:tr>
        <w:tc>
          <w:tcPr>
            <w:tcW w:type="dxa" w:w="3408"/>
          </w:tcPr>
          <w:p>
            <w:r>
              <w:t>SII / sistema autorizado</w:t>
            </w:r>
          </w:p>
        </w:tc>
        <w:tc>
          <w:tcPr>
            <w:tcW w:type="dxa" w:w="3408"/>
          </w:tcPr>
          <w:p>
            <w:r>
              <w:t>Emite, firma, envía y conserva validez tributaria.</w:t>
            </w:r>
          </w:p>
        </w:tc>
        <w:tc>
          <w:tcPr>
            <w:tcW w:type="dxa" w:w="3408"/>
          </w:tcPr>
          <w:p>
            <w:r>
              <w:t>Depender de estados internos de Finsave.</w:t>
            </w:r>
          </w:p>
        </w:tc>
      </w:tr>
    </w:tbl>
    <w:p>
      <w:pPr>
        <w:pStyle w:val="Heading2"/>
        <w:spacing w:before="200" w:after="100"/>
      </w:pPr>
      <w:r>
        <w:t>Reglas comerciales de acceso</w:t>
      </w:r>
    </w:p>
    <w:p>
      <w:pPr>
        <w:pStyle w:val="ListBullet"/>
        <w:spacing w:after="40"/>
      </w:pPr>
      <w:r>
        <w:t>Una solicitud de cambio de plan pendiente mantiene el acceso mientras se revisa.</w:t>
      </w:r>
    </w:p>
    <w:p>
      <w:pPr>
        <w:pStyle w:val="ListBullet"/>
        <w:spacing w:after="40"/>
      </w:pPr>
      <w:r>
        <w:t>Un comprobante de pago pendiente mantiene el acceso aunque venza el plan durante la revisión.</w:t>
      </w:r>
    </w:p>
    <w:p>
      <w:pPr>
        <w:pStyle w:val="ListBullet"/>
        <w:spacing w:after="40"/>
      </w:pPr>
      <w:r>
        <w:t>La gracia termina cuando administración aprueba o rechaza. Una desactivación manual de soporte sigue prevaleciendo.</w:t>
      </w:r>
    </w:p>
    <w:p>
      <w:r>
        <w:br w:type="page"/>
      </w:r>
    </w:p>
    <w:p>
      <w:pPr>
        <w:pStyle w:val="Heading1"/>
        <w:spacing w:before="200" w:after="100"/>
      </w:pPr>
      <w:r>
        <w:t>🧾 2. Elegir el documento correcto</w:t>
      </w:r>
    </w:p>
    <w:p>
      <w:pPr>
        <w:spacing w:after="100" w:line="259" w:lineRule="auto"/>
      </w:pPr>
      <w:r>
        <w:t>No se debe decidir solamente por el número del RUT. Un RUT con cuerpo superior a 50.000.000 es una señal útil de persona jurídica, pero la decisión final depende de quién compra, si requiere crédito fiscal y si la operación está afecta o exenta.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79669"/>
          </w:tcPr>
          <w:p>
            <w:r>
              <w:t>Caso</w:t>
            </w:r>
          </w:p>
        </w:tc>
        <w:tc>
          <w:tcPr>
            <w:tcW w:type="dxa" w:w="2556"/>
            <w:shd w:fill="079669"/>
          </w:tcPr>
          <w:p>
            <w:r>
              <w:t>DTE usual</w:t>
            </w:r>
          </w:p>
        </w:tc>
        <w:tc>
          <w:tcPr>
            <w:tcW w:type="dxa" w:w="2556"/>
            <w:shd w:fill="079669"/>
          </w:tcPr>
          <w:p>
            <w:r>
              <w:t>Código</w:t>
            </w:r>
          </w:p>
        </w:tc>
        <w:tc>
          <w:tcPr>
            <w:tcW w:type="dxa" w:w="2556"/>
            <w:shd w:fill="079669"/>
          </w:tcPr>
          <w:p>
            <w:r>
              <w:t>Control antes de emitir</w:t>
            </w:r>
          </w:p>
        </w:tc>
      </w:tr>
      <w:tr>
        <w:tc>
          <w:tcPr>
            <w:tcW w:type="dxa" w:w="2556"/>
          </w:tcPr>
          <w:p>
            <w:r>
              <w:t>Persona natural / consumidor final</w:t>
            </w:r>
          </w:p>
        </w:tc>
        <w:tc>
          <w:tcPr>
            <w:tcW w:type="dxa" w:w="2556"/>
          </w:tcPr>
          <w:p>
            <w:r>
              <w:t>Boleta electrónica</w:t>
            </w:r>
          </w:p>
        </w:tc>
        <w:tc>
          <w:tcPr>
            <w:tcW w:type="dxa" w:w="2556"/>
          </w:tcPr>
          <w:p>
            <w:r>
              <w:t>39</w:t>
            </w:r>
          </w:p>
        </w:tc>
        <w:tc>
          <w:tcPr>
            <w:tcW w:type="dxa" w:w="2556"/>
          </w:tcPr>
          <w:p>
            <w:r>
              <w:t>Monto, detalle y correo si se enviará copia.</w:t>
            </w:r>
          </w:p>
        </w:tc>
      </w:tr>
      <w:tr>
        <w:tc>
          <w:tcPr>
            <w:tcW w:type="dxa" w:w="2556"/>
          </w:tcPr>
          <w:p>
            <w:r>
              <w:t>Empresa o contribuyente que requiere factura</w:t>
            </w:r>
          </w:p>
        </w:tc>
        <w:tc>
          <w:tcPr>
            <w:tcW w:type="dxa" w:w="2556"/>
          </w:tcPr>
          <w:p>
            <w:r>
              <w:t>Factura electrónica</w:t>
            </w:r>
          </w:p>
        </w:tc>
        <w:tc>
          <w:tcPr>
            <w:tcW w:type="dxa" w:w="2556"/>
          </w:tcPr>
          <w:p>
            <w:r>
              <w:t>33</w:t>
            </w:r>
          </w:p>
        </w:tc>
        <w:tc>
          <w:tcPr>
            <w:tcW w:type="dxa" w:w="2556"/>
          </w:tcPr>
          <w:p>
            <w:r>
              <w:t>RUT, razón social, giro, dirección, comuna; operación afecta.</w:t>
            </w:r>
          </w:p>
        </w:tc>
      </w:tr>
      <w:tr>
        <w:tc>
          <w:tcPr>
            <w:tcW w:type="dxa" w:w="2556"/>
          </w:tcPr>
          <w:p>
            <w:r>
              <w:t>Empresa con operación no afecta o exenta</w:t>
            </w:r>
          </w:p>
        </w:tc>
        <w:tc>
          <w:tcPr>
            <w:tcW w:type="dxa" w:w="2556"/>
          </w:tcPr>
          <w:p>
            <w:r>
              <w:t>Factura no afecta o exenta</w:t>
            </w:r>
          </w:p>
        </w:tc>
        <w:tc>
          <w:tcPr>
            <w:tcW w:type="dxa" w:w="2556"/>
          </w:tcPr>
          <w:p>
            <w:r>
              <w:t>34</w:t>
            </w:r>
          </w:p>
        </w:tc>
        <w:tc>
          <w:tcPr>
            <w:tcW w:type="dxa" w:w="2556"/>
          </w:tcPr>
          <w:p>
            <w:r>
              <w:t>Confirmar fundamento tributario; no basta con ser empresa.</w:t>
            </w:r>
          </w:p>
        </w:tc>
      </w:tr>
      <w:tr>
        <w:tc>
          <w:tcPr>
            <w:tcW w:type="dxa" w:w="2556"/>
          </w:tcPr>
          <w:p>
            <w:r>
              <w:t>Consumidor final con operación exenta</w:t>
            </w:r>
          </w:p>
        </w:tc>
        <w:tc>
          <w:tcPr>
            <w:tcW w:type="dxa" w:w="2556"/>
          </w:tcPr>
          <w:p>
            <w:r>
              <w:t>Boleta no afecta o exenta</w:t>
            </w:r>
          </w:p>
        </w:tc>
        <w:tc>
          <w:tcPr>
            <w:tcW w:type="dxa" w:w="2556"/>
          </w:tcPr>
          <w:p>
            <w:r>
              <w:t>41</w:t>
            </w:r>
          </w:p>
        </w:tc>
        <w:tc>
          <w:tcPr>
            <w:tcW w:type="dxa" w:w="2556"/>
          </w:tcPr>
          <w:p>
            <w:r>
              <w:t>Confirmar que el servicio vendido es efectivamente exento.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AF3"/>
            <w:vAlign w:val="center"/>
          </w:tcPr>
          <w:p>
            <w:pPr>
              <w:spacing w:after="40"/>
            </w:pPr>
            <w:r>
              <w:rPr>
                <w:b/>
                <w:color w:val="079669"/>
              </w:rPr>
              <w:t>Decisión segura</w:t>
              <w:br/>
            </w:r>
            <w:r>
              <w:t>1) Identifica al receptor. 2) Pregunta si requiere factura. 3) Verifica datos en el SII. 4) Define si la operación está afecta o exenta. 5) Revisa la vista previa antes de firmar.</w:t>
            </w:r>
          </w:p>
        </w:tc>
      </w:tr>
    </w:tbl>
    <w:p>
      <w:pPr>
        <w:spacing w:after="0"/>
      </w:pPr>
    </w:p>
    <w:p>
      <w:pPr>
        <w:pStyle w:val="Heading2"/>
        <w:spacing w:before="200" w:after="100"/>
      </w:pPr>
      <w:r>
        <w:t>Datos mínimos en Finsave</w:t>
      </w:r>
    </w:p>
    <w:p>
      <w:pPr>
        <w:pStyle w:val="ListBullet"/>
        <w:spacing w:after="40"/>
      </w:pPr>
      <w:r>
        <w:t>Cliente: RUT, nombre o razón social y correo DTE.</w:t>
      </w:r>
    </w:p>
    <w:p>
      <w:pPr>
        <w:pStyle w:val="ListBullet"/>
        <w:spacing w:after="40"/>
      </w:pPr>
      <w:r>
        <w:t>Administrador para factura: además giro, dirección y comuna; ciudad cuando corresponda.</w:t>
      </w:r>
    </w:p>
    <w:p>
      <w:pPr>
        <w:pStyle w:val="ListBullet"/>
        <w:spacing w:after="40"/>
      </w:pPr>
      <w:r>
        <w:t>El portal del SII puede completar datos al ingresar el RUT si los tiene registrados. Si no, deben digitase y validarse.</w:t>
      </w:r>
    </w:p>
    <w:p>
      <w:r>
        <w:br w:type="page"/>
      </w:r>
    </w:p>
    <w:p>
      <w:pPr>
        <w:pStyle w:val="Heading1"/>
        <w:spacing w:before="200" w:after="100"/>
      </w:pPr>
      <w:r>
        <w:t>🏦 3. Cobro, pago y cambio de plan</w:t>
      </w:r>
    </w:p>
    <w:p>
      <w:pPr>
        <w:pStyle w:val="ListNumber"/>
        <w:spacing w:after="40"/>
      </w:pPr>
      <w:r>
        <w:t>El cliente solicita el plan. Finsave crea el cobro interno con plan, monto y período.</w:t>
      </w:r>
    </w:p>
    <w:p>
      <w:pPr>
        <w:pStyle w:val="ListNumber"/>
        <w:spacing w:after="40"/>
      </w:pPr>
      <w:r>
        <w:t>Si paga por transferencia, informa fecha, referencia y comprobante.</w:t>
      </w:r>
    </w:p>
    <w:p>
      <w:pPr>
        <w:pStyle w:val="ListNumber"/>
        <w:spacing w:after="40"/>
      </w:pPr>
      <w:r>
        <w:t>Mientras la solicitud o pago esté pendiente, Finsave conserva el acceso.</w:t>
      </w:r>
    </w:p>
    <w:p>
      <w:pPr>
        <w:pStyle w:val="ListNumber"/>
        <w:spacing w:after="40"/>
      </w:pPr>
      <w:r>
        <w:t>Administración compara titular, monto, fecha, referencia y factura interna.</w:t>
      </w:r>
    </w:p>
    <w:p>
      <w:pPr>
        <w:pStyle w:val="ListNumber"/>
        <w:spacing w:after="40"/>
      </w:pPr>
      <w:r>
        <w:t>Si rechaza: registra motivo, cierra la gracia y comunica al cliente.</w:t>
      </w:r>
    </w:p>
    <w:p>
      <w:pPr>
        <w:pStyle w:val="ListNumber"/>
        <w:spacing w:after="40"/>
      </w:pPr>
      <w:r>
        <w:t>Si aprueba: el pago queda validado y el cambio de plan queda listo para activación.</w:t>
      </w:r>
    </w:p>
    <w:p>
      <w:pPr>
        <w:pStyle w:val="ListNumber"/>
        <w:spacing w:after="40"/>
      </w:pPr>
      <w:r>
        <w:t>Administración activa el plan; Finsave actualiza inicio y fin.</w:t>
      </w:r>
    </w:p>
    <w:p>
      <w:pPr>
        <w:pStyle w:val="ListNumber"/>
        <w:spacing w:after="40"/>
      </w:pPr>
      <w:r>
        <w:t>Luego emite el DTE en SII y registra tipo, folio, fecha, PDF y XML.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8"/>
            <w:vAlign w:val="center"/>
          </w:tcPr>
          <w:p>
            <w:pPr>
              <w:spacing w:after="40"/>
            </w:pPr>
            <w:r>
              <w:rPr>
                <w:b/>
                <w:color w:val="079669"/>
              </w:rPr>
              <w:t>Detalle obligatorio del cobro</w:t>
              <w:br/>
            </w:r>
            <w:r>
              <w:t>Usar una glosa como: “Suscripción Finsave · Plan Mensual · período 20/07/2026 al 18/08/2026”. No usar solo “Suscripción”.</w:t>
            </w:r>
          </w:p>
        </w:tc>
      </w:tr>
    </w:tbl>
    <w:p>
      <w:pPr>
        <w:spacing w:after="0"/>
      </w:pPr>
    </w:p>
    <w:p>
      <w:pPr>
        <w:pStyle w:val="Heading2"/>
        <w:spacing w:before="200" w:after="100"/>
      </w:pPr>
      <w:r>
        <w:t>Controles de revisión de transferencia</w:t>
      </w:r>
    </w:p>
    <w:p>
      <w:pPr>
        <w:pStyle w:val="ListBullet"/>
        <w:spacing w:after="40"/>
      </w:pPr>
      <w:r>
        <w:t>Monto exacto y moneda CLP.</w:t>
      </w:r>
    </w:p>
    <w:p>
      <w:pPr>
        <w:pStyle w:val="ListBullet"/>
        <w:spacing w:after="40"/>
      </w:pPr>
      <w:r>
        <w:t>Cuenta receptora Finsave correcta.</w:t>
      </w:r>
    </w:p>
    <w:p>
      <w:pPr>
        <w:pStyle w:val="ListBullet"/>
        <w:spacing w:after="40"/>
      </w:pPr>
      <w:r>
        <w:t>Fecha y número de operación legibles.</w:t>
      </w:r>
    </w:p>
    <w:p>
      <w:pPr>
        <w:pStyle w:val="ListBullet"/>
        <w:spacing w:after="40"/>
      </w:pPr>
      <w:r>
        <w:t>Comprobante no duplicado y asociado al cliente/cobro correcto.</w:t>
      </w:r>
    </w:p>
    <w:p>
      <w:pPr>
        <w:pStyle w:val="ListBullet"/>
        <w:spacing w:after="40"/>
      </w:pPr>
      <w:r>
        <w:t>No aprobar solo por una captura; confirmar el abono en la cuenta bancaria.</w:t>
      </w:r>
    </w:p>
    <w:p>
      <w:r>
        <w:br w:type="page"/>
      </w:r>
    </w:p>
    <w:p>
      <w:pPr>
        <w:pStyle w:val="Heading1"/>
        <w:spacing w:before="200" w:after="100"/>
      </w:pPr>
      <w:r>
        <w:t>🧑‍💼 4. Emitir una factura o boleta en el SII</w:t>
      </w:r>
    </w:p>
    <w:p>
      <w:pPr>
        <w:spacing w:after="120"/>
      </w:pPr>
      <w:r>
        <w:rPr>
          <w:b/>
          <w:color w:val="079669"/>
        </w:rPr>
        <w:t xml:space="preserve">01  Preparación  </w:t>
      </w:r>
      <w:r>
        <w:t>Tener inicio de actividades, habilitación para emitir, certificado digital cuando corresponda y acceso al sistema gratuito o de mercado.</w:t>
      </w:r>
    </w:p>
    <w:p>
      <w:pPr>
        <w:spacing w:after="120"/>
      </w:pPr>
      <w:r>
        <w:rPr>
          <w:b/>
          <w:color w:val="079669"/>
        </w:rPr>
        <w:t xml:space="preserve">02  Abrir SII  </w:t>
      </w:r>
      <w:r>
        <w:t>Servicios online → Factura electrónica → Sistema de facturación gratuito → Emisión de DTE.</w:t>
      </w:r>
    </w:p>
    <w:p>
      <w:pPr>
        <w:spacing w:after="120"/>
      </w:pPr>
      <w:r>
        <w:rPr>
          <w:b/>
          <w:color w:val="079669"/>
        </w:rPr>
        <w:t xml:space="preserve">03  Elegir DTE  </w:t>
      </w:r>
      <w:r>
        <w:t>Usa la matriz de la sección 2. La condición exenta depende de la operación, no del cliente.</w:t>
      </w:r>
    </w:p>
    <w:p>
      <w:pPr>
        <w:spacing w:after="120"/>
      </w:pPr>
      <w:r>
        <w:rPr>
          <w:b/>
          <w:color w:val="079669"/>
        </w:rPr>
        <w:t xml:space="preserve">04  Receptor  </w:t>
      </w:r>
      <w:r>
        <w:t>Ingresa RUT. Revisa los datos recuperados; si no aparecen, completa razón social, giro, dirección y comuna.</w:t>
      </w:r>
    </w:p>
    <w:p>
      <w:pPr>
        <w:spacing w:after="120"/>
      </w:pPr>
      <w:r>
        <w:rPr>
          <w:b/>
          <w:color w:val="079669"/>
        </w:rPr>
        <w:t xml:space="preserve">05  Detalle  </w:t>
      </w:r>
      <w:r>
        <w:t>Ingresa: Suscripción Finsave · Plan [nombre] · período [desde] al [hasta]. Cantidad 1 y precio según el cobro.</w:t>
      </w:r>
    </w:p>
    <w:p>
      <w:pPr>
        <w:spacing w:after="120"/>
      </w:pPr>
      <w:r>
        <w:rPr>
          <w:b/>
          <w:color w:val="079669"/>
        </w:rPr>
        <w:t xml:space="preserve">06  Vista previa  </w:t>
      </w:r>
      <w:r>
        <w:t>Comprueba receptor, tipo DTE, detalle, neto, IVA y total. Compara con Finsave.</w:t>
      </w:r>
    </w:p>
    <w:p>
      <w:pPr>
        <w:spacing w:after="120"/>
      </w:pPr>
      <w:r>
        <w:rPr>
          <w:b/>
          <w:color w:val="079669"/>
        </w:rPr>
        <w:t xml:space="preserve">07  Firmar y enviar  </w:t>
      </w:r>
      <w:r>
        <w:t>Solo después de validar. Guarda la confirmación y abre “Ver Documento”.</w:t>
      </w:r>
    </w:p>
    <w:p>
      <w:pPr>
        <w:spacing w:after="120"/>
      </w:pPr>
      <w:r>
        <w:rPr>
          <w:b/>
          <w:color w:val="079669"/>
        </w:rPr>
        <w:t xml:space="preserve">08  Registrar en Finsave  </w:t>
      </w:r>
      <w:r>
        <w:t>En Por facturar → Registrar DTE: tipo, folio, fecha; adjunta PDF/XML y mueve a Facturado.</w:t>
      </w:r>
    </w:p>
    <w:p>
      <w:r>
        <w:br w:type="page"/>
      </w:r>
    </w:p>
    <w:p>
      <w:pPr>
        <w:pStyle w:val="Heading1"/>
        <w:spacing w:before="200" w:after="100"/>
      </w:pPr>
      <w:r>
        <w:t>🛠️ 5. Manual del Panel de Administrador</w:t>
      </w:r>
    </w:p>
    <w:p>
      <w:pPr>
        <w:pStyle w:val="Heading2"/>
        <w:spacing w:before="200" w:after="100"/>
      </w:pPr>
      <w:r>
        <w:t>Dashboard</w:t>
      </w:r>
    </w:p>
    <w:p>
      <w:pPr>
        <w:spacing w:after="100" w:line="259" w:lineRule="auto"/>
      </w:pPr>
      <w:r>
        <w:t>Revisa usuarios activos, morosidad, ingresos, pagos por revisar y solicitudes comerciales.</w:t>
      </w:r>
    </w:p>
    <w:p>
      <w:pPr>
        <w:pStyle w:val="Heading2"/>
        <w:spacing w:before="200" w:after="100"/>
      </w:pPr>
      <w:r>
        <w:t>Cuentas de usuarios</w:t>
      </w:r>
    </w:p>
    <w:p>
      <w:pPr>
        <w:spacing w:after="100" w:line="259" w:lineRule="auto"/>
      </w:pPr>
      <w:r>
        <w:t>Busca por nombre o correo; Dar soporte abre el perfil completo. Editar cambia datos permitidos; Desactivar bloquea acceso conservando información.</w:t>
      </w:r>
    </w:p>
    <w:p>
      <w:pPr>
        <w:pStyle w:val="Heading2"/>
        <w:spacing w:before="200" w:after="100"/>
      </w:pPr>
      <w:r>
        <w:t>Planes</w:t>
      </w:r>
    </w:p>
    <w:p>
      <w:pPr>
        <w:spacing w:after="100" w:line="259" w:lineRule="auto"/>
      </w:pPr>
      <w:r>
        <w:t>Crea nombre, precio, duración y estado. El plan Administrador es indefinido y no se ofrece comercialmente.</w:t>
      </w:r>
    </w:p>
    <w:p>
      <w:pPr>
        <w:pStyle w:val="Heading2"/>
        <w:spacing w:before="200" w:after="100"/>
      </w:pPr>
      <w:r>
        <w:t>Cobranza por cliente</w:t>
      </w:r>
    </w:p>
    <w:p>
      <w:pPr>
        <w:spacing w:after="100" w:line="259" w:lineRule="auto"/>
      </w:pPr>
      <w:r>
        <w:t>Gestionar permite asignar plan, vigencia, estado, nota interna, emitir cobro y revisar historial.</w:t>
      </w:r>
    </w:p>
    <w:p>
      <w:pPr>
        <w:pStyle w:val="Heading2"/>
        <w:spacing w:before="200" w:after="100"/>
      </w:pPr>
      <w:r>
        <w:t>Pagos por revisar</w:t>
      </w:r>
    </w:p>
    <w:p>
      <w:pPr>
        <w:spacing w:after="100" w:line="259" w:lineRule="auto"/>
      </w:pPr>
      <w:r>
        <w:t>Abre el comprobante, confirma el abono bancario y aprueba o rechaza. La revisión protege temporalmente el acceso.</w:t>
      </w:r>
    </w:p>
    <w:p>
      <w:pPr>
        <w:pStyle w:val="Heading2"/>
        <w:spacing w:before="200" w:after="100"/>
      </w:pPr>
      <w:r>
        <w:t>Cambios de plan</w:t>
      </w:r>
    </w:p>
    <w:p>
      <w:pPr>
        <w:spacing w:after="100" w:line="259" w:lineRule="auto"/>
      </w:pPr>
      <w:r>
        <w:t>Lee plan actual → solicitado, método, cobro y etapa. Primero valida pago; después aprueba la activación.</w:t>
      </w:r>
    </w:p>
    <w:p>
      <w:pPr>
        <w:pStyle w:val="Heading2"/>
        <w:spacing w:before="200" w:after="100"/>
      </w:pPr>
      <w:r>
        <w:t>Gestión tributaria</w:t>
      </w:r>
    </w:p>
    <w:p>
      <w:pPr>
        <w:spacing w:after="100" w:line="259" w:lineRule="auto"/>
      </w:pPr>
      <w:r>
        <w:t>Por facturar reúne cobros sin DTE; Facturado contiene DTE emitidos; Anulado registra correcciones y notas de crédito.</w:t>
      </w:r>
    </w:p>
    <w:p>
      <w:pPr>
        <w:pStyle w:val="Heading2"/>
        <w:spacing w:before="200" w:after="100"/>
      </w:pPr>
      <w:r>
        <w:t>Exportaciones</w:t>
      </w:r>
    </w:p>
    <w:p>
      <w:pPr>
        <w:spacing w:after="100" w:line="259" w:lineRule="auto"/>
      </w:pPr>
      <w:r>
        <w:t>Usa Excel de la pestaña para control y CSV como preparación. Verifica siempre el formato exigido por el proveedor de facturación.</w:t>
      </w:r>
    </w:p>
    <w:p>
      <w:r>
        <w:br w:type="page"/>
      </w:r>
    </w:p>
    <w:p>
      <w:pPr>
        <w:pStyle w:val="Heading1"/>
        <w:spacing w:before="200" w:after="100"/>
      </w:pPr>
      <w:r>
        <w:t>🔁 6. Correcciones, anulaciones y conciliación</w:t>
      </w:r>
    </w:p>
    <w:p>
      <w:pPr>
        <w:spacing w:after="100" w:line="259" w:lineRule="auto"/>
      </w:pPr>
      <w:r>
        <w:t>Un DTE aceptado por el SII no se elimina como un registro interno. Para anular una factura electrónica o factura exenta aceptada, el SII indica emitir una Nota de Crédito Electrónica de anulación, dentro del período tributario correspondiente según las reglas vigentes.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0F2"/>
            <w:vAlign w:val="center"/>
          </w:tcPr>
          <w:p>
            <w:pPr>
              <w:spacing w:after="40"/>
            </w:pPr>
            <w:r>
              <w:rPr>
                <w:b/>
                <w:color w:val="079669"/>
              </w:rPr>
              <w:t>Antes de marcar Anulado</w:t>
              <w:br/>
            </w:r>
            <w:r>
              <w:t>Emite primero la nota de crédito en el SII. Luego registra en Finsave el motivo y folio asociado. Conserva ambos documentos.</w:t>
            </w:r>
          </w:p>
        </w:tc>
      </w:tr>
    </w:tbl>
    <w:p>
      <w:pPr>
        <w:spacing w:after="0"/>
      </w:pPr>
    </w:p>
    <w:p>
      <w:pPr>
        <w:pStyle w:val="Heading2"/>
        <w:spacing w:before="200" w:after="100"/>
      </w:pPr>
      <w:r>
        <w:t>Conciliación semanal</w:t>
      </w:r>
    </w:p>
    <w:p>
      <w:pPr>
        <w:pStyle w:val="ListBullet"/>
        <w:spacing w:after="40"/>
      </w:pPr>
      <w:r>
        <w:t>Pagos bancarios aprobados = pagos aprobados en Finsave.</w:t>
      </w:r>
    </w:p>
    <w:p>
      <w:pPr>
        <w:pStyle w:val="ListBullet"/>
        <w:spacing w:after="40"/>
      </w:pPr>
      <w:r>
        <w:t>Cobros internos pagados = DTE emitidos o excepción documentada.</w:t>
      </w:r>
    </w:p>
    <w:p>
      <w:pPr>
        <w:pStyle w:val="ListBullet"/>
        <w:spacing w:after="40"/>
      </w:pPr>
      <w:r>
        <w:t>Tipo, folio, fecha y total de Finsave = documento SII.</w:t>
      </w:r>
    </w:p>
    <w:p>
      <w:pPr>
        <w:pStyle w:val="ListBullet"/>
        <w:spacing w:after="40"/>
      </w:pPr>
      <w:r>
        <w:t>Anulados en Finsave = nota de crédito o respaldo tributario correspondiente.</w:t>
      </w:r>
    </w:p>
    <w:p>
      <w:pPr>
        <w:pStyle w:val="Heading2"/>
        <w:spacing w:before="200" w:after="100"/>
      </w:pPr>
      <w:r>
        <w:t>Cierre mensual</w:t>
      </w:r>
    </w:p>
    <w:p>
      <w:pPr>
        <w:pStyle w:val="ListBullet"/>
        <w:spacing w:after="40"/>
      </w:pPr>
      <w:r>
        <w:t>Exporta Facturado, Por facturar y Anulado.</w:t>
      </w:r>
    </w:p>
    <w:p>
      <w:pPr>
        <w:pStyle w:val="ListBullet"/>
        <w:spacing w:after="40"/>
      </w:pPr>
      <w:r>
        <w:t>Compara con Registro de Compras y Ventas y con la cuenta bancaria.</w:t>
      </w:r>
    </w:p>
    <w:p>
      <w:pPr>
        <w:pStyle w:val="ListBullet"/>
        <w:spacing w:after="40"/>
      </w:pPr>
      <w:r>
        <w:t>Respalda Excel, PDF/XML y comprobantes con acceso restringido.</w:t>
      </w:r>
    </w:p>
    <w:p>
      <w:pPr>
        <w:pStyle w:val="ListBullet"/>
        <w:spacing w:after="40"/>
      </w:pPr>
      <w:r>
        <w:t>Consulta al contador ante operaciones exentas, notas parciales o casos especiales.</w:t>
      </w:r>
    </w:p>
    <w:p>
      <w:r>
        <w:br w:type="page"/>
      </w:r>
    </w:p>
    <w:p>
      <w:pPr>
        <w:pStyle w:val="Heading1"/>
        <w:spacing w:before="200" w:after="100"/>
      </w:pPr>
      <w:r>
        <w:t>✅ 7. Checklist rápido antes de emitir</w:t>
      </w:r>
    </w:p>
    <w:p>
      <w:pPr>
        <w:spacing w:after="40"/>
        <w:ind w:left="216"/>
      </w:pPr>
      <w:r>
        <w:t>☐  Pago validado o condición comercial definida</w:t>
      </w:r>
    </w:p>
    <w:p>
      <w:pPr>
        <w:spacing w:after="40"/>
        <w:ind w:left="216"/>
      </w:pPr>
      <w:r>
        <w:t>☐  Cliente y RUT correctos</w:t>
      </w:r>
    </w:p>
    <w:p>
      <w:pPr>
        <w:spacing w:after="40"/>
        <w:ind w:left="216"/>
      </w:pPr>
      <w:r>
        <w:t>☐  Persona natural o empresa revisada</w:t>
      </w:r>
    </w:p>
    <w:p>
      <w:pPr>
        <w:spacing w:after="40"/>
        <w:ind w:left="216"/>
      </w:pPr>
      <w:r>
        <w:t>☐  DTE elegido por administración</w:t>
      </w:r>
    </w:p>
    <w:p>
      <w:pPr>
        <w:spacing w:after="40"/>
        <w:ind w:left="216"/>
      </w:pPr>
      <w:r>
        <w:t>☐  Afecta/exenta confirmada según la operación</w:t>
      </w:r>
    </w:p>
    <w:p>
      <w:pPr>
        <w:spacing w:after="40"/>
        <w:ind w:left="216"/>
      </w:pPr>
      <w:r>
        <w:t>☐  Plan y período visibles en el detalle</w:t>
      </w:r>
    </w:p>
    <w:p>
      <w:pPr>
        <w:spacing w:after="40"/>
        <w:ind w:left="216"/>
      </w:pPr>
      <w:r>
        <w:t>☐  Monto coincide con Finsave</w:t>
      </w:r>
    </w:p>
    <w:p>
      <w:pPr>
        <w:spacing w:after="40"/>
        <w:ind w:left="216"/>
      </w:pPr>
      <w:r>
        <w:t>☐  Datos de factura completos</w:t>
      </w:r>
    </w:p>
    <w:p>
      <w:pPr>
        <w:spacing w:after="40"/>
        <w:ind w:left="216"/>
      </w:pPr>
      <w:r>
        <w:t>☐  Vista previa revisada</w:t>
      </w:r>
    </w:p>
    <w:p>
      <w:pPr>
        <w:spacing w:after="40"/>
        <w:ind w:left="216"/>
      </w:pPr>
      <w:r>
        <w:t>☐  Folio y fecha registrados después de emitir</w:t>
      </w:r>
    </w:p>
    <w:p>
      <w:pPr>
        <w:spacing w:after="40"/>
        <w:ind w:left="216"/>
      </w:pPr>
      <w:r>
        <w:t>☐  PDF/XML respaldados</w:t>
      </w:r>
    </w:p>
    <w:p>
      <w:pPr>
        <w:pStyle w:val="Heading2"/>
        <w:spacing w:before="200" w:after="100"/>
      </w:pPr>
      <w:r>
        <w:t>🚨 Cuándo detenerse y consultar</w:t>
      </w:r>
    </w:p>
    <w:p>
      <w:pPr>
        <w:pStyle w:val="ListBullet"/>
        <w:spacing w:after="40"/>
      </w:pPr>
      <w:r>
        <w:t>No sabes si el servicio está afecto o exento.</w:t>
      </w:r>
    </w:p>
    <w:p>
      <w:pPr>
        <w:pStyle w:val="ListBullet"/>
        <w:spacing w:after="40"/>
      </w:pPr>
      <w:r>
        <w:t>El RUT no recupera datos o los datos difieren de los entregados.</w:t>
      </w:r>
    </w:p>
    <w:p>
      <w:pPr>
        <w:pStyle w:val="ListBullet"/>
        <w:spacing w:after="40"/>
      </w:pPr>
      <w:r>
        <w:t>El cliente pide factura después de emitir boleta.</w:t>
      </w:r>
    </w:p>
    <w:p>
      <w:pPr>
        <w:pStyle w:val="ListBullet"/>
        <w:spacing w:after="40"/>
      </w:pPr>
      <w:r>
        <w:t>Hay pagos parciales, descuentos retroactivos o devolución.</w:t>
      </w:r>
    </w:p>
    <w:p>
      <w:pPr>
        <w:pStyle w:val="ListBullet"/>
        <w:spacing w:after="40"/>
      </w:pPr>
      <w:r>
        <w:t>El SII rechaza el DTE o muestra una observación.</w:t>
      </w:r>
    </w:p>
    <w:p>
      <w:r>
        <w:br w:type="page"/>
      </w:r>
    </w:p>
    <w:p>
      <w:pPr>
        <w:pStyle w:val="Heading1"/>
        <w:spacing w:before="200" w:after="100"/>
      </w:pPr>
      <w:r>
        <w:t>📚 8. Fuentes oficiales y límites</w:t>
      </w:r>
    </w:p>
    <w:p>
      <w:pPr>
        <w:spacing w:after="100" w:line="259" w:lineRule="auto"/>
      </w:pPr>
      <w:r>
        <w:t>Este manual es operativo y no reemplaza asesoría tributaria. La situación particular del contribuyente y las instrucciones vigentes del SII prevalecen.</w:t>
      </w:r>
    </w:p>
    <w:p>
      <w:pPr>
        <w:pStyle w:val="ListBullet"/>
        <w:spacing w:after="40"/>
      </w:pPr>
      <w:r>
        <w:t>Portal de Factura Electrónica SII: https://www.sii.cl/destacados/factura_electronica/</w:t>
      </w:r>
    </w:p>
    <w:p>
      <w:pPr>
        <w:pStyle w:val="ListBullet"/>
        <w:spacing w:after="40"/>
      </w:pPr>
      <w:r>
        <w:t>Guía: cómo emitir una factura electrónica: https://www.sii.cl/factura_electronica/factura_sii/guias_ayuda/emitir_factura_electronica.htm</w:t>
      </w:r>
    </w:p>
    <w:p>
      <w:pPr>
        <w:pStyle w:val="ListBullet"/>
        <w:spacing w:after="40"/>
      </w:pPr>
      <w:r>
        <w:t>Guías del sistema de facturación SII: https://www.sii.cl/destacados/factura_electronica/guias_ayuda/</w:t>
      </w:r>
    </w:p>
    <w:p>
      <w:pPr>
        <w:pStyle w:val="ListBullet"/>
        <w:spacing w:after="40"/>
      </w:pPr>
      <w:r>
        <w:t>Anulación de DTE aceptados: https://www.sii.cl/preguntas_frecuentes/factura_electronica/001_003_2167.htm</w:t>
      </w:r>
    </w:p>
    <w:p>
      <w:pPr>
        <w:pStyle w:val="ListBullet"/>
        <w:spacing w:after="40"/>
      </w:pPr>
      <w:r>
        <w:t>Nota de crédito para anular factura: https://www.sii.cl/destacados/factura_electronica/guias_ayuda/nota_credito_anular_fe.htm</w:t>
      </w:r>
    </w:p>
    <w:p>
      <w:pPr>
        <w:pStyle w:val="ListBullet"/>
        <w:spacing w:after="40"/>
      </w:pPr>
      <w:r>
        <w:t>Formato DTE vigente 2026: https://www.sii.cl/factura_electronica/factura_mercado/formato_dte_202602.pdf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AF3"/>
            <w:vAlign w:val="center"/>
          </w:tcPr>
          <w:p>
            <w:pPr>
              <w:spacing w:after="40"/>
            </w:pPr>
            <w:r>
              <w:rPr>
                <w:b/>
                <w:color w:val="079669"/>
              </w:rPr>
              <w:t>Última recomendación</w:t>
              <w:br/>
            </w:r>
            <w:r>
              <w:t>Antes de comercializar masivamente, valida con un contador el tratamiento IVA del servicio Finsave y define una política escrita de boleta/factura, notas de crédito y fechas de emisión.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7085"/>
        <w:sz w:val="16"/>
      </w:rPr>
      <w:t>Uso interno · Revisar normativa vigente en sii.cl antes de emitir</w:t>
      <w:t xml:space="preserve">  |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67085"/>
        <w:sz w:val="16"/>
      </w:rPr>
      <w:t>💰 Finsave  |  Manual operativo y tributario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1182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7966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1182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79669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