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Word Clipboard Fixture — FX Trading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Open in Word → select table → Ctrl+C → paste into clipboard harness. Each section = separate table.</w:t>
      </w:r>
    </w:p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1 — Font Sizes (10pt / 12pt / 14pt / 18pt)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10 pt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12 pt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14 pt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18 pt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1.0842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GBP/USD 1.2715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8"/>
                <w:szCs w:val="28"/>
              </w:rPr>
              <w:t xml:space="preserve">USD/JPY 149.85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36"/>
                <w:szCs w:val="36"/>
              </w:rPr>
              <w:t xml:space="preserve">AUD/JPY carry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Bid: 1.0840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Bid: 1.2713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8"/>
                <w:szCs w:val="28"/>
              </w:rPr>
              <w:t xml:space="preserve">Spot: 149.80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36"/>
                <w:szCs w:val="36"/>
              </w:rPr>
              <w:t xml:space="preserve">P&amp;L +$12,450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2 — Text Styles (Bold, Italic, Underline, Strikethrough, combinations)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320"/>
        <w:gridCol w:w="1320"/>
        <w:gridCol w:w="1200"/>
        <w:gridCol w:w="1200"/>
      </w:tblGrid>
      <w:tr>
        <w:trPr>
          <w:tblHeader/>
        </w:trPr>
        <w:tc>
          <w:tcPr>
            <w:tcW w:type="dxa" w:w="14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Bold</w:t>
            </w:r>
          </w:p>
        </w:tc>
        <w:tc>
          <w:tcPr>
            <w:tcW w:type="dxa" w:w="14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Italic</w:t>
            </w:r>
          </w:p>
        </w:tc>
        <w:tc>
          <w:tcPr>
            <w:tcW w:type="dxa" w:w="14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Bold+Italic</w:t>
            </w:r>
          </w:p>
        </w:tc>
        <w:tc>
          <w:tcPr>
            <w:tcW w:type="dxa" w:w="13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Underline</w:t>
            </w:r>
          </w:p>
        </w:tc>
        <w:tc>
          <w:tcPr>
            <w:tcW w:type="dxa" w:w="13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Strike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B+U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B+I+U</w:t>
            </w:r>
          </w:p>
        </w:tc>
      </w:tr>
      <w:tr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Long EUR/USD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000000"/>
                <w:sz w:val="20"/>
                <w:szCs w:val="20"/>
              </w:rPr>
              <w:t xml:space="preserve">Short GBP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trike w:val="false"/>
                <w:color w:val="000000"/>
                <w:sz w:val="20"/>
                <w:szCs w:val="20"/>
              </w:rPr>
              <w:t xml:space="preserve">Buy JPY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  <w:u w:val="single"/>
              </w:rPr>
              <w:t xml:space="preserve">Spot rate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000000"/>
                <w:sz w:val="20"/>
                <w:szCs w:val="20"/>
              </w:rPr>
              <w:t xml:space="preserve">Old price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  <w:u w:val="single"/>
              </w:rPr>
              <w:t xml:space="preserve">Stop loss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trike w:val="false"/>
                <w:color w:val="000000"/>
                <w:sz w:val="20"/>
                <w:szCs w:val="20"/>
                <w:u w:val="single"/>
              </w:rPr>
              <w:t xml:space="preserve">Take profit</w:t>
            </w:r>
          </w:p>
        </w:tc>
      </w:tr>
      <w:tr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2M notional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000000"/>
                <w:sz w:val="20"/>
                <w:szCs w:val="20"/>
              </w:rPr>
              <w:t xml:space="preserve">Carry trade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trike w:val="false"/>
                <w:color w:val="000000"/>
                <w:sz w:val="20"/>
                <w:szCs w:val="20"/>
              </w:rPr>
              <w:t xml:space="preserve">AUD/JPY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  <w:u w:val="single"/>
              </w:rPr>
              <w:t xml:space="preserve">1.0800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  <w:u w:val="single"/>
              </w:rPr>
              <w:t xml:space="preserve">1.1000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trike w:val="false"/>
                <w:color w:val="000000"/>
                <w:sz w:val="20"/>
                <w:szCs w:val="20"/>
                <w:u w:val="single"/>
              </w:rPr>
              <w:t xml:space="preserve">Entry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3 — Font Colors (on light and dark backgrounds)</w:t>
      </w:r>
    </w:p>
    <w:tbl>
      <w:tblPr>
        <w:tblW w:type="dxa" w:w="936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Green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Blue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Black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White on dark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Yellow on dark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20"/>
                <w:szCs w:val="20"/>
              </w:rPr>
              <w:t xml:space="preserve">Loss −$4,200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17346"/>
                <w:sz w:val="20"/>
                <w:szCs w:val="20"/>
              </w:rPr>
              <w:t xml:space="preserve">Profit +$8,750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E75B6"/>
                <w:sz w:val="20"/>
                <w:szCs w:val="20"/>
              </w:rPr>
              <w:t xml:space="preserve">USD/JPY 149.85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GBP/CHF 1.1340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Buy EUR/USD</w:t>
            </w:r>
          </w:p>
        </w:tc>
        <w:tc>
          <w:tcPr>
            <w:tcW w:type="dxa" w:w="1560"/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D700"/>
                <w:sz w:val="20"/>
                <w:szCs w:val="20"/>
              </w:rPr>
              <w:t xml:space="preserve">Sell GBP/JPY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C00000"/>
                <w:sz w:val="20"/>
                <w:szCs w:val="20"/>
              </w:rPr>
              <w:t xml:space="preserve">Stop hit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217346"/>
                <w:sz w:val="20"/>
                <w:szCs w:val="20"/>
              </w:rPr>
              <w:t xml:space="preserve">Target hit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E75B6"/>
                <w:sz w:val="20"/>
                <w:szCs w:val="20"/>
              </w:rPr>
              <w:t xml:space="preserve">Range: 50 pips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Flat book</w:t>
            </w:r>
          </w:p>
        </w:tc>
        <w:tc>
          <w:tcPr>
            <w:tcW w:type="dxa" w:w="1560"/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2M notional</w:t>
            </w:r>
          </w:p>
        </w:tc>
        <w:tc>
          <w:tcPr>
            <w:tcW w:type="dxa" w:w="1560"/>
            <w:shd w:fill="243F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D700"/>
                <w:sz w:val="20"/>
                <w:szCs w:val="20"/>
              </w:rPr>
              <w:t xml:space="preserve">Limit order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4 — Paragraph Alignment (Left / Center / Right / Justify)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Left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Center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Justify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long position opened at 1.0842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long position opened at 1.0842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long position opened at 1.0842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long position opened at 1.0842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Stop: 1.0800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Stop: 1.0800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Stop: 1.0800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Stop: 1.0800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5 — Vertical Alignment (Top / Middle / Bottom, fixed row height)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Top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Middle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Bottom</w:t>
            </w:r>
          </w:p>
        </w:tc>
      </w:tr>
      <w:tr>
        <w:trPr>
          <w:trHeight w:val="1800" w:hRule="exact"/>
        </w:trPr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USD/JPY 149.85</w:t>
            </w:r>
          </w:p>
        </w:tc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1.0842</w:t>
            </w:r>
          </w:p>
        </w:tc>
        <w:tc>
          <w:tcPr>
            <w:tcW w:type="dxa" w:w="3120"/>
            <w:tcMar>
              <w:top w:type="dxa" w:w="200"/>
              <w:left w:type="dxa" w:w="120"/>
              <w:bottom w:type="dxa" w:w="200"/>
              <w:right w:type="dxa" w:w="12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GBP/USD 1.2715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6 — Cell Background Colors</w:t>
      </w:r>
    </w:p>
    <w:tbl>
      <w:tblPr>
        <w:tblW w:type="dxa" w:w="936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No fill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Light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Dark (white text)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1.0842</w:t>
            </w:r>
          </w:p>
        </w:tc>
        <w:tc>
          <w:tcPr>
            <w:tcW w:type="dxa" w:w="23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GBP/USD 1.2715</w:t>
            </w:r>
          </w:p>
        </w:tc>
        <w:tc>
          <w:tcPr>
            <w:tcW w:type="dxa" w:w="2340"/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USD/JPY 149.85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AUD/JPY 97.45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+$8,750 P&amp;L</w:t>
            </w:r>
          </w:p>
        </w:tc>
        <w:tc>
          <w:tcPr>
            <w:tcW w:type="dxa" w:w="234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−$4,200 P&amp;L</w:t>
            </w:r>
          </w:p>
        </w:tc>
        <w:tc>
          <w:tcPr>
            <w:tcW w:type="dxa" w:w="2340"/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Flat book</w:t>
            </w:r>
          </w:p>
        </w:tc>
        <w:tc>
          <w:tcPr>
            <w:tcW w:type="dxa" w:w="2340"/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Risk limit hit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7 — Border Styles per table (None / Thin grey / Thick black / Blue)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No borders — both columns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1.0842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Long 2M @ spot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Thin grey borders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GBP/USD 1.2715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Short 1M @ spot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Thick black borders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USD/JPY 149.85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Buy 500M notional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Blue borders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AUD/JPY 97.45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Carry trade long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8 — Fixed Column Widths (50pt / 100pt / 150pt / 100pt / 68pt)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2000"/>
        <w:gridCol w:w="1360"/>
      </w:tblGrid>
      <w:tr>
        <w:trPr>
          <w:tblHeader/>
        </w:trPr>
        <w:tc>
          <w:tcPr>
            <w:tcW w:type="dxa" w:w="1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50 pt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100 pt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150 pt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100 pt</w:t>
            </w:r>
          </w:p>
        </w:tc>
        <w:tc>
          <w:tcPr>
            <w:tcW w:type="dxa" w:w="1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68 pt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EUR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Long 2M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1.0842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17346"/>
                <w:sz w:val="20"/>
                <w:szCs w:val="20"/>
              </w:rPr>
              <w:t xml:space="preserve">+120 pips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GBP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GBP/JPY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GBP/JPY Short 1M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185.30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20"/>
                <w:szCs w:val="20"/>
              </w:rPr>
              <w:t xml:space="preserve">−45 pips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9 — Merged Cells (colspan &amp; rowspan)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744"/>
            <w:gridSpan w:val="2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EUR/USD &amp; GBP/USD (colspan=2)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USD/JPY 149.85</w:t>
            </w:r>
          </w:p>
        </w:tc>
        <w:tc>
          <w:tcPr>
            <w:tcW w:type="dxa" w:w="3744"/>
            <w:gridSpan w:val="2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AUD/JPY &amp; NZD/USD (colspan=2)</w:t>
            </w:r>
          </w:p>
        </w:tc>
      </w:tr>
      <w:tr>
        <w:tc>
          <w:tcPr>
            <w:tcW w:type="dxa" w:w="1872"/>
            <w:vMerge w:val="restart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Long Book (rowspan=2)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1.0842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17346"/>
                <w:sz w:val="20"/>
                <w:szCs w:val="20"/>
              </w:rPr>
              <w:t xml:space="preserve">P&amp;L +$8,750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Stop: 1.0800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TP: 1.1000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GBP/USD 1.2715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20"/>
                <w:szCs w:val="20"/>
              </w:rPr>
              <w:t xml:space="preserve">P&amp;L −$4,200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Stop: 1.2600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TP: 1.3000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10 — Multiple Paragraphs in Cell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Multi-paragraph cell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Single-paragraph cell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EUR/USD — Long 2,000,000 @ 1.0842</w:t>
            </w:r>
          </w:p>
          <w:p>
            <w:r>
              <w:rPr>
                <w:color w:val="595959"/>
                <w:sz w:val="20"/>
                <w:szCs w:val="20"/>
              </w:rPr>
              <w:t xml:space="preserve">Stop loss: 1.0800  |  Take profit: 1.1000</w:t>
            </w:r>
          </w:p>
          <w:p>
            <w:r>
              <w:rPr>
                <w:b/>
                <w:bCs/>
                <w:color w:val="217346"/>
                <w:sz w:val="20"/>
                <w:szCs w:val="20"/>
              </w:rPr>
              <w:t xml:space="preserve">Unrealised P&amp;L: +$12,450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Trader: Pavel L.  |  Desk: FX Spot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GBP/USD Short 1M @ 1.2715 — P&amp;L −$4,200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11 — Edge Cases (empty cell, spaces only, intentional empty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Empty cell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Spaces only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  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 1.0842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  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GBP/USD 1.2715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12 — Per-cell borders approach (explicit borders on each cell, no visual glitches)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Header: all borders match bg color (invisible) except bottom = white separator. Data cells: explicit grey on all 4 sides. No table-level borders.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3"/>
              <w:left w:val="single" w:color="1F4E79" w:sz="3"/>
              <w:bottom w:val="single" w:color="FFFFFF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3120"/>
            <w:tcBorders>
              <w:top w:val="single" w:color="1F4E79" w:sz="3"/>
              <w:left w:val="single" w:color="1F4E79" w:sz="3"/>
              <w:bottom w:val="single" w:color="FFFFFF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1F4E79" w:sz="3"/>
              <w:left w:val="single" w:color="1F4E79" w:sz="3"/>
              <w:bottom w:val="single" w:color="FFFFFF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312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</w:t>
            </w:r>
          </w:p>
        </w:tc>
        <w:tc>
          <w:tcPr>
            <w:tcW w:type="dxa" w:w="312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1.0842</w:t>
            </w:r>
          </w:p>
        </w:tc>
        <w:tc>
          <w:tcPr>
            <w:tcW w:type="dxa" w:w="312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17346"/>
                <w:sz w:val="20"/>
                <w:szCs w:val="20"/>
              </w:rPr>
              <w:t xml:space="preserve">+$8,750</w:t>
            </w:r>
          </w:p>
        </w:tc>
      </w:tr>
      <w:tr>
        <w:tc>
          <w:tcPr>
            <w:tcW w:type="dxa" w:w="312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GBP/JPY</w:t>
            </w:r>
          </w:p>
        </w:tc>
        <w:tc>
          <w:tcPr>
            <w:tcW w:type="dxa" w:w="312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185.30</w:t>
            </w:r>
          </w:p>
        </w:tc>
        <w:tc>
          <w:tcPr>
            <w:tcW w:type="dxa" w:w="312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20"/>
                <w:szCs w:val="20"/>
              </w:rPr>
              <w:t xml:space="preserve">−$4,200</w:t>
            </w:r>
          </w:p>
        </w:tc>
      </w:tr>
      <w:tr>
        <w:tc>
          <w:tcPr>
            <w:tcW w:type="dxa" w:w="312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USD/JPY</w:t>
            </w:r>
          </w:p>
        </w:tc>
        <w:tc>
          <w:tcPr>
            <w:tcW w:type="dxa" w:w="312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149.85</w:t>
            </w:r>
          </w:p>
        </w:tc>
        <w:tc>
          <w:tcPr>
            <w:tcW w:type="dxa" w:w="312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17346"/>
                <w:sz w:val="20"/>
                <w:szCs w:val="20"/>
              </w:rPr>
              <w:t xml:space="preserve">+$1,100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Section 13 — Prose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Arial paragraphs — plain, styled, colored, sized: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EUR/USD opened at 1.0842 on strong US payrolls data. Spot rate drifted 50 pips before finding support.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Buy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sz w:val="20"/>
          <w:szCs w:val="20"/>
        </w:rPr>
        <w:t xml:space="preserve">EUR/USD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at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u w:val="single"/>
        </w:rPr>
        <w:t xml:space="preserve">1.0842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— stop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color w:val="C00000"/>
          <w:sz w:val="20"/>
          <w:szCs w:val="20"/>
        </w:rPr>
        <w:t xml:space="preserve">1.0800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target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17346"/>
          <w:sz w:val="20"/>
          <w:szCs w:val="20"/>
        </w:rPr>
        <w:t xml:space="preserve">1.1000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sz w:val="20"/>
          <w:szCs w:val="20"/>
        </w:rPr>
        <w:t xml:space="preserve">Carry trade: long AUD/JPY at 97.45, funding cost 0.8% annualised.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trike w:val="false"/>
          <w:sz w:val="20"/>
          <w:szCs w:val="20"/>
        </w:rPr>
        <w:t xml:space="preserve">Risk limit breach — GBP/JPY position exceeds 50M notional. Unwind required.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P&amp;L today: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17346"/>
          <w:sz w:val="20"/>
          <w:szCs w:val="20"/>
        </w:rPr>
        <w:t xml:space="preserve">+$12,450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 |  MTD: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C00000"/>
          <w:sz w:val="20"/>
          <w:szCs w:val="20"/>
        </w:rPr>
        <w:t xml:space="preserve">−$4,200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 |  YTD: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17346"/>
          <w:sz w:val="20"/>
          <w:szCs w:val="20"/>
        </w:rPr>
        <w:t xml:space="preserve">+$88,750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10pt spot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4"/>
          <w:szCs w:val="24"/>
        </w:rPr>
        <w:t xml:space="preserve">12pt bid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8"/>
          <w:szCs w:val="28"/>
        </w:rPr>
        <w:t xml:space="preserve">14pt ask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36"/>
          <w:szCs w:val="36"/>
        </w:rPr>
        <w:t xml:space="preserve">18pt mid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Times New Roman paragraphs — plain, styled, mixed: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sz w:val="20"/>
          <w:szCs w:val="20"/>
        </w:rPr>
        <w:t xml:space="preserve">EUR/USD opened at 1.0842 on strong US payrolls data. Spot rate drifted 50 pips before finding support.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sz w:val="20"/>
          <w:szCs w:val="20"/>
        </w:rPr>
        <w:t xml:space="preserve">Buy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sz w:val="20"/>
          <w:szCs w:val="20"/>
        </w:rPr>
        <w:t xml:space="preserve">EUR/USD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at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sz w:val="20"/>
          <w:szCs w:val="20"/>
          <w:u w:val="single"/>
        </w:rPr>
        <w:t xml:space="preserve">1.0842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— stop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C00000"/>
          <w:sz w:val="20"/>
          <w:szCs w:val="20"/>
        </w:rPr>
        <w:t xml:space="preserve">1.0800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trike w:val="false"/>
          <w:sz w:val="20"/>
          <w:szCs w:val="20"/>
        </w:rPr>
        <w:t xml:space="preserve">Carry trade: long AUD/JPY at 97.45, funding cost 0.8% annualised.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Paragraph spacing — no gap / single gap / double gap: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Line A — EUR/USD 1.0842 (no gap after)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Line B — GBP/USD 1.2715 (no gap after)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Line C — USD/JPY 149.85 (single gap after)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Line D — AUD/JPY 97.45 (single gap after)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Line E — EUR/CHF 0.9321 (double gap after)</w:t>
      </w: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Line F — GBP/JPY 185.30 (after double gap)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Chained: prose paragraph followed immediately by table (copy both):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FX Book Summary — end of day positions. All rates as of 17:00 London close.</w:t>
      </w:r>
    </w:p>
    <w:tbl>
      <w:tblPr>
        <w:tblW w:type="dxa" w:w="936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P&amp;L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EUR/USD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1.0842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17346"/>
                <w:sz w:val="20"/>
                <w:szCs w:val="20"/>
              </w:rPr>
              <w:t xml:space="preserve">+$8,750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Long 2M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GBP/JPY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185.30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0000"/>
                <w:sz w:val="20"/>
                <w:szCs w:val="20"/>
              </w:rPr>
              <w:t xml:space="preserve">−$4,200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Short 1M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USD/JPY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149.85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17346"/>
                <w:sz w:val="20"/>
                <w:szCs w:val="20"/>
              </w:rPr>
              <w:t xml:space="preserve">+$1,100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Long 500M</w:t>
            </w:r>
          </w:p>
        </w:tc>
      </w:tr>
    </w:tbl>
    <w:p>
      <w:pPr>
        <w:spacing w:before="360"/>
      </w:pPr>
      <w:r>
        <w:rPr>
          <w:b/>
          <w:bCs/>
          <w:sz w:val="18"/>
          <w:szCs w:val="18"/>
        </w:rPr>
        <w:t xml:space="preserve">Fixture metadata: </w:t>
      </w:r>
      <w:r>
        <w:rPr>
          <w:i/>
          <w:iCs/>
          <w:color w:val="595959"/>
          <w:sz w:val="18"/>
          <w:szCs w:val="18"/>
        </w:rPr>
        <w:t xml:space="preserve">word-windows.html | Source: Microsoft Word (Windows) | Sections 1–12 use table-level tblBorders. Section 13 uses per-cell tcBorders.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2026-06-26T12:25:38.979Z</dcterms:created>
  <dcterms:modified xsi:type="dcterms:W3CDTF">2026-06-26T12:25:38.979Z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