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D2" w:rsidRPr="002E12A6" w:rsidRDefault="00E82EFB" w:rsidP="00E82EFB">
      <w:pPr>
        <w:jc w:val="center"/>
        <w:rPr>
          <w:b/>
        </w:rPr>
      </w:pPr>
      <w:r w:rsidRPr="002E12A6">
        <w:rPr>
          <w:b/>
        </w:rPr>
        <w:t xml:space="preserve">ЗИД на ЗМИП – транспониране на Препоръките на </w:t>
      </w:r>
      <w:r w:rsidRPr="002E12A6">
        <w:rPr>
          <w:b/>
          <w:lang w:val="en-US"/>
        </w:rPr>
        <w:t>FATF</w:t>
      </w:r>
      <w:r w:rsidRPr="002E12A6">
        <w:rPr>
          <w:b/>
        </w:rPr>
        <w:t xml:space="preserve"> (І)</w:t>
      </w:r>
    </w:p>
    <w:p w:rsidR="00E82EFB" w:rsidRPr="002E12A6" w:rsidRDefault="00E82EFB" w:rsidP="00E82EFB"/>
    <w:p w:rsidR="00000000" w:rsidRPr="002E12A6" w:rsidRDefault="002E12A6" w:rsidP="00E82EFB">
      <w:pPr>
        <w:numPr>
          <w:ilvl w:val="0"/>
          <w:numId w:val="1"/>
        </w:numPr>
      </w:pPr>
      <w:r w:rsidRPr="002E12A6">
        <w:rPr>
          <w:bCs/>
        </w:rPr>
        <w:t xml:space="preserve">Мерки срещу изпирането на пари по чл. 3, ал. </w:t>
      </w:r>
      <w:r w:rsidRPr="002E12A6">
        <w:rPr>
          <w:bCs/>
        </w:rPr>
        <w:t>1 от ЗМИП:</w:t>
      </w:r>
      <w:r w:rsidRPr="002E12A6">
        <w:t xml:space="preserve"> </w:t>
      </w:r>
    </w:p>
    <w:p w:rsidR="00E82EFB" w:rsidRPr="002E12A6" w:rsidRDefault="00E82EFB" w:rsidP="00E82EFB">
      <w:r w:rsidRPr="002E12A6">
        <w:t xml:space="preserve">      1) идентифициране на лица; 2) събиране; 3)съхраняване; </w:t>
      </w:r>
    </w:p>
    <w:p w:rsidR="00E82EFB" w:rsidRPr="002E12A6" w:rsidRDefault="00E82EFB" w:rsidP="00E82EFB">
      <w:r w:rsidRPr="002E12A6">
        <w:t xml:space="preserve">      4) разкриване на информация относно операции и сделки.</w:t>
      </w:r>
    </w:p>
    <w:p w:rsidR="00000000" w:rsidRPr="002E12A6" w:rsidRDefault="002E12A6" w:rsidP="00E82EFB">
      <w:pPr>
        <w:numPr>
          <w:ilvl w:val="0"/>
          <w:numId w:val="2"/>
        </w:numPr>
      </w:pPr>
      <w:r w:rsidRPr="002E12A6">
        <w:rPr>
          <w:bCs/>
          <w:u w:val="single"/>
        </w:rPr>
        <w:t>Изменение на чл. 3, ал. 1 от ЗМИП (ЗИД на ЗМИП):</w:t>
      </w:r>
    </w:p>
    <w:p w:rsidR="00E82EFB" w:rsidRPr="002E12A6" w:rsidRDefault="00E82EFB" w:rsidP="00E82EFB">
      <w:r w:rsidRPr="002E12A6">
        <w:rPr>
          <w:bCs/>
        </w:rPr>
        <w:t xml:space="preserve">      </w:t>
      </w:r>
      <w:r w:rsidRPr="002E12A6">
        <w:rPr>
          <w:bCs/>
          <w:u w:val="single"/>
        </w:rPr>
        <w:t>Мерките за превенция на използването на финансовата система за целите на изпирането на пари са</w:t>
      </w:r>
      <w:r w:rsidRPr="002E12A6">
        <w:rPr>
          <w:bCs/>
        </w:rPr>
        <w:t>:</w:t>
      </w:r>
    </w:p>
    <w:p w:rsidR="00000000" w:rsidRPr="002E12A6" w:rsidRDefault="002E12A6" w:rsidP="00E82EFB">
      <w:pPr>
        <w:numPr>
          <w:ilvl w:val="0"/>
          <w:numId w:val="3"/>
        </w:numPr>
      </w:pPr>
      <w:r w:rsidRPr="002E12A6">
        <w:rPr>
          <w:bCs/>
        </w:rPr>
        <w:t>1. идентифициране на клиенти и проверка на тяхната идентификация;</w:t>
      </w:r>
    </w:p>
    <w:p w:rsidR="00000000" w:rsidRPr="002E12A6" w:rsidRDefault="002E12A6" w:rsidP="00E82EFB">
      <w:pPr>
        <w:numPr>
          <w:ilvl w:val="0"/>
          <w:numId w:val="3"/>
        </w:numPr>
      </w:pPr>
      <w:r w:rsidRPr="002E12A6">
        <w:rPr>
          <w:bCs/>
        </w:rPr>
        <w:t>2. идентифициране на действителния собственик на клиента – юри</w:t>
      </w:r>
      <w:r w:rsidRPr="002E12A6">
        <w:rPr>
          <w:bCs/>
        </w:rPr>
        <w:t>дическо лице, и предприемане на съответни действия за проверка на неговата идентификация по начин, който дава достатъчно основание на лицето по ал. 2 и 3 да приеме за установен действителния собственик;</w:t>
      </w:r>
    </w:p>
    <w:p w:rsidR="00000000" w:rsidRPr="002E12A6" w:rsidRDefault="002E12A6" w:rsidP="00E82EFB">
      <w:pPr>
        <w:numPr>
          <w:ilvl w:val="0"/>
          <w:numId w:val="3"/>
        </w:numPr>
      </w:pPr>
      <w:r w:rsidRPr="002E12A6">
        <w:rPr>
          <w:bCs/>
        </w:rPr>
        <w:t>3. събиране на информация от клиента относно целта и характера на отношението, което е установено или предстои да бъде установено с него;</w:t>
      </w:r>
    </w:p>
    <w:p w:rsidR="00000000" w:rsidRPr="002E12A6" w:rsidRDefault="002E12A6" w:rsidP="00E82EFB">
      <w:pPr>
        <w:numPr>
          <w:ilvl w:val="0"/>
          <w:numId w:val="3"/>
        </w:numPr>
      </w:pPr>
      <w:r w:rsidRPr="002E12A6">
        <w:rPr>
          <w:bCs/>
        </w:rPr>
        <w:t>4. текущо наблюдение върху установените т</w:t>
      </w:r>
      <w:r w:rsidRPr="002E12A6">
        <w:rPr>
          <w:bCs/>
        </w:rPr>
        <w:t>ърговски или професионални отношения и проверка на сделките и операциите, извършвани  в рамките на тези отношения, доколко те съответстват на наличната информация за клиента, за неговата търговска дейност и рисков профил, в т. ч. изясняване на произхода на</w:t>
      </w:r>
      <w:r w:rsidRPr="002E12A6">
        <w:rPr>
          <w:bCs/>
        </w:rPr>
        <w:t xml:space="preserve"> средствата в посочените от закона случаи; </w:t>
      </w:r>
    </w:p>
    <w:p w:rsidR="00E82EFB" w:rsidRPr="002E12A6" w:rsidRDefault="00E82EFB" w:rsidP="00E82EFB">
      <w:pPr>
        <w:rPr>
          <w:bCs/>
        </w:rPr>
      </w:pPr>
      <w:r w:rsidRPr="002E12A6">
        <w:rPr>
          <w:bCs/>
        </w:rPr>
        <w:t>5. разкриване на информация относно съмнителни операции, сделки и клиенти.</w:t>
      </w:r>
    </w:p>
    <w:p w:rsidR="002E12A6" w:rsidRPr="002E12A6" w:rsidRDefault="002E12A6" w:rsidP="00E82EFB">
      <w:pPr>
        <w:rPr>
          <w:bCs/>
        </w:rPr>
      </w:pPr>
    </w:p>
    <w:p w:rsidR="002E12A6" w:rsidRPr="002E12A6" w:rsidRDefault="002E12A6" w:rsidP="002E12A6">
      <w:pPr>
        <w:jc w:val="center"/>
        <w:rPr>
          <w:b/>
          <w:bCs/>
          <w:lang w:val="ru-RU"/>
        </w:rPr>
      </w:pPr>
      <w:r w:rsidRPr="002E12A6">
        <w:rPr>
          <w:b/>
          <w:bCs/>
          <w:lang w:val="ru-RU"/>
        </w:rPr>
        <w:t>Идентификация и проверка на идентификационните данни на клиентите (І)</w:t>
      </w:r>
    </w:p>
    <w:p w:rsidR="002E12A6" w:rsidRPr="002E12A6" w:rsidRDefault="002E12A6" w:rsidP="002E12A6">
      <w:pPr>
        <w:jc w:val="center"/>
        <w:rPr>
          <w:bCs/>
          <w:lang w:val="ru-RU"/>
        </w:rPr>
      </w:pPr>
    </w:p>
    <w:p w:rsidR="00000000" w:rsidRPr="002E12A6" w:rsidRDefault="002E12A6" w:rsidP="002E12A6">
      <w:pPr>
        <w:numPr>
          <w:ilvl w:val="0"/>
          <w:numId w:val="4"/>
        </w:numPr>
      </w:pPr>
      <w:r w:rsidRPr="002E12A6">
        <w:t>Задължителност на мерките за лицата по т. 24  в случаите на извършване на повече от една операция или сделка, които по</w:t>
      </w:r>
      <w:r w:rsidRPr="002E12A6">
        <w:t>отделно не надвишават 30 000 лв. или тяхната равностойност в чужда валута, когато от обстоятелствата на тяхното извършване може да се предположи, че операциите или сделките са свързани. (Новата ал.7 на чл.3)</w:t>
      </w:r>
    </w:p>
    <w:p w:rsidR="00000000" w:rsidRPr="002E12A6" w:rsidRDefault="002E12A6" w:rsidP="002E12A6">
      <w:pPr>
        <w:numPr>
          <w:ilvl w:val="0"/>
          <w:numId w:val="4"/>
        </w:numPr>
      </w:pPr>
      <w:r w:rsidRPr="002E12A6">
        <w:t>Задължение за идентифициране на клиентите при установяване на търговски или професионални отношения, в това число при откриване на сметка, както и при извършване на операция или сключване на сделка на стойност над 30 000 лв. или тяхната равно</w:t>
      </w:r>
      <w:r w:rsidRPr="002E12A6">
        <w:t>стойност в чужда валута;</w:t>
      </w:r>
    </w:p>
    <w:p w:rsidR="00000000" w:rsidRPr="002E12A6" w:rsidRDefault="002E12A6" w:rsidP="002E12A6">
      <w:pPr>
        <w:numPr>
          <w:ilvl w:val="0"/>
          <w:numId w:val="4"/>
        </w:numPr>
      </w:pPr>
      <w:r w:rsidRPr="002E12A6">
        <w:rPr>
          <w:bCs/>
        </w:rPr>
        <w:t>За</w:t>
      </w:r>
      <w:r w:rsidRPr="002E12A6">
        <w:t xml:space="preserve">  </w:t>
      </w:r>
      <w:r w:rsidRPr="002E12A6">
        <w:rPr>
          <w:bCs/>
        </w:rPr>
        <w:t>лицата по чл. 3, ал. 2, т. 1-4, т. 9-11,</w:t>
      </w:r>
      <w:r w:rsidRPr="002E12A6">
        <w:rPr>
          <w:bCs/>
        </w:rPr>
        <w:t xml:space="preserve"> т. 13 и т. 28  - и при извършване на операция или сключване на сделка в наличност на стойност над 10 000 лева или тяхната равностойност в чужда валута;</w:t>
      </w:r>
    </w:p>
    <w:p w:rsidR="00000000" w:rsidRPr="002E12A6" w:rsidRDefault="002E12A6" w:rsidP="002E12A6">
      <w:pPr>
        <w:numPr>
          <w:ilvl w:val="0"/>
          <w:numId w:val="4"/>
        </w:numPr>
      </w:pPr>
      <w:r w:rsidRPr="002E12A6">
        <w:rPr>
          <w:bCs/>
        </w:rPr>
        <w:t>Забрана за откриване или поддържане на</w:t>
      </w:r>
      <w:r w:rsidRPr="002E12A6">
        <w:rPr>
          <w:bCs/>
        </w:rPr>
        <w:t xml:space="preserve"> анонимна сметка или сметка на  фиктивно име. </w:t>
      </w:r>
      <w:r w:rsidRPr="002E12A6">
        <w:t>(ал.1 на чл.4)</w:t>
      </w:r>
    </w:p>
    <w:p w:rsidR="00000000" w:rsidRPr="002E12A6" w:rsidRDefault="002E12A6" w:rsidP="002E12A6">
      <w:pPr>
        <w:numPr>
          <w:ilvl w:val="0"/>
          <w:numId w:val="4"/>
        </w:numPr>
      </w:pPr>
      <w:r w:rsidRPr="002E12A6">
        <w:lastRenderedPageBreak/>
        <w:t xml:space="preserve">Задължение </w:t>
      </w:r>
      <w:r w:rsidRPr="002E12A6">
        <w:t>на лицата, организиращи и провеждащи хазартни игри за идентифициране на  клиентите им при вписването в регистъра по чл. 72, ал. 2 от Закона за хазарта</w:t>
      </w:r>
      <w:r w:rsidRPr="002E12A6">
        <w:rPr>
          <w:bCs/>
        </w:rPr>
        <w:t>, както и при извършване на операция или склю</w:t>
      </w:r>
      <w:r w:rsidRPr="002E12A6">
        <w:rPr>
          <w:bCs/>
        </w:rPr>
        <w:t xml:space="preserve">чване на сделка на стойност над 6 000 лв. или тяхната равностойност в чужда валута. </w:t>
      </w:r>
      <w:r w:rsidRPr="002E12A6">
        <w:t>(ал.3 на чл.4).</w:t>
      </w:r>
    </w:p>
    <w:p w:rsidR="002E12A6" w:rsidRPr="002E12A6" w:rsidRDefault="002E12A6" w:rsidP="002E12A6"/>
    <w:p w:rsidR="002E12A6" w:rsidRPr="002E12A6" w:rsidRDefault="002E12A6" w:rsidP="002E12A6"/>
    <w:p w:rsidR="002E12A6" w:rsidRPr="002E12A6" w:rsidRDefault="002E12A6" w:rsidP="002E12A6">
      <w:pPr>
        <w:jc w:val="center"/>
        <w:rPr>
          <w:b/>
          <w:bCs/>
          <w:lang w:val="ru-RU"/>
        </w:rPr>
      </w:pPr>
      <w:bookmarkStart w:id="0" w:name="_GoBack"/>
      <w:r w:rsidRPr="002E12A6">
        <w:rPr>
          <w:b/>
          <w:bCs/>
          <w:lang w:val="ru-RU"/>
        </w:rPr>
        <w:t>Идентификация и проверка на идентификационните данни на клиентите (ІІ)</w:t>
      </w:r>
    </w:p>
    <w:bookmarkEnd w:id="0"/>
    <w:p w:rsidR="002E12A6" w:rsidRPr="002E12A6" w:rsidRDefault="002E12A6" w:rsidP="002E12A6">
      <w:pPr>
        <w:jc w:val="center"/>
        <w:rPr>
          <w:bCs/>
          <w:lang w:val="ru-RU"/>
        </w:rPr>
      </w:pPr>
    </w:p>
    <w:p w:rsidR="00000000" w:rsidRPr="002E12A6" w:rsidRDefault="002E12A6" w:rsidP="002E12A6">
      <w:pPr>
        <w:numPr>
          <w:ilvl w:val="0"/>
          <w:numId w:val="5"/>
        </w:numPr>
      </w:pPr>
      <w:r w:rsidRPr="002E12A6">
        <w:rPr>
          <w:bCs/>
        </w:rPr>
        <w:t>Задължение за идентифициране и проверка на  идентификацията на клиентите, когато възникне съмнение в идентификационните данни на клиента или</w:t>
      </w:r>
      <w:r w:rsidRPr="002E12A6">
        <w:rPr>
          <w:bCs/>
        </w:rPr>
        <w:t xml:space="preserve"> при уведомяване за  промяна в тях. (Новата ал.14 на чл.4)</w:t>
      </w:r>
    </w:p>
    <w:p w:rsidR="00000000" w:rsidRPr="002E12A6" w:rsidRDefault="002E12A6" w:rsidP="002E12A6">
      <w:pPr>
        <w:numPr>
          <w:ilvl w:val="0"/>
          <w:numId w:val="5"/>
        </w:numPr>
      </w:pPr>
      <w:r w:rsidRPr="002E12A6">
        <w:rPr>
          <w:bCs/>
        </w:rPr>
        <w:t>Проверка на идентификационните данни на клиентите и действителните собственици преди или в процеса на установяването на търговски ил</w:t>
      </w:r>
      <w:r w:rsidRPr="002E12A6">
        <w:rPr>
          <w:bCs/>
        </w:rPr>
        <w:t>и професионални  отношения, откриването на  сметка  или извършването на операция или сделка по чл. 4, ал. 1, 2 и 3. В правилника за прилагане на закона може да бъде предвидено изключение от това правило. (Новата ал.15 на чл.4)</w:t>
      </w:r>
    </w:p>
    <w:p w:rsidR="00000000" w:rsidRPr="002E12A6" w:rsidRDefault="002E12A6" w:rsidP="002E12A6">
      <w:pPr>
        <w:numPr>
          <w:ilvl w:val="0"/>
          <w:numId w:val="5"/>
        </w:numPr>
      </w:pPr>
      <w:r w:rsidRPr="002E12A6">
        <w:rPr>
          <w:bCs/>
        </w:rPr>
        <w:t>Анализ на риска, съгласно новата ал. 16 на чл. 4 от ЗИД на ЗМИП:</w:t>
      </w:r>
    </w:p>
    <w:p w:rsidR="002E12A6" w:rsidRPr="002E12A6" w:rsidRDefault="002E12A6" w:rsidP="002E12A6">
      <w:r w:rsidRPr="002E12A6">
        <w:rPr>
          <w:bCs/>
        </w:rPr>
        <w:t xml:space="preserve">     Прилагане в зависимост от оценката на потенциалния риск, на опростени или разширени мерки по чл. 3 ал. 1. Определяне на условията и по реда за това в правилника за прилагане на закона.</w:t>
      </w:r>
      <w:r w:rsidRPr="002E12A6">
        <w:t xml:space="preserve"> </w:t>
      </w:r>
    </w:p>
    <w:p w:rsidR="002E12A6" w:rsidRPr="002E12A6" w:rsidRDefault="002E12A6" w:rsidP="002E12A6"/>
    <w:sectPr w:rsidR="002E12A6" w:rsidRPr="002E1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B4089"/>
    <w:multiLevelType w:val="hybridMultilevel"/>
    <w:tmpl w:val="385ED170"/>
    <w:lvl w:ilvl="0" w:tplc="409051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00DB2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88E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64A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8F7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405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C95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9024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545E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AD3396"/>
    <w:multiLevelType w:val="hybridMultilevel"/>
    <w:tmpl w:val="60CE2B34"/>
    <w:lvl w:ilvl="0" w:tplc="ADF298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451A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217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A7B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013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2F9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09E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25D5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A65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E263D1"/>
    <w:multiLevelType w:val="hybridMultilevel"/>
    <w:tmpl w:val="34DEB59C"/>
    <w:lvl w:ilvl="0" w:tplc="B28AC4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242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5A64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C93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E7F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6BE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E17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0AD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240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DA5C54"/>
    <w:multiLevelType w:val="hybridMultilevel"/>
    <w:tmpl w:val="B62668AE"/>
    <w:lvl w:ilvl="0" w:tplc="4A5C0D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85E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8271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E025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A5B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02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2D5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2EB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CDF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E42F4A"/>
    <w:multiLevelType w:val="hybridMultilevel"/>
    <w:tmpl w:val="C1684B1A"/>
    <w:lvl w:ilvl="0" w:tplc="7B5AA7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ACD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C53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428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CD4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4A7A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AAF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C677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A12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BF"/>
    <w:rsid w:val="002E12A6"/>
    <w:rsid w:val="00575AD2"/>
    <w:rsid w:val="005C6CBF"/>
    <w:rsid w:val="00E8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DCD7AB-AB96-4AA1-8494-B4EFF44A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41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9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001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4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39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1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6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1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6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1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oil</dc:creator>
  <cp:keywords/>
  <dc:description/>
  <cp:lastModifiedBy>admiral oil</cp:lastModifiedBy>
  <cp:revision>4</cp:revision>
  <dcterms:created xsi:type="dcterms:W3CDTF">2014-06-19T14:29:00Z</dcterms:created>
  <dcterms:modified xsi:type="dcterms:W3CDTF">2014-06-19T14:33:00Z</dcterms:modified>
</cp:coreProperties>
</file>