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876" w:rsidRDefault="00276876" w:rsidP="00720A87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35"/>
          <w:szCs w:val="35"/>
        </w:rPr>
      </w:pPr>
      <w:r>
        <w:rPr>
          <w:rFonts w:ascii="TimesNewRoman,Bold" w:hAnsi="TimesNewRoman,Bold" w:cs="TimesNewRoman,Bold"/>
          <w:b/>
          <w:bCs/>
          <w:sz w:val="35"/>
          <w:szCs w:val="35"/>
        </w:rPr>
        <w:t>КРИТЕРИИ</w:t>
      </w:r>
    </w:p>
    <w:p w:rsidR="00276876" w:rsidRDefault="00276876" w:rsidP="00720A87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ЗА РАЗКРИВАНЕ НА СЪМНИТЕЛНИ СДЕЛКИ, ОПЕРАЦИИ</w:t>
      </w:r>
    </w:p>
    <w:p w:rsidR="00276876" w:rsidRDefault="00276876" w:rsidP="00720A87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И КЛИЕНТИ ОТ</w:t>
      </w:r>
    </w:p>
    <w:p w:rsidR="00276876" w:rsidRDefault="00276876" w:rsidP="00720A87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39"/>
          <w:szCs w:val="39"/>
        </w:rPr>
      </w:pPr>
      <w:r>
        <w:rPr>
          <w:rFonts w:ascii="TimesNewRoman,Bold" w:hAnsi="TimesNewRoman,Bold" w:cs="TimesNewRoman,Bold"/>
          <w:b/>
          <w:bCs/>
          <w:sz w:val="39"/>
          <w:szCs w:val="39"/>
        </w:rPr>
        <w:t>ТЪРГОВЦИ НА ОРЪЖИЕ, ПЕТРОЛ</w:t>
      </w:r>
    </w:p>
    <w:p w:rsidR="00276876" w:rsidRDefault="00276876" w:rsidP="00720A87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39"/>
          <w:szCs w:val="39"/>
        </w:rPr>
      </w:pPr>
      <w:r>
        <w:rPr>
          <w:rFonts w:ascii="TimesNewRoman,Bold" w:hAnsi="TimesNewRoman,Bold" w:cs="TimesNewRoman,Bold"/>
          <w:b/>
          <w:bCs/>
          <w:sz w:val="39"/>
          <w:szCs w:val="39"/>
        </w:rPr>
        <w:t>И ПЕТРОЛНИ ПРОДУКТИ</w:t>
      </w:r>
    </w:p>
    <w:p w:rsidR="00720A87" w:rsidRDefault="00720A87" w:rsidP="00720A87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39"/>
          <w:szCs w:val="39"/>
        </w:rPr>
      </w:pPr>
    </w:p>
    <w:p w:rsidR="00276876" w:rsidRDefault="00276876" w:rsidP="00720A87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(ЗАДЪЛЖЕНО ЛИЦЕ ПО ЧЛ. 3, АЛ. 2, Т. 25 ОТ ЗМИП)</w:t>
      </w:r>
    </w:p>
    <w:p w:rsidR="00D353FB" w:rsidRDefault="00D353FB" w:rsidP="00720A87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7"/>
          <w:szCs w:val="27"/>
        </w:rPr>
      </w:pP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t>СЪМНИТЕЛНИ ОПЕРАЦИИ, СДЕЛКИ И КЛИЕНТИ</w:t>
      </w:r>
    </w:p>
    <w:p w:rsidR="00276876" w:rsidRDefault="00276876" w:rsidP="009A2F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 xml:space="preserve">1. Сделки, които нямат търговска и/или икономическа </w:t>
      </w:r>
      <w:r w:rsidR="009A2FCD">
        <w:rPr>
          <w:rFonts w:ascii="TimesNewRoman" w:hAnsi="TimesNewRoman" w:cs="TimesNewRoman"/>
          <w:sz w:val="27"/>
          <w:szCs w:val="27"/>
        </w:rPr>
        <w:t>логика, например мно</w:t>
      </w:r>
      <w:r>
        <w:rPr>
          <w:rFonts w:ascii="TimesNewRoman" w:hAnsi="TimesNewRoman" w:cs="TimesNewRoman"/>
          <w:sz w:val="27"/>
          <w:szCs w:val="27"/>
        </w:rPr>
        <w:t>гобройни сделки с предмет, различаващ с</w:t>
      </w:r>
      <w:r w:rsidR="00CA139E">
        <w:rPr>
          <w:rFonts w:ascii="TimesNewRoman" w:hAnsi="TimesNewRoman" w:cs="TimesNewRoman"/>
          <w:sz w:val="27"/>
          <w:szCs w:val="27"/>
        </w:rPr>
        <w:t>е от основната дейност на клиен</w:t>
      </w:r>
      <w:r>
        <w:rPr>
          <w:rFonts w:ascii="TimesNewRoman" w:hAnsi="TimesNewRoman" w:cs="TimesNewRoman"/>
          <w:sz w:val="27"/>
          <w:szCs w:val="27"/>
        </w:rPr>
        <w:t>та или в необосновано голям обем спрямо дейността на клиента;</w:t>
      </w:r>
    </w:p>
    <w:p w:rsidR="00276876" w:rsidRDefault="00276876" w:rsidP="009A2F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 xml:space="preserve">2. </w:t>
      </w:r>
      <w:r w:rsidRPr="00CA139E">
        <w:rPr>
          <w:rFonts w:ascii="TimesNewRoman" w:hAnsi="TimesNewRoman" w:cs="TimesNewRoman"/>
          <w:sz w:val="27"/>
          <w:szCs w:val="27"/>
          <w:highlight w:val="cyan"/>
        </w:rPr>
        <w:t>Сделки, които нямат финансова логика, например водят до прекомерна</w:t>
      </w:r>
      <w:r w:rsidR="009A2FCD" w:rsidRPr="00CA139E">
        <w:rPr>
          <w:rFonts w:ascii="TimesNewRoman" w:hAnsi="TimesNewRoman" w:cs="TimesNewRoman"/>
          <w:sz w:val="27"/>
          <w:szCs w:val="27"/>
          <w:highlight w:val="cyan"/>
        </w:rPr>
        <w:t xml:space="preserve"> </w:t>
      </w:r>
      <w:r w:rsidRPr="00CA139E">
        <w:rPr>
          <w:rFonts w:ascii="TimesNewRoman" w:hAnsi="TimesNewRoman" w:cs="TimesNewRoman"/>
          <w:sz w:val="27"/>
          <w:szCs w:val="27"/>
          <w:highlight w:val="cyan"/>
        </w:rPr>
        <w:t>финансова тежест за клиента или до загу</w:t>
      </w:r>
      <w:r w:rsidR="009A2FCD" w:rsidRPr="00CA139E">
        <w:rPr>
          <w:rFonts w:ascii="TimesNewRoman" w:hAnsi="TimesNewRoman" w:cs="TimesNewRoman"/>
          <w:sz w:val="27"/>
          <w:szCs w:val="27"/>
          <w:highlight w:val="cyan"/>
        </w:rPr>
        <w:t>ба на финансов ресурс или потен</w:t>
      </w:r>
      <w:r w:rsidRPr="00CA139E">
        <w:rPr>
          <w:rFonts w:ascii="TimesNewRoman" w:hAnsi="TimesNewRoman" w:cs="TimesNewRoman"/>
          <w:sz w:val="27"/>
          <w:szCs w:val="27"/>
          <w:highlight w:val="cyan"/>
        </w:rPr>
        <w:t>циал, особено при наличие на опции,</w:t>
      </w:r>
      <w:r w:rsidR="009A2FCD" w:rsidRPr="00CA139E">
        <w:rPr>
          <w:rFonts w:ascii="TimesNewRoman" w:hAnsi="TimesNewRoman" w:cs="TimesNewRoman"/>
          <w:sz w:val="27"/>
          <w:szCs w:val="27"/>
          <w:highlight w:val="cyan"/>
        </w:rPr>
        <w:t xml:space="preserve"> позволяващи минимизиране на фи</w:t>
      </w:r>
      <w:r w:rsidRPr="00CA139E">
        <w:rPr>
          <w:rFonts w:ascii="TimesNewRoman" w:hAnsi="TimesNewRoman" w:cs="TimesNewRoman"/>
          <w:sz w:val="27"/>
          <w:szCs w:val="27"/>
          <w:highlight w:val="cyan"/>
        </w:rPr>
        <w:t xml:space="preserve">нансовата тежест или реализирането на </w:t>
      </w:r>
      <w:r w:rsidR="009A2FCD" w:rsidRPr="00CA139E">
        <w:rPr>
          <w:rFonts w:ascii="TimesNewRoman" w:hAnsi="TimesNewRoman" w:cs="TimesNewRoman"/>
          <w:sz w:val="27"/>
          <w:szCs w:val="27"/>
          <w:highlight w:val="cyan"/>
        </w:rPr>
        <w:t>печалби от управлението на нали</w:t>
      </w:r>
      <w:r w:rsidRPr="00CA139E">
        <w:rPr>
          <w:rFonts w:ascii="TimesNewRoman" w:hAnsi="TimesNewRoman" w:cs="TimesNewRoman"/>
          <w:sz w:val="27"/>
          <w:szCs w:val="27"/>
          <w:highlight w:val="cyan"/>
        </w:rPr>
        <w:t>чния финансов ресурс;</w:t>
      </w:r>
    </w:p>
    <w:p w:rsidR="00276876" w:rsidRDefault="00276876" w:rsidP="009A2F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3. Предложената сделка е при цена, която е необичайно</w:t>
      </w:r>
      <w:r w:rsidR="009A2FCD">
        <w:rPr>
          <w:rFonts w:ascii="TimesNewRoman" w:hAnsi="TimesNewRoman" w:cs="TimesNewRoman"/>
          <w:sz w:val="27"/>
          <w:szCs w:val="27"/>
        </w:rPr>
        <w:t xml:space="preserve"> висока или необича</w:t>
      </w:r>
      <w:r>
        <w:rPr>
          <w:rFonts w:ascii="TimesNewRoman" w:hAnsi="TimesNewRoman" w:cs="TimesNewRoman"/>
          <w:sz w:val="27"/>
          <w:szCs w:val="27"/>
        </w:rPr>
        <w:t>йно ниска в сравнение с обичайните пазарни цени, които се плащат при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сделки в подобни условия;</w:t>
      </w:r>
    </w:p>
    <w:p w:rsidR="00276876" w:rsidRDefault="00276876" w:rsidP="009A2F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4. Използване на търговеца като посредник за продажба на стоки, с недоказан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или неустановен произход;</w:t>
      </w:r>
    </w:p>
    <w:p w:rsidR="00276876" w:rsidRDefault="00276876" w:rsidP="009A2F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5. Операции и сделки, при които се изисква задължените лица да извършват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действия, противоречащи на техните предмет на дейност и принципи;</w:t>
      </w:r>
    </w:p>
    <w:p w:rsidR="00276876" w:rsidRDefault="00276876" w:rsidP="009A2F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6. Извършване на разплащания в брой при с</w:t>
      </w:r>
      <w:r w:rsidR="009A2FCD">
        <w:rPr>
          <w:rFonts w:ascii="TimesNewRoman" w:hAnsi="TimesNewRoman" w:cs="TimesNewRoman"/>
          <w:sz w:val="27"/>
          <w:szCs w:val="27"/>
        </w:rPr>
        <w:t>делки, за които в закона и прак</w:t>
      </w:r>
      <w:r>
        <w:rPr>
          <w:rFonts w:ascii="TimesNewRoman" w:hAnsi="TimesNewRoman" w:cs="TimesNewRoman"/>
          <w:sz w:val="27"/>
          <w:szCs w:val="27"/>
        </w:rPr>
        <w:t>тиката е прието да се плаща по банков път;</w:t>
      </w:r>
    </w:p>
    <w:p w:rsidR="00276876" w:rsidRDefault="00276876" w:rsidP="009A2F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7. Непредставяне в срок на първични счетов</w:t>
      </w:r>
      <w:r w:rsidR="009A2FCD">
        <w:rPr>
          <w:rFonts w:ascii="TimesNewRoman" w:hAnsi="TimesNewRoman" w:cs="TimesNewRoman"/>
          <w:sz w:val="27"/>
          <w:szCs w:val="27"/>
        </w:rPr>
        <w:t>одни документи във връзка с пла</w:t>
      </w:r>
      <w:r>
        <w:rPr>
          <w:rFonts w:ascii="TimesNewRoman" w:hAnsi="TimesNewRoman" w:cs="TimesNewRoman"/>
          <w:sz w:val="27"/>
          <w:szCs w:val="27"/>
        </w:rPr>
        <w:t>щания по сделки или операции;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8. Сделка, включваща получаване на суми в брой от трета страна – компания,която няма връзка със сделката;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9. Сделки, свързани с току-що създадени юр</w:t>
      </w:r>
      <w:r w:rsidR="009A2FCD">
        <w:rPr>
          <w:rFonts w:ascii="TimesNewRoman" w:hAnsi="TimesNewRoman" w:cs="TimesNewRoman"/>
          <w:sz w:val="27"/>
          <w:szCs w:val="27"/>
        </w:rPr>
        <w:t>идически лица, и сумите по сдел</w:t>
      </w:r>
      <w:r>
        <w:rPr>
          <w:rFonts w:ascii="TimesNewRoman" w:hAnsi="TimesNewRoman" w:cs="TimesNewRoman"/>
          <w:sz w:val="27"/>
          <w:szCs w:val="27"/>
        </w:rPr>
        <w:t>ките надхвърлят разполагаемия от тях ресурс;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10. Сделки, свързани с юридически лица без активна икономическа дейност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или без връзка между практикувания предмет на дейност и покупката на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стоки;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 xml:space="preserve">11. Сделки, които нямат достатъчно документално подкрепена законова </w:t>
      </w:r>
      <w:r w:rsidR="009A2FCD">
        <w:rPr>
          <w:rFonts w:ascii="TimesNewRoman" w:hAnsi="TimesNewRoman" w:cs="TimesNewRoman"/>
          <w:sz w:val="27"/>
          <w:szCs w:val="27"/>
        </w:rPr>
        <w:t>обос</w:t>
      </w:r>
      <w:r>
        <w:rPr>
          <w:rFonts w:ascii="TimesNewRoman" w:hAnsi="TimesNewRoman" w:cs="TimesNewRoman"/>
          <w:sz w:val="27"/>
          <w:szCs w:val="27"/>
        </w:rPr>
        <w:t>нованост.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t>СЪМНИТЕЛНИ КЛИЕНТИ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 w:rsidRPr="009A2FCD">
        <w:rPr>
          <w:rFonts w:ascii="TimesNewRoman" w:hAnsi="TimesNewRoman" w:cs="TimesNewRoman"/>
          <w:sz w:val="27"/>
          <w:szCs w:val="27"/>
          <w:highlight w:val="cyan"/>
        </w:rPr>
        <w:t>1. Клиент, извършващ няколко операции в рамките на няколко дни за суми,</w:t>
      </w:r>
      <w:r w:rsidR="009A2FCD" w:rsidRPr="009A2FCD">
        <w:rPr>
          <w:rFonts w:ascii="TimesNewRoman" w:hAnsi="TimesNewRoman" w:cs="TimesNewRoman"/>
          <w:sz w:val="27"/>
          <w:szCs w:val="27"/>
          <w:highlight w:val="cyan"/>
        </w:rPr>
        <w:t xml:space="preserve"> </w:t>
      </w:r>
      <w:r w:rsidRPr="009A2FCD">
        <w:rPr>
          <w:rFonts w:ascii="TimesNewRoman" w:hAnsi="TimesNewRoman" w:cs="TimesNewRoman"/>
          <w:sz w:val="27"/>
          <w:szCs w:val="27"/>
          <w:highlight w:val="cyan"/>
        </w:rPr>
        <w:t>близки по стойност до прага за извършване на идентификация;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lastRenderedPageBreak/>
        <w:t>2. Когато се извършва повече от една операция в един и същи ден за суми,близки до прага за извършване на идентификацията, от няколко различни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лица, за които служителят знае, че са свързани помежду си;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3. Клиентът представя документи за идентифициране, чиято автентичност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поражда съмнение;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4. Клиентът не представя документи за представителна власт;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5. Клиент представя документи с противоречиво съдържание или подправени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документи;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6. Клиентът е направил опит да използува фалшиви банкноти при плащане по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договор;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 xml:space="preserve">7. </w:t>
      </w:r>
      <w:r w:rsidRPr="00CA139E">
        <w:rPr>
          <w:rFonts w:ascii="TimesNewRoman" w:hAnsi="TimesNewRoman" w:cs="TimesNewRoman"/>
          <w:sz w:val="27"/>
          <w:szCs w:val="27"/>
          <w:highlight w:val="cyan"/>
        </w:rPr>
        <w:t>Клиенти, чиито пари, собственост, имущ</w:t>
      </w:r>
      <w:r w:rsidR="009A2FCD" w:rsidRPr="00CA139E">
        <w:rPr>
          <w:rFonts w:ascii="TimesNewRoman" w:hAnsi="TimesNewRoman" w:cs="TimesNewRoman"/>
          <w:sz w:val="27"/>
          <w:szCs w:val="27"/>
          <w:highlight w:val="cyan"/>
        </w:rPr>
        <w:t>ества имат за първоначален изто</w:t>
      </w:r>
      <w:r w:rsidRPr="00CA139E">
        <w:rPr>
          <w:rFonts w:ascii="TimesNewRoman" w:hAnsi="TimesNewRoman" w:cs="TimesNewRoman"/>
          <w:sz w:val="27"/>
          <w:szCs w:val="27"/>
          <w:highlight w:val="cyan"/>
        </w:rPr>
        <w:t>чник ошфорни зони, страни, неприлагащи препоръките на FATF, и страни</w:t>
      </w:r>
      <w:r w:rsidR="009A2FCD" w:rsidRPr="00CA139E">
        <w:rPr>
          <w:rFonts w:ascii="TimesNewRoman" w:hAnsi="TimesNewRoman" w:cs="TimesNewRoman"/>
          <w:sz w:val="27"/>
          <w:szCs w:val="27"/>
          <w:highlight w:val="cyan"/>
        </w:rPr>
        <w:t xml:space="preserve"> </w:t>
      </w:r>
      <w:r w:rsidRPr="00CA139E">
        <w:rPr>
          <w:rFonts w:ascii="TimesNewRoman" w:hAnsi="TimesNewRoman" w:cs="TimesNewRoman"/>
          <w:sz w:val="27"/>
          <w:szCs w:val="27"/>
          <w:highlight w:val="cyan"/>
        </w:rPr>
        <w:t>убежища на банкова тайна</w:t>
      </w:r>
      <w:r>
        <w:rPr>
          <w:rFonts w:ascii="TimesNewRoman" w:hAnsi="TimesNewRoman" w:cs="TimesNewRoman"/>
          <w:sz w:val="27"/>
          <w:szCs w:val="27"/>
        </w:rPr>
        <w:t>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8. Клиент, за когото е обществено достояние</w:t>
      </w:r>
      <w:r w:rsidR="009A2FCD">
        <w:rPr>
          <w:rFonts w:ascii="TimesNewRoman" w:hAnsi="TimesNewRoman" w:cs="TimesNewRoman"/>
          <w:sz w:val="27"/>
          <w:szCs w:val="27"/>
        </w:rPr>
        <w:t>, че е криминално проявен, а съ</w:t>
      </w:r>
      <w:r>
        <w:rPr>
          <w:rFonts w:ascii="TimesNewRoman" w:hAnsi="TimesNewRoman" w:cs="TimesNewRoman"/>
          <w:sz w:val="27"/>
          <w:szCs w:val="27"/>
        </w:rPr>
        <w:t>що така и свързаните с него лица;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9. Клиент, който показва видими признаци на притеснение или демонстрира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необичайно клиентско поведение, което поражда у служителя основателни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съмнения относно съществени елементи на операцията;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10. Клиент, който заплаща авансово в брой за бъдеща доставка на стоки сума,надвишаваща или равна на 30 000 лева или тяхната равностойност в чужда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валута, а впоследствие иска разваляне на сделката и връщане на платената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сума по банков път;</w:t>
      </w:r>
    </w:p>
    <w:p w:rsidR="00276876" w:rsidRPr="009A2FCD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  <w:highlight w:val="cyan"/>
        </w:rPr>
      </w:pPr>
      <w:r w:rsidRPr="009A2FCD">
        <w:rPr>
          <w:rFonts w:ascii="TimesNewRoman" w:hAnsi="TimesNewRoman" w:cs="TimesNewRoman"/>
          <w:sz w:val="27"/>
          <w:szCs w:val="27"/>
          <w:highlight w:val="cyan"/>
        </w:rPr>
        <w:t>11. Клиент, който откаже да удостовери с декларация произхода на паричните</w:t>
      </w:r>
      <w:r w:rsidR="009A2FCD">
        <w:rPr>
          <w:rFonts w:ascii="TimesNewRoman" w:hAnsi="TimesNewRoman" w:cs="TimesNewRoman"/>
          <w:sz w:val="27"/>
          <w:szCs w:val="27"/>
          <w:highlight w:val="cyan"/>
        </w:rPr>
        <w:t xml:space="preserve"> </w:t>
      </w:r>
      <w:r w:rsidRPr="009A2FCD">
        <w:rPr>
          <w:rFonts w:ascii="TimesNewRoman" w:hAnsi="TimesNewRoman" w:cs="TimesNewRoman"/>
          <w:sz w:val="27"/>
          <w:szCs w:val="27"/>
          <w:highlight w:val="cyan"/>
        </w:rPr>
        <w:t>средства, които плаща при осъществяване на операцията или сделката;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12. Клиентът предлага да бъдат съставени неверни документи при извършване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на операцията и/или сключване на сделката;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13. Клиентът предлага операциите и/или с</w:t>
      </w:r>
      <w:r w:rsidR="009A2FCD">
        <w:rPr>
          <w:rFonts w:ascii="TimesNewRoman" w:hAnsi="TimesNewRoman" w:cs="TimesNewRoman"/>
          <w:sz w:val="27"/>
          <w:szCs w:val="27"/>
        </w:rPr>
        <w:t>делките да бъдат официално офор</w:t>
      </w:r>
      <w:r>
        <w:rPr>
          <w:rFonts w:ascii="TimesNewRoman" w:hAnsi="TimesNewRoman" w:cs="TimesNewRoman"/>
          <w:sz w:val="27"/>
          <w:szCs w:val="27"/>
        </w:rPr>
        <w:t>мени по начин, различен от действителните отношения между страните;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14. За клиента се знае, че вече е бил докладван във връзка с изпиране на пари;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15</w:t>
      </w:r>
      <w:r w:rsidRPr="00CA139E">
        <w:rPr>
          <w:rFonts w:ascii="TimesNewRoman" w:hAnsi="TimesNewRoman" w:cs="TimesNewRoman"/>
          <w:sz w:val="27"/>
          <w:szCs w:val="27"/>
          <w:highlight w:val="cyan"/>
        </w:rPr>
        <w:t>. Подписът в документа за самоличност не съответства на положения от</w:t>
      </w:r>
      <w:r w:rsidR="009A2FCD" w:rsidRPr="00CA139E">
        <w:rPr>
          <w:rFonts w:ascii="TimesNewRoman" w:hAnsi="TimesNewRoman" w:cs="TimesNewRoman"/>
          <w:sz w:val="27"/>
          <w:szCs w:val="27"/>
          <w:highlight w:val="cyan"/>
        </w:rPr>
        <w:t xml:space="preserve"> </w:t>
      </w:r>
      <w:r w:rsidRPr="00CA139E">
        <w:rPr>
          <w:rFonts w:ascii="TimesNewRoman" w:hAnsi="TimesNewRoman" w:cs="TimesNewRoman"/>
          <w:sz w:val="27"/>
          <w:szCs w:val="27"/>
          <w:highlight w:val="cyan"/>
        </w:rPr>
        <w:t>клиента във връзка с операцията;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16. Клиентът посочва като собствен адрес адреса на трето лице;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 xml:space="preserve">17. </w:t>
      </w:r>
      <w:r w:rsidRPr="00CA139E">
        <w:rPr>
          <w:rFonts w:ascii="TimesNewRoman" w:hAnsi="TimesNewRoman" w:cs="TimesNewRoman"/>
          <w:sz w:val="27"/>
          <w:szCs w:val="27"/>
          <w:highlight w:val="cyan"/>
        </w:rPr>
        <w:t>Клиентът посочва адрес за кореспонденция, който е пощенска кутия;</w:t>
      </w:r>
      <w:bookmarkStart w:id="0" w:name="_GoBack"/>
      <w:bookmarkEnd w:id="0"/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18. Клиентът прави опит операцията или сд</w:t>
      </w:r>
      <w:r w:rsidR="009A2FCD">
        <w:rPr>
          <w:rFonts w:ascii="TimesNewRoman" w:hAnsi="TimesNewRoman" w:cs="TimesNewRoman"/>
          <w:sz w:val="27"/>
          <w:szCs w:val="27"/>
        </w:rPr>
        <w:t>елката да бъде извършена в нару</w:t>
      </w:r>
      <w:r>
        <w:rPr>
          <w:rFonts w:ascii="TimesNewRoman" w:hAnsi="TimesNewRoman" w:cs="TimesNewRoman"/>
          <w:sz w:val="27"/>
          <w:szCs w:val="27"/>
        </w:rPr>
        <w:t>шение или чрез заобикаляне на закона;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19. Опити за установяване на нерегламентирани контакти със служители на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фирмата на различно равнище.</w:t>
      </w:r>
    </w:p>
    <w:p w:rsidR="009A2FCD" w:rsidRDefault="009A2FCD" w:rsidP="002768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</w:p>
    <w:p w:rsidR="009A2FCD" w:rsidRDefault="009A2FCD" w:rsidP="002768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</w:p>
    <w:p w:rsidR="009A2FCD" w:rsidRDefault="009A2FCD" w:rsidP="002768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lastRenderedPageBreak/>
        <w:t>КРИТЕРИИ ЗА РАЗПОЗНАВАНЕ НА СЪМНИТЕЛНИ ОПЕРАЦИИ,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t>СДЕЛКИ, ИЗТОЧНИЦИ И КЛИЕНТИ ПРИ ТЪРГОВЦИ НА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t>ОРЪЖИЕ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1. Сделки с фирми, осъществяващи износ на оръжие в ембаргова страна или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конфликтни зони;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2. Сделки с фирми, които не вписват сделките в доброволния регистър на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ООН за конвенционални оръжия;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3. Сделки с фирми, осъществяващи внос/и</w:t>
      </w:r>
      <w:r w:rsidR="009A2FCD">
        <w:rPr>
          <w:rFonts w:ascii="TimesNewRoman" w:hAnsi="TimesNewRoman" w:cs="TimesNewRoman"/>
          <w:sz w:val="27"/>
          <w:szCs w:val="27"/>
        </w:rPr>
        <w:t>знос на оръжие, за които има ин</w:t>
      </w:r>
      <w:r>
        <w:rPr>
          <w:rFonts w:ascii="TimesNewRoman" w:hAnsi="TimesNewRoman" w:cs="TimesNewRoman"/>
          <w:sz w:val="27"/>
          <w:szCs w:val="27"/>
        </w:rPr>
        <w:t>формация в публичното пространство, ч</w:t>
      </w:r>
      <w:r w:rsidR="009A2FCD">
        <w:rPr>
          <w:rFonts w:ascii="TimesNewRoman" w:hAnsi="TimesNewRoman" w:cs="TimesNewRoman"/>
          <w:sz w:val="27"/>
          <w:szCs w:val="27"/>
        </w:rPr>
        <w:t>е подпомагат групировки, свърза</w:t>
      </w:r>
      <w:r>
        <w:rPr>
          <w:rFonts w:ascii="TimesNewRoman" w:hAnsi="TimesNewRoman" w:cs="TimesNewRoman"/>
          <w:sz w:val="27"/>
          <w:szCs w:val="27"/>
        </w:rPr>
        <w:t>ни с конвенционалната и/или организирана престъпност;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4. Сделки с фирми, предлагащи оръжие и боеприпаси от армията, реално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предназначени за утилизация (унищожаване);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5. Сделки с фирми без площадки, лицензи и възможности да осъществяват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обезвреждане на боеприпаси;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6. Фирма, предлагаща закупуването на го</w:t>
      </w:r>
      <w:r w:rsidR="009A2FCD">
        <w:rPr>
          <w:rFonts w:ascii="TimesNewRoman" w:hAnsi="TimesNewRoman" w:cs="TimesNewRoman"/>
          <w:sz w:val="27"/>
          <w:szCs w:val="27"/>
        </w:rPr>
        <w:t>лямо количество оръжие и боепри</w:t>
      </w:r>
      <w:r>
        <w:rPr>
          <w:rFonts w:ascii="TimesNewRoman" w:hAnsi="TimesNewRoman" w:cs="TimesNewRoman"/>
          <w:sz w:val="27"/>
          <w:szCs w:val="27"/>
        </w:rPr>
        <w:t>паси, предназначени за утилизация, която</w:t>
      </w:r>
      <w:r w:rsidR="009A2FCD">
        <w:rPr>
          <w:rFonts w:ascii="TimesNewRoman" w:hAnsi="TimesNewRoman" w:cs="TimesNewRoman"/>
          <w:sz w:val="27"/>
          <w:szCs w:val="27"/>
        </w:rPr>
        <w:t xml:space="preserve"> реално не притежава такъв капа</w:t>
      </w:r>
      <w:r>
        <w:rPr>
          <w:rFonts w:ascii="TimesNewRoman" w:hAnsi="TimesNewRoman" w:cs="TimesNewRoman"/>
          <w:sz w:val="27"/>
          <w:szCs w:val="27"/>
        </w:rPr>
        <w:t>цитет за утилизация;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7. Сделки с оръжие и боеприпаси със заличени серийни номера;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8. Сделки с фирми, осъществяващи внос/износ на оръжие или друго военно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оборудване към държави, включени в ограничителните списъци, спрямо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които Република България прилага за</w:t>
      </w:r>
      <w:r w:rsidR="009A2FCD">
        <w:rPr>
          <w:rFonts w:ascii="TimesNewRoman" w:hAnsi="TimesNewRoman" w:cs="TimesNewRoman"/>
          <w:sz w:val="27"/>
          <w:szCs w:val="27"/>
        </w:rPr>
        <w:t>брана или ограничения върху про</w:t>
      </w:r>
      <w:r>
        <w:rPr>
          <w:rFonts w:ascii="TimesNewRoman" w:hAnsi="TimesNewRoman" w:cs="TimesNewRoman"/>
          <w:sz w:val="27"/>
          <w:szCs w:val="27"/>
        </w:rPr>
        <w:t>дажбата и доставките на въоръжение и на свързаното с него оборудване;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9. Сделки с фирми, предоставящи слаба охрана и неподходящи условия за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съхранение на оръжие и боеприпаси;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10. Сделки в нарушение на законодателствот</w:t>
      </w:r>
      <w:r w:rsidR="009A2FCD">
        <w:rPr>
          <w:rFonts w:ascii="TimesNewRoman" w:hAnsi="TimesNewRoman" w:cs="TimesNewRoman"/>
          <w:sz w:val="27"/>
          <w:szCs w:val="27"/>
        </w:rPr>
        <w:t>о – например неразрешени за тър</w:t>
      </w:r>
      <w:r>
        <w:rPr>
          <w:rFonts w:ascii="TimesNewRoman" w:hAnsi="TimesNewRoman" w:cs="TimesNewRoman"/>
          <w:sz w:val="27"/>
          <w:szCs w:val="27"/>
        </w:rPr>
        <w:t>говия изделия, неотговарящи на изискванията за търговия, установени със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закон или подзаконови нормативни актове, стоки и/или части и заготовки.</w:t>
      </w:r>
    </w:p>
    <w:p w:rsidR="009A2FCD" w:rsidRDefault="009A2FCD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t>КРИТЕРИИ ЗА РАЗПОЗНАВАНЕ НА СЪМНИТЕЛНИ ОПЕРАЦИИ,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t>СДЕЛКИ, ИЗТОЧНИЦИ И КЛИЕНТИ ПРИ ТЪРГОВЦИ НА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t>ПЕТРОЛ И ПЕТРОЛНИ ПРОДУКТИ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1. Доставка на петрол/петролни продукти от/до несъществуващ данъчен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склад;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2. Сделки с течни горива без придружителен административен документ(ПАД), опростен придружителен докум</w:t>
      </w:r>
      <w:r w:rsidR="009A2FCD">
        <w:rPr>
          <w:rFonts w:ascii="TimesNewRoman" w:hAnsi="TimesNewRoman" w:cs="TimesNewRoman"/>
          <w:sz w:val="27"/>
          <w:szCs w:val="27"/>
        </w:rPr>
        <w:t>ент (ОПД), акцизен данъчен доку</w:t>
      </w:r>
      <w:r>
        <w:rPr>
          <w:rFonts w:ascii="TimesNewRoman" w:hAnsi="TimesNewRoman" w:cs="TimesNewRoman"/>
          <w:sz w:val="27"/>
          <w:szCs w:val="27"/>
        </w:rPr>
        <w:t>мент (АДД) или друг документ в потвърждение на заплатен, обезпечен или</w:t>
      </w:r>
      <w:r w:rsidR="009A2FCD">
        <w:rPr>
          <w:rFonts w:ascii="TimesNewRoman" w:hAnsi="TimesNewRoman" w:cs="TimesNewRoman"/>
          <w:sz w:val="27"/>
          <w:szCs w:val="27"/>
        </w:rPr>
        <w:t xml:space="preserve"> </w:t>
      </w:r>
      <w:r>
        <w:rPr>
          <w:rFonts w:ascii="TimesNewRoman" w:hAnsi="TimesNewRoman" w:cs="TimesNewRoman"/>
          <w:sz w:val="27"/>
          <w:szCs w:val="27"/>
        </w:rPr>
        <w:t>недължим акциз в нарушение на разпоред</w:t>
      </w:r>
      <w:r w:rsidR="009A2FCD">
        <w:rPr>
          <w:rFonts w:ascii="TimesNewRoman" w:hAnsi="TimesNewRoman" w:cs="TimesNewRoman"/>
          <w:sz w:val="27"/>
          <w:szCs w:val="27"/>
        </w:rPr>
        <w:t>бите на Закона за акцизите и да</w:t>
      </w:r>
      <w:r>
        <w:rPr>
          <w:rFonts w:ascii="TimesNewRoman" w:hAnsi="TimesNewRoman" w:cs="TimesNewRoman"/>
          <w:sz w:val="27"/>
          <w:szCs w:val="27"/>
        </w:rPr>
        <w:t>нъчните складове (ЗАДС) и Правилника за прилагане на ЗАДС;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 xml:space="preserve">3. Сделки с фирми, предлагащи петролни </w:t>
      </w:r>
      <w:r w:rsidR="009A2FCD">
        <w:rPr>
          <w:rFonts w:ascii="TimesNewRoman" w:hAnsi="TimesNewRoman" w:cs="TimesNewRoman"/>
          <w:sz w:val="27"/>
          <w:szCs w:val="27"/>
        </w:rPr>
        <w:t>продукти като неакцизни химичес</w:t>
      </w:r>
      <w:r>
        <w:rPr>
          <w:rFonts w:ascii="TimesNewRoman" w:hAnsi="TimesNewRoman" w:cs="TimesNewRoman"/>
          <w:sz w:val="27"/>
          <w:szCs w:val="27"/>
        </w:rPr>
        <w:t>ки вещества;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lastRenderedPageBreak/>
        <w:t>4. Сделки с фирми, чийто продукти не отг</w:t>
      </w:r>
      <w:r w:rsidR="009A2FCD">
        <w:rPr>
          <w:rFonts w:ascii="TimesNewRoman" w:hAnsi="TimesNewRoman" w:cs="TimesNewRoman"/>
          <w:sz w:val="27"/>
          <w:szCs w:val="27"/>
        </w:rPr>
        <w:t>оварят на представените специфи</w:t>
      </w:r>
      <w:r>
        <w:rPr>
          <w:rFonts w:ascii="TimesNewRoman" w:hAnsi="TimesNewRoman" w:cs="TimesNewRoman"/>
          <w:sz w:val="27"/>
          <w:szCs w:val="27"/>
        </w:rPr>
        <w:t>кации;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5. Сделки с петрол и петролни продукти, пр</w:t>
      </w:r>
      <w:r w:rsidR="009A2FCD">
        <w:rPr>
          <w:rFonts w:ascii="TimesNewRoman" w:hAnsi="TimesNewRoman" w:cs="TimesNewRoman"/>
          <w:sz w:val="27"/>
          <w:szCs w:val="27"/>
        </w:rPr>
        <w:t>и които не се представят необхо</w:t>
      </w:r>
      <w:r>
        <w:rPr>
          <w:rFonts w:ascii="TimesNewRoman" w:hAnsi="TimesNewRoman" w:cs="TimesNewRoman"/>
          <w:sz w:val="27"/>
          <w:szCs w:val="27"/>
        </w:rPr>
        <w:t>димите документи;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6. Превозване на акцизни стоки без ПАД;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7. Превозване на акцизни стоки с неистински или подправени документи(фалшиви ПАД-ове);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8. Многократно превозване на акцизни стоки с един и същ ПАД;</w:t>
      </w:r>
    </w:p>
    <w:p w:rsidR="00276876" w:rsidRDefault="00276876" w:rsidP="002768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9. Несъответствие в количеството акцизна</w:t>
      </w:r>
      <w:r w:rsidR="009A2FCD">
        <w:rPr>
          <w:rFonts w:ascii="TimesNewRoman" w:hAnsi="TimesNewRoman" w:cs="TimesNewRoman"/>
          <w:sz w:val="27"/>
          <w:szCs w:val="27"/>
        </w:rPr>
        <w:t xml:space="preserve"> стока, описана в ПАД и действи</w:t>
      </w:r>
      <w:r>
        <w:rPr>
          <w:rFonts w:ascii="TimesNewRoman" w:hAnsi="TimesNewRoman" w:cs="TimesNewRoman"/>
          <w:sz w:val="27"/>
          <w:szCs w:val="27"/>
        </w:rPr>
        <w:t>телно превозваното количество;</w:t>
      </w:r>
    </w:p>
    <w:p w:rsidR="009E52B1" w:rsidRPr="009A2FCD" w:rsidRDefault="00276876" w:rsidP="009A2F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  <w:r>
        <w:rPr>
          <w:rFonts w:ascii="TimesNewRoman" w:hAnsi="TimesNewRoman" w:cs="TimesNewRoman"/>
          <w:sz w:val="27"/>
          <w:szCs w:val="27"/>
        </w:rPr>
        <w:t>10. Несъответствие между вида на стоките,</w:t>
      </w:r>
      <w:r w:rsidR="009A2FCD">
        <w:rPr>
          <w:rFonts w:ascii="TimesNewRoman" w:hAnsi="TimesNewRoman" w:cs="TimesNewRoman"/>
          <w:sz w:val="27"/>
          <w:szCs w:val="27"/>
        </w:rPr>
        <w:t xml:space="preserve"> описани в придружителните адми</w:t>
      </w:r>
      <w:r>
        <w:rPr>
          <w:rFonts w:ascii="TimesNewRoman" w:hAnsi="TimesNewRoman" w:cs="TimesNewRoman"/>
          <w:sz w:val="27"/>
          <w:szCs w:val="27"/>
        </w:rPr>
        <w:t>нистративни документи, и действително превозваните и получавани стоки.</w:t>
      </w:r>
    </w:p>
    <w:sectPr w:rsidR="009E52B1" w:rsidRPr="009A2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8E"/>
    <w:rsid w:val="00276876"/>
    <w:rsid w:val="00585B09"/>
    <w:rsid w:val="00720A87"/>
    <w:rsid w:val="009A2FCD"/>
    <w:rsid w:val="009E52B1"/>
    <w:rsid w:val="00B2398E"/>
    <w:rsid w:val="00CA139E"/>
    <w:rsid w:val="00D3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223126-F80F-4831-A821-034B9D9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admiral oil</dc:creator>
  <cp:keywords/>
  <dc:description/>
  <cp:lastModifiedBy>admiral oil</cp:lastModifiedBy>
  <cp:revision>9</cp:revision>
  <dcterms:created xsi:type="dcterms:W3CDTF">2014-06-19T13:26:00Z</dcterms:created>
  <dcterms:modified xsi:type="dcterms:W3CDTF">2014-06-19T14:43:00Z</dcterms:modified>
</cp:coreProperties>
</file>