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F3" w:rsidRDefault="00E97EF3" w:rsidP="00E97EF3">
      <w:pPr>
        <w:widowControl w:val="0"/>
        <w:suppressAutoHyphens/>
        <w:spacing w:after="120" w:line="240" w:lineRule="auto"/>
        <w:jc w:val="both"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>В ДОКЛАДА ЗА ДЕЙНОСТТА</w:t>
      </w:r>
    </w:p>
    <w:p w:rsidR="00E97EF3" w:rsidRDefault="00E97EF3" w:rsidP="00E97EF3">
      <w:pPr>
        <w:widowControl w:val="0"/>
        <w:suppressAutoHyphens/>
        <w:spacing w:after="120" w:line="240" w:lineRule="auto"/>
        <w:jc w:val="both"/>
        <w:rPr>
          <w:rFonts w:ascii="Times New Roman" w:eastAsia="Lucida Sans Unicode" w:hAnsi="Times New Roman" w:cs="Times New Roman"/>
          <w:b/>
          <w:kern w:val="1"/>
        </w:rPr>
      </w:pPr>
    </w:p>
    <w:p w:rsidR="00E97EF3" w:rsidRPr="00E97EF3" w:rsidRDefault="00E97EF3" w:rsidP="00E97EF3">
      <w:pPr>
        <w:widowControl w:val="0"/>
        <w:suppressAutoHyphens/>
        <w:spacing w:after="120" w:line="240" w:lineRule="auto"/>
        <w:jc w:val="both"/>
        <w:rPr>
          <w:rFonts w:ascii="Times New Roman" w:eastAsia="Lucida Sans Unicode" w:hAnsi="Times New Roman" w:cs="Times New Roman"/>
          <w:b/>
          <w:kern w:val="1"/>
        </w:rPr>
      </w:pPr>
      <w:r w:rsidRPr="00E97EF3">
        <w:rPr>
          <w:rFonts w:ascii="Times New Roman" w:eastAsia="Lucida Sans Unicode" w:hAnsi="Times New Roman" w:cs="Times New Roman"/>
          <w:b/>
          <w:kern w:val="1"/>
        </w:rPr>
        <w:t>ВАЖНИ СЪБИТИЯ, НАСТАПИЛИ СЛЕД ДАТАТА, КЪМ КОЯТО Е СЪСТАВЕН ГОДИШНИЯ ФИНАНСОВ ОТЧЕТ</w:t>
      </w:r>
    </w:p>
    <w:p w:rsidR="00E97EF3" w:rsidRPr="00E97EF3" w:rsidRDefault="00E97EF3" w:rsidP="00E97EF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en-US" w:eastAsia="bg-BG"/>
        </w:rPr>
      </w:pPr>
      <w:r w:rsidRPr="00E97EF3">
        <w:rPr>
          <w:rFonts w:ascii="Times New Roman" w:eastAsia="Lucida Sans Unicode" w:hAnsi="Times New Roman" w:cs="Times New Roman"/>
          <w:kern w:val="1"/>
        </w:rPr>
        <w:t xml:space="preserve">След датата, към която е съставен годишния финансов отчет за 2019 г., няма настъпили важни събития, с изключение на 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извънредното положение, въведено в страната във връзка с пандемията от </w:t>
      </w:r>
      <w:r w:rsidRPr="00E97EF3">
        <w:rPr>
          <w:rFonts w:ascii="Times New Roman" w:eastAsia="Lucida Sans Unicode" w:hAnsi="Times New Roman" w:cs="Times New Roman"/>
          <w:kern w:val="1"/>
          <w:lang w:val="en-US"/>
        </w:rPr>
        <w:t>COVID-19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, което представлява съществено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некоригиращо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събитие по смисъла на СС 10 - </w:t>
      </w:r>
      <w:r w:rsidRPr="00E97EF3">
        <w:rPr>
          <w:rFonts w:ascii="Times New Roman" w:eastAsia="Calibri" w:hAnsi="Times New Roman" w:cs="Times New Roman"/>
        </w:rPr>
        <w:t>Събития, настъпили след датата на годишния финансов отчет</w:t>
      </w:r>
      <w:r w:rsidRPr="00E97EF3">
        <w:rPr>
          <w:rFonts w:ascii="Times New Roman" w:eastAsia="Times New Roman" w:hAnsi="Times New Roman" w:cs="Times New Roman"/>
          <w:lang w:eastAsia="bg-BG"/>
        </w:rPr>
        <w:t>.</w:t>
      </w:r>
      <w:r w:rsidRPr="00E97EF3">
        <w:rPr>
          <w:rFonts w:ascii="Times New Roman" w:eastAsia="Times New Roman" w:hAnsi="Times New Roman" w:cs="Times New Roman"/>
          <w:lang w:val="en-US" w:eastAsia="bg-BG"/>
        </w:rPr>
        <w:t xml:space="preserve"> </w:t>
      </w:r>
    </w:p>
    <w:p w:rsidR="00E97EF3" w:rsidRPr="00E97EF3" w:rsidRDefault="00E97EF3" w:rsidP="00E97EF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en-US" w:eastAsia="bg-BG"/>
        </w:rPr>
      </w:pPr>
      <w:r w:rsidRPr="00E97EF3">
        <w:rPr>
          <w:rFonts w:ascii="Times New Roman" w:eastAsia="Times New Roman" w:hAnsi="Times New Roman" w:cs="Times New Roman"/>
          <w:lang w:eastAsia="bg-BG"/>
        </w:rPr>
        <w:t xml:space="preserve">Епидемията от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коронавируса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стартира от Китай в края на 2019 година и се разпространи бързо по целия свят. В България първите положителни проби бяха потвърдени на 8 март 2020 г. и впоследствие с решение на Парламента на 13 март 2020 г. беше въведено извънредното положение, което доведе до нарушаване на нормалната социална и икономическа обстановка в страната и даде отражение на почти всички стопански субекти чрез въведените строги противоепидемични мерки и ограничения. Поради непредсказуемата динамика на процесите и събитията във връзка с </w:t>
      </w:r>
      <w:r w:rsidRPr="00E97EF3">
        <w:rPr>
          <w:rFonts w:ascii="Times New Roman" w:eastAsia="Lucida Sans Unicode" w:hAnsi="Times New Roman" w:cs="Times New Roman"/>
          <w:kern w:val="1"/>
          <w:lang w:val="en-US"/>
        </w:rPr>
        <w:t>COVID-19</w:t>
      </w:r>
      <w:r w:rsidRPr="00E97EF3">
        <w:rPr>
          <w:rFonts w:ascii="Times New Roman" w:eastAsia="Times New Roman" w:hAnsi="Times New Roman" w:cs="Times New Roman"/>
          <w:lang w:eastAsia="bg-BG"/>
        </w:rPr>
        <w:t>, обхватът и ефектите върху бизнеса на дружеството е сложно и практически невъзможно да бъдат оценени на този етап от ръководството, което полага усилия и предприема мерки и действия за справяне с извънредната ситуация и сътресенията в социалния и икономическия живот в страната.</w:t>
      </w: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Pr="00E97EF3" w:rsidRDefault="00E97EF3" w:rsidP="00E97EF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1"/>
        </w:rPr>
      </w:pPr>
      <w:r w:rsidRPr="00E97EF3">
        <w:rPr>
          <w:rFonts w:ascii="Times New Roman" w:eastAsia="Lucida Sans Unicode" w:hAnsi="Times New Roman" w:cs="Times New Roman"/>
          <w:kern w:val="1"/>
        </w:rPr>
        <w:t xml:space="preserve">Имайки предвид настъпилата финансова криза, която вече оказва влияние и върху българската икономика, ръководството адаптира своята дейност към настоящата икономическа обстановка. То полага усилия да развива успешно бизнеса и да смекчи последиците от кризата върху крайните резултати и финансовото състояние на дружеството.  </w:t>
      </w:r>
    </w:p>
    <w:p w:rsidR="00E97EF3" w:rsidRPr="00E97EF3" w:rsidRDefault="00E97EF3" w:rsidP="00E97EF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1"/>
        </w:rPr>
      </w:pPr>
      <w:r w:rsidRPr="00E97EF3">
        <w:rPr>
          <w:rFonts w:ascii="Times New Roman" w:eastAsia="Lucida Sans Unicode" w:hAnsi="Times New Roman" w:cs="Times New Roman"/>
          <w:kern w:val="1"/>
        </w:rPr>
        <w:t>Дружеството разполага с неголям кръг от финансови инструменти, предимно парични средства, търговски вземания и задължения и получени банкови заеми в български левове и евро.</w:t>
      </w:r>
    </w:p>
    <w:p w:rsidR="00E97EF3" w:rsidRPr="00E97EF3" w:rsidRDefault="00E97EF3" w:rsidP="00E97EF3">
      <w:pPr>
        <w:widowControl w:val="0"/>
        <w:suppressAutoHyphens/>
        <w:spacing w:after="120" w:line="240" w:lineRule="auto"/>
        <w:jc w:val="both"/>
        <w:rPr>
          <w:rFonts w:ascii="Times New Roman" w:eastAsia="Lucida Sans Unicode" w:hAnsi="Times New Roman" w:cs="Times New Roman"/>
          <w:kern w:val="1"/>
        </w:rPr>
      </w:pPr>
      <w:r w:rsidRPr="00E97EF3">
        <w:rPr>
          <w:rFonts w:ascii="Times New Roman" w:eastAsia="Lucida Sans Unicode" w:hAnsi="Times New Roman" w:cs="Times New Roman"/>
          <w:kern w:val="1"/>
        </w:rPr>
        <w:t>Във връзка с получените банкови заеми дружеството е изложено на ликвиден риск, тъй като трябва да разполага с достатъчно парични средства към договорните дати на погасяване на главницата и изплащане на дължимите лихви по заемите. За целта ръководството на дружеството следи ритмичността на събиране на вземанията си от клиенти и другите постъпления от дейността, което гарантира достатъчна наличност от парични средства за посрещане на предстоящи плащания.</w:t>
      </w:r>
    </w:p>
    <w:p w:rsidR="00E97EF3" w:rsidRPr="00E97EF3" w:rsidRDefault="00E97EF3" w:rsidP="00E97EF3">
      <w:pPr>
        <w:widowControl w:val="0"/>
        <w:spacing w:after="120" w:line="273" w:lineRule="exact"/>
        <w:ind w:firstLine="705"/>
        <w:jc w:val="both"/>
        <w:rPr>
          <w:rFonts w:ascii="Times New Roman" w:eastAsia="Times New Roman" w:hAnsi="Times New Roman" w:cs="Times New Roman"/>
          <w:b/>
          <w:lang w:val="ru-RU" w:eastAsia="bg-BG"/>
        </w:rPr>
      </w:pPr>
      <w:r w:rsidRPr="00E97EF3">
        <w:rPr>
          <w:rFonts w:ascii="Times New Roman" w:eastAsia="Times New Roman" w:hAnsi="Times New Roman" w:cs="Times New Roman"/>
          <w:b/>
          <w:lang w:eastAsia="bg-BG"/>
        </w:rPr>
        <w:t>Стратегия за пазарно развитие:</w:t>
      </w:r>
    </w:p>
    <w:p w:rsidR="00E97EF3" w:rsidRPr="00E97EF3" w:rsidRDefault="00E97EF3" w:rsidP="00E97EF3">
      <w:pPr>
        <w:widowControl w:val="0"/>
        <w:numPr>
          <w:ilvl w:val="0"/>
          <w:numId w:val="7"/>
        </w:numPr>
        <w:suppressAutoHyphens/>
        <w:spacing w:after="0" w:line="268" w:lineRule="exact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Задоволяване в максимална степен потребностите на основните потребителски сегменти;</w:t>
      </w:r>
    </w:p>
    <w:p w:rsidR="00E97EF3" w:rsidRPr="00E97EF3" w:rsidRDefault="00E97EF3" w:rsidP="00E97EF3">
      <w:pPr>
        <w:widowControl w:val="0"/>
        <w:numPr>
          <w:ilvl w:val="0"/>
          <w:numId w:val="5"/>
        </w:numPr>
        <w:suppressAutoHyphens/>
        <w:spacing w:after="0" w:line="268" w:lineRule="exact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Предлагане на конкурентни цени;</w:t>
      </w:r>
    </w:p>
    <w:p w:rsidR="00E97EF3" w:rsidRPr="00E97EF3" w:rsidRDefault="00E97EF3" w:rsidP="00E97EF3">
      <w:pPr>
        <w:widowControl w:val="0"/>
        <w:numPr>
          <w:ilvl w:val="0"/>
          <w:numId w:val="5"/>
        </w:numPr>
        <w:suppressAutoHyphens/>
        <w:spacing w:after="0" w:line="268" w:lineRule="exact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Бизнес сътрудничество;</w:t>
      </w:r>
    </w:p>
    <w:p w:rsidR="00E97EF3" w:rsidRPr="00E97EF3" w:rsidRDefault="00E97EF3" w:rsidP="00E97EF3">
      <w:pPr>
        <w:widowControl w:val="0"/>
        <w:numPr>
          <w:ilvl w:val="0"/>
          <w:numId w:val="5"/>
        </w:numPr>
        <w:suppressAutoHyphens/>
        <w:spacing w:after="120" w:line="268" w:lineRule="exact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Поддържане на пазарно лидерство.</w:t>
      </w:r>
    </w:p>
    <w:p w:rsidR="00E97EF3" w:rsidRPr="00E97EF3" w:rsidRDefault="00E97EF3" w:rsidP="00E97EF3">
      <w:pPr>
        <w:widowControl w:val="0"/>
        <w:tabs>
          <w:tab w:val="left" w:pos="315"/>
        </w:tabs>
        <w:spacing w:after="120" w:line="263" w:lineRule="exact"/>
        <w:jc w:val="both"/>
        <w:rPr>
          <w:rFonts w:ascii="Times New Roman" w:eastAsia="Times New Roman" w:hAnsi="Times New Roman" w:cs="Times New Roman"/>
          <w:b/>
          <w:bCs/>
          <w:lang w:eastAsia="bg-BG"/>
        </w:rPr>
      </w:pPr>
      <w:r w:rsidRPr="00E97EF3">
        <w:rPr>
          <w:rFonts w:ascii="Times New Roman" w:eastAsia="Times New Roman" w:hAnsi="Times New Roman" w:cs="Times New Roman"/>
          <w:lang w:eastAsia="bg-BG"/>
        </w:rPr>
        <w:t xml:space="preserve">       </w:t>
      </w:r>
      <w:r w:rsidRPr="00E97EF3">
        <w:rPr>
          <w:rFonts w:ascii="Times New Roman" w:eastAsia="Times New Roman" w:hAnsi="Times New Roman" w:cs="Times New Roman"/>
          <w:b/>
          <w:lang w:eastAsia="bg-BG"/>
        </w:rPr>
        <w:tab/>
        <w:t>Стратегия на вътрешно развитие</w:t>
      </w:r>
      <w:r w:rsidRPr="00E97EF3">
        <w:rPr>
          <w:rFonts w:ascii="Times New Roman" w:eastAsia="Times New Roman" w:hAnsi="Times New Roman" w:cs="Times New Roman"/>
          <w:lang w:eastAsia="bg-BG"/>
        </w:rPr>
        <w:t>:</w:t>
      </w:r>
    </w:p>
    <w:p w:rsidR="00E97EF3" w:rsidRPr="00E97EF3" w:rsidRDefault="00E97EF3" w:rsidP="00E97EF3">
      <w:pPr>
        <w:widowControl w:val="0"/>
        <w:numPr>
          <w:ilvl w:val="0"/>
          <w:numId w:val="6"/>
        </w:numPr>
        <w:suppressAutoHyphens/>
        <w:spacing w:after="0" w:line="263" w:lineRule="exact"/>
        <w:ind w:left="1156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 xml:space="preserve">Оптимизиране на оперативните разходи; </w:t>
      </w:r>
    </w:p>
    <w:p w:rsidR="00E97EF3" w:rsidRPr="00E97EF3" w:rsidRDefault="00E97EF3" w:rsidP="00E97EF3">
      <w:pPr>
        <w:widowControl w:val="0"/>
        <w:numPr>
          <w:ilvl w:val="0"/>
          <w:numId w:val="6"/>
        </w:numPr>
        <w:suppressAutoHyphens/>
        <w:spacing w:after="0" w:line="263" w:lineRule="exact"/>
        <w:ind w:left="1156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Увеличаване производителността и рентабилността на труда;</w:t>
      </w:r>
    </w:p>
    <w:p w:rsidR="00E97EF3" w:rsidRPr="00E97EF3" w:rsidRDefault="00E97EF3" w:rsidP="00E97EF3">
      <w:pPr>
        <w:widowControl w:val="0"/>
        <w:numPr>
          <w:ilvl w:val="0"/>
          <w:numId w:val="6"/>
        </w:numPr>
        <w:suppressAutoHyphens/>
        <w:spacing w:after="0" w:line="263" w:lineRule="exact"/>
        <w:ind w:left="1156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Повишаване квалификацията на работниците и служителите;</w:t>
      </w:r>
    </w:p>
    <w:p w:rsidR="00E97EF3" w:rsidRPr="00E97EF3" w:rsidRDefault="00E97EF3" w:rsidP="00E97EF3">
      <w:pPr>
        <w:widowControl w:val="0"/>
        <w:numPr>
          <w:ilvl w:val="0"/>
          <w:numId w:val="6"/>
        </w:numPr>
        <w:suppressAutoHyphens/>
        <w:spacing w:after="0" w:line="263" w:lineRule="exact"/>
        <w:ind w:left="1156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Изграждане на екип от високо квалифицирани и мотивирани специалисти;</w:t>
      </w:r>
    </w:p>
    <w:p w:rsidR="00E97EF3" w:rsidRPr="00E97EF3" w:rsidRDefault="00E97EF3" w:rsidP="00E97EF3">
      <w:pPr>
        <w:widowControl w:val="0"/>
        <w:numPr>
          <w:ilvl w:val="0"/>
          <w:numId w:val="6"/>
        </w:numPr>
        <w:suppressAutoHyphens/>
        <w:spacing w:after="0" w:line="263" w:lineRule="exact"/>
        <w:ind w:left="1156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Поддържане на финансова стабилност, постигната чрез балансиран ръст на приходите.</w:t>
      </w:r>
    </w:p>
    <w:p w:rsidR="00E97EF3" w:rsidRPr="00E97EF3" w:rsidRDefault="00E97EF3" w:rsidP="00E97EF3">
      <w:pPr>
        <w:widowControl w:val="0"/>
        <w:spacing w:after="0" w:line="268" w:lineRule="exact"/>
        <w:ind w:firstLine="709"/>
        <w:jc w:val="both"/>
        <w:rPr>
          <w:rFonts w:ascii="Times New Roman" w:eastAsia="Lucida Sans Unicode" w:hAnsi="Times New Roman" w:cs="Times New Roman"/>
          <w:lang w:eastAsia="bg-BG"/>
        </w:rPr>
      </w:pPr>
    </w:p>
    <w:p w:rsidR="00E97EF3" w:rsidRPr="00E97EF3" w:rsidRDefault="00E97EF3" w:rsidP="00E97EF3">
      <w:pPr>
        <w:widowControl w:val="0"/>
        <w:spacing w:after="120" w:line="268" w:lineRule="exact"/>
        <w:ind w:firstLine="709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В дружеството има разработени политики, свързани със стратегически и тактически маркетинг. В стратегическия маркетинг водещи са продукта и целевите групи, за които е предназначен. Тактическият маркетинг засяга цената, позиционирането и промоционалните дейности.</w:t>
      </w:r>
    </w:p>
    <w:p w:rsidR="00E97EF3" w:rsidRPr="00E97EF3" w:rsidRDefault="00E97EF3" w:rsidP="00E97EF3">
      <w:pPr>
        <w:widowControl w:val="0"/>
        <w:spacing w:after="120" w:line="268" w:lineRule="exact"/>
        <w:ind w:firstLine="708"/>
        <w:jc w:val="both"/>
        <w:rPr>
          <w:rFonts w:ascii="Times New Roman" w:eastAsia="Times New Roman" w:hAnsi="Times New Roman" w:cs="Times New Roman"/>
          <w:lang w:eastAsia="bg-BG"/>
        </w:rPr>
      </w:pPr>
      <w:bookmarkStart w:id="0" w:name="bookmark12"/>
      <w:r w:rsidRPr="00E97EF3">
        <w:rPr>
          <w:rFonts w:ascii="Times New Roman" w:eastAsia="Times New Roman" w:hAnsi="Times New Roman" w:cs="Times New Roman"/>
          <w:b/>
          <w:lang w:eastAsia="bg-BG"/>
        </w:rPr>
        <w:lastRenderedPageBreak/>
        <w:t>Стратегически маркетинг</w:t>
      </w:r>
      <w:bookmarkEnd w:id="0"/>
    </w:p>
    <w:p w:rsidR="00E97EF3" w:rsidRPr="00E97EF3" w:rsidRDefault="00E97EF3" w:rsidP="00E97EF3">
      <w:pPr>
        <w:widowControl w:val="0"/>
        <w:numPr>
          <w:ilvl w:val="0"/>
          <w:numId w:val="9"/>
        </w:numPr>
        <w:suppressAutoHyphens/>
        <w:spacing w:after="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Познаване на клиентите/ целевата аудитория;</w:t>
      </w:r>
    </w:p>
    <w:p w:rsidR="00E97EF3" w:rsidRPr="00E97EF3" w:rsidRDefault="00E97EF3" w:rsidP="00E97EF3">
      <w:pPr>
        <w:widowControl w:val="0"/>
        <w:numPr>
          <w:ilvl w:val="0"/>
          <w:numId w:val="9"/>
        </w:numPr>
        <w:suppressAutoHyphens/>
        <w:spacing w:after="0" w:line="268" w:lineRule="exact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Познаване в детайли характеристиките на продуктите;</w:t>
      </w:r>
    </w:p>
    <w:p w:rsidR="00E97EF3" w:rsidRPr="00E97EF3" w:rsidRDefault="00E97EF3" w:rsidP="00E97EF3">
      <w:pPr>
        <w:widowControl w:val="0"/>
        <w:numPr>
          <w:ilvl w:val="0"/>
          <w:numId w:val="9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Мониторинг на конкуренцията и конкурентните оферти.</w:t>
      </w:r>
    </w:p>
    <w:p w:rsidR="00E97EF3" w:rsidRPr="00E97EF3" w:rsidRDefault="00E97EF3" w:rsidP="00E97EF3">
      <w:pPr>
        <w:widowControl w:val="0"/>
        <w:spacing w:after="120" w:line="268" w:lineRule="exact"/>
        <w:ind w:firstLine="708"/>
        <w:rPr>
          <w:rFonts w:ascii="Times New Roman" w:eastAsia="Times New Roman" w:hAnsi="Times New Roman" w:cs="Times New Roman"/>
          <w:b/>
          <w:bCs/>
          <w:lang w:eastAsia="bg-BG"/>
        </w:rPr>
      </w:pPr>
      <w:r w:rsidRPr="00E97EF3">
        <w:rPr>
          <w:rFonts w:ascii="Times New Roman" w:eastAsia="Times New Roman" w:hAnsi="Times New Roman" w:cs="Segoe UI"/>
          <w:b/>
          <w:bCs/>
          <w:color w:val="000000"/>
          <w:lang w:eastAsia="bg-BG"/>
        </w:rPr>
        <w:t>Тактически маркетинг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0" w:line="268" w:lineRule="exact"/>
        <w:rPr>
          <w:rFonts w:ascii="Times New Roman" w:eastAsia="Times New Roman" w:hAnsi="Times New Roman" w:cs="Segoe UI"/>
          <w:color w:val="000000"/>
          <w:lang w:val="ru-RU"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>Реклама и промоции;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0" w:line="268" w:lineRule="exact"/>
        <w:rPr>
          <w:rFonts w:ascii="Times New Roman" w:eastAsia="Times New Roman" w:hAnsi="Times New Roman" w:cs="Segoe UI"/>
          <w:color w:val="000000"/>
          <w:lang w:val="ru-RU"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>Обхват и позициониране на продажбите;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0" w:line="268" w:lineRule="exact"/>
        <w:rPr>
          <w:rFonts w:ascii="Times New Roman" w:eastAsia="Times New Roman" w:hAnsi="Times New Roman" w:cs="Segoe UI"/>
          <w:color w:val="000000"/>
          <w:lang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>Интернет маркетинг;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0" w:line="268" w:lineRule="exact"/>
        <w:rPr>
          <w:rFonts w:ascii="Times New Roman" w:eastAsia="Times New Roman" w:hAnsi="Times New Roman" w:cs="Segoe UI"/>
          <w:color w:val="000000"/>
          <w:lang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 xml:space="preserve">Ценообразуване; 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0" w:line="268" w:lineRule="exact"/>
        <w:rPr>
          <w:rFonts w:ascii="Times New Roman" w:eastAsia="Times New Roman" w:hAnsi="Times New Roman" w:cs="Segoe UI"/>
          <w:color w:val="000000"/>
          <w:lang w:val="ru-RU"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>Дистрибуционна практика;</w:t>
      </w:r>
    </w:p>
    <w:p w:rsidR="00E97EF3" w:rsidRPr="00E97EF3" w:rsidRDefault="00E97EF3" w:rsidP="00E97EF3">
      <w:pPr>
        <w:widowControl w:val="0"/>
        <w:numPr>
          <w:ilvl w:val="0"/>
          <w:numId w:val="8"/>
        </w:numPr>
        <w:suppressAutoHyphens/>
        <w:spacing w:after="120" w:line="268" w:lineRule="exact"/>
        <w:rPr>
          <w:rFonts w:ascii="Segoe UI" w:eastAsia="Times New Roman" w:hAnsi="Segoe UI" w:cs="Times New Roman"/>
          <w:lang w:eastAsia="bg-BG"/>
        </w:rPr>
      </w:pPr>
      <w:r w:rsidRPr="00E97EF3">
        <w:rPr>
          <w:rFonts w:ascii="Times New Roman" w:eastAsia="Times New Roman" w:hAnsi="Times New Roman" w:cs="Segoe UI"/>
          <w:color w:val="000000"/>
          <w:lang w:eastAsia="bg-BG"/>
        </w:rPr>
        <w:t>Управление на връзките с клиенти</w:t>
      </w:r>
      <w:r w:rsidRPr="00E97EF3">
        <w:rPr>
          <w:rFonts w:ascii="Segoe UI" w:eastAsia="Times New Roman" w:hAnsi="Segoe UI" w:cs="Segoe UI"/>
          <w:color w:val="000000"/>
          <w:lang w:eastAsia="bg-BG"/>
        </w:rPr>
        <w:t>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jc w:val="both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bookmarkStart w:id="1" w:name="bookmark13"/>
      <w:r w:rsidRPr="00E97EF3">
        <w:rPr>
          <w:rFonts w:ascii="Times New Roman" w:eastAsia="Times New Roman" w:hAnsi="Times New Roman" w:cs="Times New Roman"/>
          <w:b/>
          <w:lang w:eastAsia="bg-BG"/>
        </w:rPr>
        <w:t>Продуктова политика</w:t>
      </w:r>
      <w:bookmarkEnd w:id="1"/>
    </w:p>
    <w:p w:rsidR="00E97EF3" w:rsidRPr="00E97EF3" w:rsidRDefault="00E97EF3" w:rsidP="00E97EF3">
      <w:pPr>
        <w:widowControl w:val="0"/>
        <w:numPr>
          <w:ilvl w:val="0"/>
          <w:numId w:val="10"/>
        </w:numPr>
        <w:suppressAutoHyphens/>
        <w:spacing w:after="0" w:line="268" w:lineRule="exact"/>
        <w:ind w:right="72"/>
        <w:rPr>
          <w:rFonts w:ascii="Times New Roman" w:eastAsia="Lucida Sans Unicode" w:hAnsi="Times New Roman" w:cs="Times New Roman"/>
          <w:lang w:val="ru-RU"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Високо качество на произвежданите продукти;</w:t>
      </w:r>
    </w:p>
    <w:p w:rsidR="00E97EF3" w:rsidRPr="00E97EF3" w:rsidRDefault="00E97EF3" w:rsidP="00E97EF3">
      <w:pPr>
        <w:widowControl w:val="0"/>
        <w:numPr>
          <w:ilvl w:val="0"/>
          <w:numId w:val="10"/>
        </w:numPr>
        <w:suppressAutoHyphens/>
        <w:spacing w:after="0" w:line="268" w:lineRule="exact"/>
        <w:ind w:right="1840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Използване на суровини и материали с доказано качество;</w:t>
      </w:r>
    </w:p>
    <w:p w:rsidR="00E97EF3" w:rsidRPr="00E97EF3" w:rsidRDefault="00E97EF3" w:rsidP="00E97EF3">
      <w:pPr>
        <w:widowControl w:val="0"/>
        <w:numPr>
          <w:ilvl w:val="0"/>
          <w:numId w:val="10"/>
        </w:numPr>
        <w:suppressAutoHyphens/>
        <w:spacing w:after="0" w:line="268" w:lineRule="exact"/>
        <w:ind w:right="1840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Осъществяване на кръстосани продажби;</w:t>
      </w:r>
    </w:p>
    <w:p w:rsidR="00E97EF3" w:rsidRPr="00E97EF3" w:rsidRDefault="00E97EF3" w:rsidP="00E97EF3">
      <w:pPr>
        <w:widowControl w:val="0"/>
        <w:numPr>
          <w:ilvl w:val="0"/>
          <w:numId w:val="10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Стриктно спазване сроковете за изпълнение.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jc w:val="both"/>
        <w:outlineLvl w:val="1"/>
        <w:rPr>
          <w:rFonts w:ascii="Times New Roman" w:eastAsia="Times New Roman" w:hAnsi="Times New Roman" w:cs="Times New Roman"/>
          <w:lang w:val="ru-RU" w:eastAsia="bg-BG"/>
        </w:rPr>
      </w:pPr>
      <w:bookmarkStart w:id="2" w:name="bookmark14"/>
      <w:r w:rsidRPr="00E97EF3">
        <w:rPr>
          <w:rFonts w:ascii="Times New Roman" w:eastAsia="Times New Roman" w:hAnsi="Times New Roman" w:cs="Times New Roman"/>
          <w:b/>
          <w:lang w:eastAsia="bg-BG"/>
        </w:rPr>
        <w:t>Пласментна политика</w:t>
      </w:r>
      <w:bookmarkEnd w:id="2"/>
    </w:p>
    <w:p w:rsidR="00E97EF3" w:rsidRPr="00E97EF3" w:rsidRDefault="00E97EF3" w:rsidP="00E97EF3">
      <w:pPr>
        <w:widowControl w:val="0"/>
        <w:numPr>
          <w:ilvl w:val="0"/>
          <w:numId w:val="11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Преки канали за реализация;</w:t>
      </w:r>
    </w:p>
    <w:p w:rsidR="00E97EF3" w:rsidRPr="00E97EF3" w:rsidRDefault="00E97EF3" w:rsidP="00E97EF3">
      <w:pPr>
        <w:widowControl w:val="0"/>
        <w:numPr>
          <w:ilvl w:val="0"/>
          <w:numId w:val="11"/>
        </w:numPr>
        <w:suppressAutoHyphens/>
        <w:spacing w:after="0" w:line="268" w:lineRule="exact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Присъствие на потребителски и индустриален сегмент;</w:t>
      </w:r>
    </w:p>
    <w:p w:rsidR="00E97EF3" w:rsidRPr="00E97EF3" w:rsidRDefault="00E97EF3" w:rsidP="00E97EF3">
      <w:pPr>
        <w:widowControl w:val="0"/>
        <w:numPr>
          <w:ilvl w:val="0"/>
          <w:numId w:val="11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Присъствие на основните пазарни сегменти: търговски.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bookmarkStart w:id="3" w:name="bookmark17"/>
      <w:bookmarkStart w:id="4" w:name="bookmark15"/>
      <w:r w:rsidRPr="00E97EF3">
        <w:rPr>
          <w:rFonts w:ascii="Times New Roman" w:eastAsia="Times New Roman" w:hAnsi="Times New Roman" w:cs="Times New Roman"/>
          <w:b/>
          <w:lang w:eastAsia="bg-BG"/>
        </w:rPr>
        <w:t>Договорна политика</w:t>
      </w:r>
      <w:bookmarkEnd w:id="3"/>
    </w:p>
    <w:p w:rsidR="00E97EF3" w:rsidRPr="00E97EF3" w:rsidRDefault="00E97EF3" w:rsidP="00E97EF3">
      <w:pPr>
        <w:widowControl w:val="0"/>
        <w:numPr>
          <w:ilvl w:val="0"/>
          <w:numId w:val="13"/>
        </w:numPr>
        <w:suppressAutoHyphens/>
        <w:spacing w:after="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Дългосрочно договаряне с клиенти;</w:t>
      </w:r>
    </w:p>
    <w:p w:rsidR="00E97EF3" w:rsidRPr="00E97EF3" w:rsidRDefault="00E97EF3" w:rsidP="00E97EF3">
      <w:pPr>
        <w:widowControl w:val="0"/>
        <w:numPr>
          <w:ilvl w:val="0"/>
          <w:numId w:val="13"/>
        </w:numPr>
        <w:suppressAutoHyphens/>
        <w:spacing w:after="0" w:line="268" w:lineRule="exact"/>
        <w:rPr>
          <w:rFonts w:ascii="Times New Roman" w:eastAsia="Lucida Sans Unicode" w:hAnsi="Times New Roman" w:cs="Times New Roman"/>
          <w:lang w:val="ru-RU"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Дългосрочно договаряне с доставчици;</w:t>
      </w:r>
    </w:p>
    <w:p w:rsidR="00E97EF3" w:rsidRPr="00E97EF3" w:rsidRDefault="00E97EF3" w:rsidP="00E97EF3">
      <w:pPr>
        <w:widowControl w:val="0"/>
        <w:numPr>
          <w:ilvl w:val="0"/>
          <w:numId w:val="13"/>
        </w:numPr>
        <w:suppressAutoHyphens/>
        <w:spacing w:after="0" w:line="268" w:lineRule="exact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Договори със стимули към постоянните клиенти;</w:t>
      </w:r>
    </w:p>
    <w:p w:rsidR="00E97EF3" w:rsidRPr="00E97EF3" w:rsidRDefault="00E97EF3" w:rsidP="00E97EF3">
      <w:pPr>
        <w:widowControl w:val="0"/>
        <w:numPr>
          <w:ilvl w:val="0"/>
          <w:numId w:val="13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Договори, обвързани със защитни клаузи.</w:t>
      </w:r>
    </w:p>
    <w:p w:rsidR="00E97EF3" w:rsidRPr="00E97EF3" w:rsidRDefault="00E97EF3" w:rsidP="00E97EF3">
      <w:pPr>
        <w:keepNext/>
        <w:keepLines/>
        <w:widowControl w:val="0"/>
        <w:spacing w:after="120" w:line="263" w:lineRule="exact"/>
        <w:ind w:firstLine="708"/>
        <w:jc w:val="both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r w:rsidRPr="00E97EF3">
        <w:rPr>
          <w:rFonts w:ascii="Times New Roman" w:eastAsia="Times New Roman" w:hAnsi="Times New Roman" w:cs="Times New Roman"/>
          <w:b/>
          <w:lang w:eastAsia="bg-BG"/>
        </w:rPr>
        <w:t>Ценова политика</w:t>
      </w:r>
      <w:bookmarkEnd w:id="4"/>
    </w:p>
    <w:p w:rsidR="00E97EF3" w:rsidRPr="00E97EF3" w:rsidRDefault="00E97EF3" w:rsidP="00E97EF3">
      <w:pPr>
        <w:widowControl w:val="0"/>
        <w:numPr>
          <w:ilvl w:val="0"/>
          <w:numId w:val="12"/>
        </w:numPr>
        <w:suppressAutoHyphens/>
        <w:spacing w:after="0" w:line="263" w:lineRule="exact"/>
        <w:ind w:left="1423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Следящи конкуренцията цени;</w:t>
      </w:r>
    </w:p>
    <w:p w:rsidR="00E97EF3" w:rsidRPr="00E97EF3" w:rsidRDefault="00E97EF3" w:rsidP="00E97EF3">
      <w:pPr>
        <w:widowControl w:val="0"/>
        <w:numPr>
          <w:ilvl w:val="0"/>
          <w:numId w:val="12"/>
        </w:numPr>
        <w:suppressAutoHyphens/>
        <w:spacing w:after="0" w:line="263" w:lineRule="exact"/>
        <w:ind w:left="1423" w:hanging="357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Използване на "Пазарно-</w:t>
      </w:r>
      <w:proofErr w:type="spellStart"/>
      <w:r w:rsidRPr="00E97EF3">
        <w:rPr>
          <w:rFonts w:ascii="Times New Roman" w:eastAsia="Lucida Sans Unicode" w:hAnsi="Times New Roman" w:cs="Times New Roman"/>
          <w:lang w:eastAsia="bg-BG"/>
        </w:rPr>
        <w:t>ориентиеран</w:t>
      </w:r>
      <w:proofErr w:type="spellEnd"/>
      <w:r w:rsidRPr="00E97EF3">
        <w:rPr>
          <w:rFonts w:ascii="Times New Roman" w:eastAsia="Lucida Sans Unicode" w:hAnsi="Times New Roman" w:cs="Times New Roman"/>
          <w:lang w:eastAsia="bg-BG"/>
        </w:rPr>
        <w:t xml:space="preserve"> метод на ценообразуване";</w:t>
      </w:r>
    </w:p>
    <w:p w:rsidR="00E97EF3" w:rsidRPr="00E97EF3" w:rsidRDefault="00E97EF3" w:rsidP="00E97EF3">
      <w:pPr>
        <w:widowControl w:val="0"/>
        <w:numPr>
          <w:ilvl w:val="0"/>
          <w:numId w:val="12"/>
        </w:numPr>
        <w:suppressAutoHyphens/>
        <w:spacing w:after="0" w:line="263" w:lineRule="exact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Преференциални цени за контрагенти с дългосрочна договореност;</w:t>
      </w:r>
    </w:p>
    <w:p w:rsidR="00E97EF3" w:rsidRPr="00E97EF3" w:rsidRDefault="00E97EF3" w:rsidP="00E97EF3">
      <w:pPr>
        <w:widowControl w:val="0"/>
        <w:numPr>
          <w:ilvl w:val="0"/>
          <w:numId w:val="12"/>
        </w:numPr>
        <w:suppressAutoHyphens/>
        <w:spacing w:after="0" w:line="263" w:lineRule="exact"/>
        <w:jc w:val="both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Система на отстъпки за количества;</w:t>
      </w:r>
    </w:p>
    <w:p w:rsidR="00E97EF3" w:rsidRPr="00E97EF3" w:rsidRDefault="00E97EF3" w:rsidP="00E97EF3">
      <w:pPr>
        <w:widowControl w:val="0"/>
        <w:numPr>
          <w:ilvl w:val="0"/>
          <w:numId w:val="12"/>
        </w:numPr>
        <w:suppressAutoHyphens/>
        <w:spacing w:after="120" w:line="263" w:lineRule="exact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Гъвкавост на разплащанията.</w:t>
      </w:r>
    </w:p>
    <w:p w:rsidR="00E97EF3" w:rsidRPr="00E97EF3" w:rsidRDefault="00E97EF3" w:rsidP="00E97EF3">
      <w:pPr>
        <w:widowControl w:val="0"/>
        <w:spacing w:after="120" w:line="268" w:lineRule="exact"/>
        <w:ind w:firstLine="708"/>
        <w:rPr>
          <w:rFonts w:ascii="Times New Roman" w:eastAsia="Times New Roman" w:hAnsi="Times New Roman" w:cs="Times New Roman"/>
          <w:b/>
          <w:lang w:val="ru-RU" w:eastAsia="bg-BG"/>
        </w:rPr>
      </w:pPr>
      <w:bookmarkStart w:id="5" w:name="bookmark18"/>
      <w:r w:rsidRPr="00E97EF3">
        <w:rPr>
          <w:rFonts w:ascii="Times New Roman" w:eastAsia="Times New Roman" w:hAnsi="Times New Roman" w:cs="Times New Roman"/>
          <w:b/>
          <w:lang w:eastAsia="bg-BG"/>
        </w:rPr>
        <w:t>Кадрова политика</w:t>
      </w:r>
      <w:bookmarkEnd w:id="5"/>
    </w:p>
    <w:p w:rsidR="00E97EF3" w:rsidRPr="00E97EF3" w:rsidRDefault="00E97EF3" w:rsidP="00E97EF3">
      <w:pPr>
        <w:widowControl w:val="0"/>
        <w:numPr>
          <w:ilvl w:val="0"/>
          <w:numId w:val="14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Поддържане на оптимална структура на персонала;</w:t>
      </w:r>
    </w:p>
    <w:p w:rsidR="00E97EF3" w:rsidRPr="00E97EF3" w:rsidRDefault="00E97EF3" w:rsidP="00E97EF3">
      <w:pPr>
        <w:widowControl w:val="0"/>
        <w:numPr>
          <w:ilvl w:val="0"/>
          <w:numId w:val="14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Принцип на съвместяване на длъжности;</w:t>
      </w:r>
    </w:p>
    <w:p w:rsidR="00E97EF3" w:rsidRPr="00E97EF3" w:rsidRDefault="00E97EF3" w:rsidP="00E97EF3">
      <w:pPr>
        <w:widowControl w:val="0"/>
        <w:numPr>
          <w:ilvl w:val="0"/>
          <w:numId w:val="14"/>
        </w:numPr>
        <w:suppressAutoHyphens/>
        <w:spacing w:after="0" w:line="268" w:lineRule="exact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Поддържане на висока квалификация на наетите служители;</w:t>
      </w:r>
    </w:p>
    <w:p w:rsidR="00E97EF3" w:rsidRPr="00E97EF3" w:rsidRDefault="00E97EF3" w:rsidP="00E97EF3">
      <w:pPr>
        <w:widowControl w:val="0"/>
        <w:numPr>
          <w:ilvl w:val="0"/>
          <w:numId w:val="14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Поддържане на коректни отношения с персонала и създаване на персонал, способен да работи за целите на дружеството.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bookmarkStart w:id="6" w:name="bookmark19"/>
      <w:r w:rsidRPr="00E97EF3">
        <w:rPr>
          <w:rFonts w:ascii="Times New Roman" w:eastAsia="Times New Roman" w:hAnsi="Times New Roman" w:cs="Times New Roman"/>
          <w:b/>
          <w:lang w:eastAsia="bg-BG"/>
        </w:rPr>
        <w:t>Социална политика</w:t>
      </w:r>
      <w:bookmarkEnd w:id="6"/>
    </w:p>
    <w:p w:rsidR="00E97EF3" w:rsidRPr="00E97EF3" w:rsidRDefault="00E97EF3" w:rsidP="00E97EF3">
      <w:pPr>
        <w:widowControl w:val="0"/>
        <w:numPr>
          <w:ilvl w:val="0"/>
          <w:numId w:val="15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 xml:space="preserve">Насърчаване на социалния статус на работещите в дружеството; </w:t>
      </w:r>
    </w:p>
    <w:p w:rsidR="00E97EF3" w:rsidRPr="00E97EF3" w:rsidRDefault="00E97EF3" w:rsidP="00E97EF3">
      <w:pPr>
        <w:widowControl w:val="0"/>
        <w:numPr>
          <w:ilvl w:val="0"/>
          <w:numId w:val="15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 xml:space="preserve">Подобряване условията на труд; </w:t>
      </w:r>
    </w:p>
    <w:p w:rsidR="00E97EF3" w:rsidRPr="00E97EF3" w:rsidRDefault="00E97EF3" w:rsidP="00E97EF3">
      <w:pPr>
        <w:widowControl w:val="0"/>
        <w:numPr>
          <w:ilvl w:val="0"/>
          <w:numId w:val="15"/>
        </w:numPr>
        <w:suppressAutoHyphens/>
        <w:spacing w:after="0" w:line="268" w:lineRule="exact"/>
        <w:ind w:left="1423" w:hanging="357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Стимулираща система за производствения персонал;</w:t>
      </w:r>
    </w:p>
    <w:p w:rsidR="00E97EF3" w:rsidRPr="00E97EF3" w:rsidRDefault="00E97EF3" w:rsidP="00E97EF3">
      <w:pPr>
        <w:widowControl w:val="0"/>
        <w:numPr>
          <w:ilvl w:val="0"/>
          <w:numId w:val="15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Фирмени ценности и традиции.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bookmarkStart w:id="7" w:name="bookmark21"/>
      <w:r w:rsidRPr="00E97EF3">
        <w:rPr>
          <w:rFonts w:ascii="Times New Roman" w:eastAsia="Times New Roman" w:hAnsi="Times New Roman" w:cs="Times New Roman"/>
          <w:b/>
          <w:lang w:eastAsia="bg-BG"/>
        </w:rPr>
        <w:t>Екологична политика</w:t>
      </w:r>
      <w:bookmarkEnd w:id="7"/>
    </w:p>
    <w:p w:rsidR="00E97EF3" w:rsidRPr="00E97EF3" w:rsidRDefault="00E97EF3" w:rsidP="00E97EF3">
      <w:pPr>
        <w:widowControl w:val="0"/>
        <w:numPr>
          <w:ilvl w:val="0"/>
          <w:numId w:val="16"/>
        </w:numPr>
        <w:suppressAutoHyphens/>
        <w:spacing w:after="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 xml:space="preserve">Прилагане на мерки за техническо подобрение, осигуряващо съответствие с </w:t>
      </w:r>
      <w:r w:rsidRPr="00E97EF3">
        <w:rPr>
          <w:rFonts w:ascii="Times New Roman" w:eastAsia="Lucida Sans Unicode" w:hAnsi="Times New Roman" w:cs="Times New Roman"/>
          <w:lang w:eastAsia="bg-BG"/>
        </w:rPr>
        <w:lastRenderedPageBreak/>
        <w:t>екологичното законодателство;</w:t>
      </w:r>
    </w:p>
    <w:p w:rsidR="00E97EF3" w:rsidRPr="00E97EF3" w:rsidRDefault="00E97EF3" w:rsidP="00E97EF3">
      <w:pPr>
        <w:widowControl w:val="0"/>
        <w:numPr>
          <w:ilvl w:val="0"/>
          <w:numId w:val="16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Предотвратяване и намаляване на риска за човешкото здраве чрез създаване на безопасни условия на труд.</w:t>
      </w:r>
    </w:p>
    <w:p w:rsidR="00E97EF3" w:rsidRPr="00E97EF3" w:rsidRDefault="00E97EF3" w:rsidP="00E97EF3">
      <w:pPr>
        <w:keepNext/>
        <w:keepLines/>
        <w:widowControl w:val="0"/>
        <w:spacing w:after="120" w:line="268" w:lineRule="exact"/>
        <w:ind w:firstLine="708"/>
        <w:outlineLvl w:val="1"/>
        <w:rPr>
          <w:rFonts w:ascii="Times New Roman" w:eastAsia="Times New Roman" w:hAnsi="Times New Roman" w:cs="Times New Roman"/>
          <w:b/>
          <w:lang w:val="ru-RU" w:eastAsia="bg-BG"/>
        </w:rPr>
      </w:pPr>
      <w:bookmarkStart w:id="8" w:name="bookmark22"/>
      <w:r w:rsidRPr="00E97EF3">
        <w:rPr>
          <w:rFonts w:ascii="Times New Roman" w:eastAsia="Times New Roman" w:hAnsi="Times New Roman" w:cs="Times New Roman"/>
          <w:b/>
          <w:lang w:eastAsia="bg-BG"/>
        </w:rPr>
        <w:t>Инвестиционна политика</w:t>
      </w:r>
      <w:bookmarkEnd w:id="8"/>
    </w:p>
    <w:p w:rsidR="00E97EF3" w:rsidRPr="00E97EF3" w:rsidRDefault="00E97EF3" w:rsidP="00E97EF3">
      <w:pPr>
        <w:widowControl w:val="0"/>
        <w:numPr>
          <w:ilvl w:val="0"/>
          <w:numId w:val="17"/>
        </w:numPr>
        <w:suppressAutoHyphens/>
        <w:spacing w:after="0" w:line="268" w:lineRule="exact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Стратегически хоризонт на инвестициите;</w:t>
      </w:r>
    </w:p>
    <w:p w:rsidR="00E97EF3" w:rsidRPr="00E97EF3" w:rsidRDefault="00E97EF3" w:rsidP="00E97EF3">
      <w:pPr>
        <w:widowControl w:val="0"/>
        <w:numPr>
          <w:ilvl w:val="0"/>
          <w:numId w:val="17"/>
        </w:numPr>
        <w:suppressAutoHyphens/>
        <w:spacing w:after="120" w:line="268" w:lineRule="exact"/>
        <w:rPr>
          <w:rFonts w:ascii="Times New Roman" w:eastAsia="Lucida Sans Unicode" w:hAnsi="Times New Roman" w:cs="Times New Roman"/>
          <w:lang w:eastAsia="bg-BG"/>
        </w:rPr>
      </w:pPr>
      <w:r w:rsidRPr="00E97EF3">
        <w:rPr>
          <w:rFonts w:ascii="Times New Roman" w:eastAsia="Lucida Sans Unicode" w:hAnsi="Times New Roman" w:cs="Times New Roman"/>
          <w:lang w:eastAsia="bg-BG"/>
        </w:rPr>
        <w:t>Модернизиране и степен на обновяване на материалната база.</w:t>
      </w:r>
    </w:p>
    <w:p w:rsidR="00E97EF3" w:rsidRPr="00E97EF3" w:rsidRDefault="00E97EF3" w:rsidP="00E97EF3">
      <w:pPr>
        <w:widowControl w:val="0"/>
        <w:suppressAutoHyphens/>
        <w:spacing w:after="240" w:line="240" w:lineRule="auto"/>
        <w:ind w:firstLine="709"/>
        <w:jc w:val="both"/>
        <w:rPr>
          <w:rFonts w:ascii="Times New Roman" w:eastAsia="Lucida Sans Unicode" w:hAnsi="Times New Roman" w:cs="Times New Roman"/>
          <w:kern w:val="1"/>
        </w:rPr>
      </w:pPr>
      <w:r w:rsidRPr="00E97EF3">
        <w:rPr>
          <w:rFonts w:ascii="Times New Roman" w:eastAsia="Lucida Sans Unicode" w:hAnsi="Times New Roman" w:cs="Times New Roman"/>
          <w:kern w:val="1"/>
        </w:rPr>
        <w:t xml:space="preserve">При очертаване на перспективите и насоките в бъдещото развитие на дружеството във всички случаи ръководството ще следва политики и процедури, които са в унисон с въведените в страната мерки и ограничения във връзка с пандемията от </w:t>
      </w:r>
      <w:r w:rsidRPr="00E97EF3">
        <w:rPr>
          <w:rFonts w:ascii="Times New Roman" w:eastAsia="Lucida Sans Unicode" w:hAnsi="Times New Roman" w:cs="Times New Roman"/>
          <w:kern w:val="1"/>
          <w:lang w:val="en-US"/>
        </w:rPr>
        <w:t xml:space="preserve">COVID-19 </w:t>
      </w:r>
      <w:r w:rsidRPr="00E97EF3">
        <w:rPr>
          <w:rFonts w:ascii="Times New Roman" w:eastAsia="Lucida Sans Unicode" w:hAnsi="Times New Roman" w:cs="Times New Roman"/>
          <w:kern w:val="1"/>
        </w:rPr>
        <w:t xml:space="preserve">като проявява гъвкавост и преоценка на управленските стратегии, инвестиционната програма, фирмените политики, в т.ч. политиките, свързани с персонала с оглед оптимизация на разходите, непрекъсваемост на процесите, стабилитет на приходите, обслужване на задълженията и контрол върху ликвидността. В тази връзка ръководството на дружеството счита, че на този етап няма индикации за значително повлияване на принципа-предположение за действащо предприятие в резултат на пандемията от </w:t>
      </w:r>
      <w:r w:rsidRPr="00E97EF3">
        <w:rPr>
          <w:rFonts w:ascii="Times New Roman" w:eastAsia="Lucida Sans Unicode" w:hAnsi="Times New Roman" w:cs="Times New Roman"/>
          <w:kern w:val="1"/>
          <w:lang w:val="en-US"/>
        </w:rPr>
        <w:t>COVID-19</w:t>
      </w:r>
      <w:r w:rsidRPr="00E97EF3">
        <w:rPr>
          <w:rFonts w:ascii="Times New Roman" w:eastAsia="Lucida Sans Unicode" w:hAnsi="Times New Roman" w:cs="Times New Roman"/>
          <w:kern w:val="1"/>
        </w:rPr>
        <w:t xml:space="preserve">. </w:t>
      </w:r>
    </w:p>
    <w:p w:rsidR="00E97EF3" w:rsidRP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bg-BG"/>
        </w:rPr>
      </w:pPr>
      <w:r w:rsidRPr="00E97EF3">
        <w:rPr>
          <w:rFonts w:ascii="Courier New" w:eastAsia="Times New Roman" w:hAnsi="Courier New" w:cs="Courier New"/>
          <w:b/>
          <w:sz w:val="20"/>
          <w:szCs w:val="20"/>
          <w:lang w:eastAsia="bg-BG"/>
        </w:rPr>
        <w:t>В ОПОВЕСТЯВАНИЯТА</w:t>
      </w: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Pr="00E97EF3" w:rsidRDefault="00E97EF3" w:rsidP="00E97EF3">
      <w:pPr>
        <w:keepNext/>
        <w:spacing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val="ru-RU"/>
        </w:rPr>
      </w:pPr>
      <w:bookmarkStart w:id="9" w:name="_Toc247814661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>4.1.</w:t>
      </w:r>
      <w:r w:rsidRPr="00E97EF3"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>Събития</w:t>
      </w:r>
      <w:proofErr w:type="spellEnd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 xml:space="preserve">, </w:t>
      </w:r>
      <w:proofErr w:type="spellStart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>настъпили</w:t>
      </w:r>
      <w:proofErr w:type="spellEnd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 xml:space="preserve"> след </w:t>
      </w:r>
      <w:proofErr w:type="spellStart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>датата</w:t>
      </w:r>
      <w:proofErr w:type="spellEnd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 xml:space="preserve"> на </w:t>
      </w:r>
      <w:proofErr w:type="spellStart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>годишния</w:t>
      </w:r>
      <w:bookmarkEnd w:id="9"/>
      <w:proofErr w:type="spellEnd"/>
      <w:r w:rsidRPr="00E97EF3">
        <w:rPr>
          <w:rFonts w:ascii="Times New Roman" w:eastAsia="Times New Roman" w:hAnsi="Times New Roman" w:cs="Times New Roman"/>
          <w:b/>
          <w:bCs/>
          <w:iCs/>
          <w:lang w:val="ru-RU"/>
        </w:rPr>
        <w:t xml:space="preserve"> финансов отчет</w:t>
      </w:r>
    </w:p>
    <w:p w:rsidR="00E97EF3" w:rsidRPr="00E97EF3" w:rsidRDefault="00E97EF3" w:rsidP="00E97E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Times New Roman" w:hAnsi="Times New Roman" w:cs="Times New Roman"/>
        </w:rPr>
        <w:t xml:space="preserve">Между датата на годишния финансов отчет и датата на одобрението му за публикуване не са възникнали коригиращи и </w:t>
      </w:r>
      <w:proofErr w:type="spellStart"/>
      <w:r w:rsidRPr="00E97EF3">
        <w:rPr>
          <w:rFonts w:ascii="Times New Roman" w:eastAsia="Times New Roman" w:hAnsi="Times New Roman" w:cs="Times New Roman"/>
        </w:rPr>
        <w:t>некоригиращи</w:t>
      </w:r>
      <w:proofErr w:type="spellEnd"/>
      <w:r w:rsidRPr="00E97EF3">
        <w:rPr>
          <w:rFonts w:ascii="Times New Roman" w:eastAsia="Times New Roman" w:hAnsi="Times New Roman" w:cs="Times New Roman"/>
        </w:rPr>
        <w:t xml:space="preserve"> събития, от които да възникнат специални оповестявания съгласно изискванията на Счетоводен стандарт 10, 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с изключение на извънредното положение, въведено в страната във връзка с пандемията от новия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коронавирус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E97EF3">
        <w:rPr>
          <w:rFonts w:ascii="Times New Roman" w:eastAsia="Times New Roman" w:hAnsi="Times New Roman" w:cs="Times New Roman"/>
          <w:lang w:val="en-US" w:eastAsia="bg-BG"/>
        </w:rPr>
        <w:t>(</w:t>
      </w:r>
      <w:r w:rsidRPr="00E97EF3">
        <w:rPr>
          <w:rFonts w:ascii="Times New Roman" w:eastAsia="Times New Roman" w:hAnsi="Times New Roman" w:cs="Times New Roman"/>
          <w:lang w:val="en-US"/>
        </w:rPr>
        <w:t>COVID-19</w:t>
      </w:r>
      <w:r w:rsidRPr="00E97EF3">
        <w:rPr>
          <w:rFonts w:ascii="Times New Roman" w:eastAsia="Times New Roman" w:hAnsi="Times New Roman" w:cs="Times New Roman"/>
          <w:lang w:val="en-US" w:eastAsia="bg-BG"/>
        </w:rPr>
        <w:t>)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, което представлява съществено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некоригиращо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събитие по смисъла на СС 10 - </w:t>
      </w:r>
      <w:r w:rsidRPr="00E97EF3">
        <w:rPr>
          <w:rFonts w:ascii="Times New Roman" w:eastAsia="Calibri" w:hAnsi="Times New Roman" w:cs="Times New Roman"/>
        </w:rPr>
        <w:t>Събития, настъпили след датата на годишния финансов отчет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.  </w:t>
      </w:r>
    </w:p>
    <w:p w:rsidR="00E97EF3" w:rsidRPr="00E97EF3" w:rsidRDefault="00E97EF3" w:rsidP="00E97E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Times New Roman" w:hAnsi="Times New Roman" w:cs="Times New Roman"/>
          <w:lang w:eastAsia="bg-BG"/>
        </w:rPr>
        <w:t xml:space="preserve">В началото на март 2020 г. в страната се проявява пандемия от инфекциозно заболяване, причинено  от  </w:t>
      </w:r>
      <w:r w:rsidRPr="00E97EF3">
        <w:rPr>
          <w:rFonts w:ascii="Times New Roman" w:eastAsia="Times New Roman" w:hAnsi="Times New Roman" w:cs="Times New Roman"/>
          <w:lang w:val="en-US"/>
        </w:rPr>
        <w:t>COVID-19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. Епидемията от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коронавируса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стартира от Китай в края на 2019 година и бързо се разпространи из целия свят. На 11 март Световната здравна организация обяви наличието на пандемия от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коронавирус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>. На 13 март с Решение на Народното събрание е обявено извънредно положение, а на 24 март влиза в сила  Закон за  мерките и действията по време на извънредното положение.  С последния закон се въвеждат редица извънредни мерки, касаещи бизнеса като удължаване и прекъсване на административни срокове; удължаване срока за действие на административни актове; спиране на процесуални срокове и на сроковете за погасителна давност; промени в трудовото  законодателство, отнасящи  се до нови режими на работно време; преустановяване на работата и ползване на отпуски и други. Очакват се и други законодателни промени с цел смекчаване ефектите от влиянието на пандемията и нормализиране на социално- икономическата обстановка.</w:t>
      </w:r>
    </w:p>
    <w:p w:rsidR="00E97EF3" w:rsidRPr="00E97EF3" w:rsidRDefault="00E97EF3" w:rsidP="00E97E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bg-BG"/>
        </w:rPr>
      </w:pPr>
      <w:r w:rsidRPr="00E97EF3">
        <w:rPr>
          <w:rFonts w:ascii="Times New Roman" w:eastAsia="Times New Roman" w:hAnsi="Times New Roman" w:cs="Times New Roman"/>
          <w:lang w:eastAsia="bg-BG"/>
        </w:rPr>
        <w:t xml:space="preserve"> Поради разпространение на </w:t>
      </w:r>
      <w:r w:rsidRPr="00E97EF3">
        <w:rPr>
          <w:rFonts w:ascii="Times New Roman" w:eastAsia="Times New Roman" w:hAnsi="Times New Roman" w:cs="Times New Roman"/>
          <w:lang w:val="en-US"/>
        </w:rPr>
        <w:t>COVID-19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, в световен мащаб се появиха затруднения в бизнеса и икономическата дейност на редица предприятия и цели отрасли. Пандемията предизвика чувствително намаляване на икономическата активност и в нашата страна и породи значителна неизвестност за тренда на процесите в макроикономиката през 2020 година и след това.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Наложени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строги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противоепидемични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мерки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и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ограничения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които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водят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до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нарушаване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нормалната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икономическа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дейност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почти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всички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стопански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субекти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в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страната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. </w:t>
      </w:r>
      <w:r w:rsidRPr="00E97EF3">
        <w:rPr>
          <w:rFonts w:ascii="Times New Roman" w:eastAsia="Times New Roman" w:hAnsi="Times New Roman" w:cs="Times New Roman"/>
          <w:lang w:eastAsia="bg-BG"/>
        </w:rPr>
        <w:t>В тази връзка ръководството на дружеството предприе спешни мерки и действия</w:t>
      </w:r>
      <w:r w:rsidRPr="00E97EF3">
        <w:rPr>
          <w:rFonts w:ascii="Times New Roman" w:eastAsia="Times New Roman" w:hAnsi="Times New Roman" w:cs="Times New Roman"/>
        </w:rPr>
        <w:t xml:space="preserve"> за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идентифициран</w:t>
      </w:r>
      <w:proofErr w:type="spellEnd"/>
      <w:r w:rsidRPr="00E97EF3">
        <w:rPr>
          <w:rFonts w:ascii="Times New Roman" w:eastAsia="Times New Roman" w:hAnsi="Times New Roman" w:cs="Times New Roman"/>
        </w:rPr>
        <w:t>е на</w:t>
      </w:r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евентуални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рискове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и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несигурности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, </w:t>
      </w:r>
      <w:r w:rsidRPr="00E97EF3">
        <w:rPr>
          <w:rFonts w:ascii="Times New Roman" w:eastAsia="Times New Roman" w:hAnsi="Times New Roman" w:cs="Times New Roman"/>
        </w:rPr>
        <w:t xml:space="preserve">наличие на неблагоприятни последствия и евентуална оценка на потенциалния им ефект върху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бизнеса</w:t>
      </w:r>
      <w:proofErr w:type="spellEnd"/>
      <w:r w:rsidRPr="00E97EF3">
        <w:rPr>
          <w:rFonts w:ascii="Times New Roman" w:eastAsia="Times New Roman" w:hAnsi="Times New Roman" w:cs="Times New Roman"/>
        </w:rPr>
        <w:t xml:space="preserve"> и бъдещото развитие на дружеството. За целта ръководството насочи своите усилия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 към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широкообхватен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преглед и анализ на дейността, в т.ч. финансов анализ на икономическите показатели и параметри, на възможностите за обезпечаване изпълнението на договорите, в т.ч. анализ на ресурсната обезпеченост, възможностите за обслужване на заемите и изпълняване на условията по тях; оценка на поетите ангажименти; оценка на рисковете, в т.ч. кредитен риск, ликвиден риск, риска на паричния поток, както и р</w:t>
      </w:r>
      <w:proofErr w:type="spellStart"/>
      <w:r w:rsidRPr="00E97EF3">
        <w:rPr>
          <w:rFonts w:ascii="Times New Roman" w:eastAsia="Times New Roman" w:hAnsi="Times New Roman" w:cs="Times New Roman"/>
          <w:szCs w:val="20"/>
          <w:lang w:val="en-US"/>
        </w:rPr>
        <w:t>искове</w:t>
      </w:r>
      <w:proofErr w:type="spellEnd"/>
      <w:r w:rsidRPr="00E97EF3">
        <w:rPr>
          <w:rFonts w:ascii="Times New Roman" w:eastAsia="Times New Roman" w:hAnsi="Times New Roman" w:cs="Times New Roman"/>
          <w:szCs w:val="20"/>
        </w:rPr>
        <w:t>те</w:t>
      </w:r>
      <w:r w:rsidRPr="00E97EF3">
        <w:rPr>
          <w:rFonts w:ascii="Times New Roman" w:eastAsia="Times New Roman" w:hAnsi="Times New Roman" w:cs="Times New Roman"/>
          <w:szCs w:val="20"/>
          <w:lang w:val="en-US"/>
        </w:rPr>
        <w:t xml:space="preserve">, </w:t>
      </w:r>
      <w:proofErr w:type="spellStart"/>
      <w:r w:rsidRPr="00E97EF3">
        <w:rPr>
          <w:rFonts w:ascii="Times New Roman" w:eastAsia="Times New Roman" w:hAnsi="Times New Roman" w:cs="Times New Roman"/>
          <w:szCs w:val="20"/>
          <w:lang w:val="en-US"/>
        </w:rPr>
        <w:t>свързани</w:t>
      </w:r>
      <w:proofErr w:type="spellEnd"/>
      <w:r w:rsidRPr="00E97EF3">
        <w:rPr>
          <w:rFonts w:ascii="Times New Roman" w:eastAsia="Times New Roman" w:hAnsi="Times New Roman" w:cs="Times New Roman"/>
          <w:szCs w:val="20"/>
          <w:lang w:val="en-US"/>
        </w:rPr>
        <w:t xml:space="preserve"> с </w:t>
      </w:r>
      <w:proofErr w:type="spellStart"/>
      <w:r w:rsidRPr="00E97EF3">
        <w:rPr>
          <w:rFonts w:ascii="Times New Roman" w:eastAsia="Times New Roman" w:hAnsi="Times New Roman" w:cs="Times New Roman"/>
          <w:szCs w:val="20"/>
          <w:lang w:val="en-US"/>
        </w:rPr>
        <w:t>продуктите</w:t>
      </w:r>
      <w:proofErr w:type="spellEnd"/>
      <w:r w:rsidRPr="00E97EF3">
        <w:rPr>
          <w:rFonts w:ascii="Times New Roman" w:eastAsia="Times New Roman" w:hAnsi="Times New Roman" w:cs="Times New Roman"/>
          <w:szCs w:val="20"/>
          <w:lang w:val="en-US"/>
        </w:rPr>
        <w:t xml:space="preserve"> и </w:t>
      </w:r>
      <w:proofErr w:type="spellStart"/>
      <w:r w:rsidRPr="00E97EF3">
        <w:rPr>
          <w:rFonts w:ascii="Times New Roman" w:eastAsia="Times New Roman" w:hAnsi="Times New Roman" w:cs="Times New Roman"/>
          <w:szCs w:val="20"/>
          <w:lang w:val="en-US"/>
        </w:rPr>
        <w:t>пазарите</w:t>
      </w:r>
      <w:proofErr w:type="spellEnd"/>
      <w:r w:rsidRPr="00E97EF3">
        <w:rPr>
          <w:rFonts w:ascii="Times New Roman" w:eastAsia="Times New Roman" w:hAnsi="Times New Roman" w:cs="Times New Roman"/>
          <w:szCs w:val="20"/>
        </w:rPr>
        <w:t>;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 преразглеждане на следваните политики, свързани с бизнес стратегията и тактиката на управленско поведение, договорните политики с клиенти и </w:t>
      </w:r>
      <w:r w:rsidRPr="00E97EF3">
        <w:rPr>
          <w:rFonts w:ascii="Times New Roman" w:eastAsia="Times New Roman" w:hAnsi="Times New Roman" w:cs="Times New Roman"/>
          <w:lang w:eastAsia="bg-BG"/>
        </w:rPr>
        <w:lastRenderedPageBreak/>
        <w:t xml:space="preserve">доставчици, инвестиционните политики, политиките, свързани с персонала с оглед набелязване на конкретни стъпки и действия за справяне с извънредната ситуация в условията на съблюдаване и спазване на въведените мерки и ограничения. </w:t>
      </w:r>
    </w:p>
    <w:p w:rsidR="00E97EF3" w:rsidRPr="00E97EF3" w:rsidRDefault="00E97EF3" w:rsidP="00E97EF3">
      <w:pPr>
        <w:spacing w:after="12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lang w:eastAsia="bg-BG"/>
        </w:rPr>
      </w:pPr>
      <w:proofErr w:type="spellStart"/>
      <w:proofErr w:type="gramStart"/>
      <w:r w:rsidRPr="00E97EF3">
        <w:rPr>
          <w:rFonts w:ascii="Times New Roman" w:eastAsia="Times New Roman" w:hAnsi="Times New Roman" w:cs="Times New Roman"/>
          <w:lang w:val="en-US"/>
        </w:rPr>
        <w:t>Поради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непредсказуемата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динамика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COVID-19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 и динамичните мерки, предприемани от държавните власти</w:t>
      </w:r>
      <w:r w:rsidRPr="00E97EF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обхватът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и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ефектите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върху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бизнеса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е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сложно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и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практически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невъзможно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да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бъдат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оценени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с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точност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този</w:t>
      </w:r>
      <w:proofErr w:type="spellEnd"/>
      <w:r w:rsidRPr="00E97E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E97EF3">
        <w:rPr>
          <w:rFonts w:ascii="Times New Roman" w:eastAsia="Times New Roman" w:hAnsi="Times New Roman" w:cs="Times New Roman"/>
          <w:lang w:val="en-US"/>
        </w:rPr>
        <w:t>етап</w:t>
      </w:r>
      <w:proofErr w:type="spellEnd"/>
      <w:r w:rsidRPr="00E97EF3">
        <w:rPr>
          <w:rFonts w:ascii="Times New Roman" w:eastAsia="Times New Roman" w:hAnsi="Times New Roman" w:cs="Times New Roman"/>
        </w:rPr>
        <w:t>, в резултат на което р</w:t>
      </w:r>
      <w:r w:rsidRPr="00E97EF3">
        <w:rPr>
          <w:rFonts w:ascii="Times New Roman" w:eastAsia="Times New Roman" w:hAnsi="Times New Roman" w:cs="Times New Roman"/>
          <w:lang w:eastAsia="bg-BG"/>
        </w:rPr>
        <w:t xml:space="preserve">ъководството на дружеството не е в състояние да направи количествена и качествена оценка на потенциалното влияние на </w:t>
      </w:r>
      <w:proofErr w:type="spellStart"/>
      <w:r w:rsidRPr="00E97EF3">
        <w:rPr>
          <w:rFonts w:ascii="Times New Roman" w:eastAsia="Times New Roman" w:hAnsi="Times New Roman" w:cs="Times New Roman"/>
          <w:lang w:eastAsia="bg-BG"/>
        </w:rPr>
        <w:t>коронавирусната</w:t>
      </w:r>
      <w:proofErr w:type="spellEnd"/>
      <w:r w:rsidRPr="00E97EF3">
        <w:rPr>
          <w:rFonts w:ascii="Times New Roman" w:eastAsia="Times New Roman" w:hAnsi="Times New Roman" w:cs="Times New Roman"/>
          <w:lang w:eastAsia="bg-BG"/>
        </w:rPr>
        <w:t xml:space="preserve"> пандемия върху бъдещото финансово състояние и резултатите от дейността му. </w:t>
      </w:r>
      <w:proofErr w:type="gramEnd"/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21DD2" w:rsidRPr="00E21DD2" w:rsidRDefault="00E21DD2" w:rsidP="00E21DD2">
      <w:pPr>
        <w:numPr>
          <w:ilvl w:val="1"/>
          <w:numId w:val="18"/>
        </w:numPr>
        <w:tabs>
          <w:tab w:val="left" w:pos="0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szCs w:val="20"/>
        </w:rPr>
      </w:pPr>
      <w:r w:rsidRPr="00E21DD2">
        <w:rPr>
          <w:rFonts w:ascii="Times New Roman" w:eastAsia="Times New Roman" w:hAnsi="Times New Roman" w:cs="Times New Roman"/>
          <w:b/>
          <w:szCs w:val="20"/>
        </w:rPr>
        <w:t>Действащо предприятие</w:t>
      </w:r>
    </w:p>
    <w:p w:rsidR="00E21DD2" w:rsidRPr="00E21DD2" w:rsidRDefault="00E21DD2" w:rsidP="00E21DD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bg-BG"/>
        </w:rPr>
      </w:pPr>
      <w:r w:rsidRPr="00E21DD2">
        <w:rPr>
          <w:rFonts w:ascii="Times New Roman" w:eastAsia="Times New Roman" w:hAnsi="Times New Roman" w:cs="Times New Roman"/>
        </w:rPr>
        <w:t xml:space="preserve">Ръководството на </w:t>
      </w:r>
      <w:r w:rsidRPr="00E21DD2">
        <w:rPr>
          <w:rFonts w:ascii="Times New Roman" w:eastAsia="Times New Roman" w:hAnsi="Times New Roman" w:cs="Times New Roman"/>
          <w:lang w:eastAsia="bg-BG"/>
        </w:rPr>
        <w:t>дружеството е извършило оценка на приложимостта на принципа-предположение за действащо предприятие, като фундаментален принцип при изготвянето на финансовия отчет. Тази оценка обхваща периода до 31.12.2019 г. и поне 12 месеца занапред. На базата на тази оценка р</w:t>
      </w:r>
      <w:r w:rsidRPr="00E21DD2">
        <w:rPr>
          <w:rFonts w:ascii="Times New Roman" w:eastAsia="Times New Roman" w:hAnsi="Times New Roman" w:cs="Times New Roman"/>
        </w:rPr>
        <w:t>ъководството на дружеството счита, че</w:t>
      </w:r>
      <w:r w:rsidRPr="00E21DD2">
        <w:rPr>
          <w:rFonts w:ascii="Times New Roman" w:eastAsia="Times New Roman" w:hAnsi="Times New Roman" w:cs="Times New Roman"/>
          <w:lang w:eastAsia="bg-BG"/>
        </w:rPr>
        <w:t xml:space="preserve"> не са налице фактори и/или събития, които да показват съмнения относно прилагането на този принцип като база за изготвяне на финансовия отчет. </w:t>
      </w:r>
    </w:p>
    <w:p w:rsidR="00E21DD2" w:rsidRPr="00E21DD2" w:rsidRDefault="00E21DD2" w:rsidP="00E21D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bg-BG"/>
        </w:rPr>
      </w:pPr>
      <w:r w:rsidRPr="00E21DD2">
        <w:rPr>
          <w:rFonts w:ascii="Times New Roman" w:eastAsia="Times New Roman" w:hAnsi="Times New Roman" w:cs="Times New Roman"/>
          <w:lang w:eastAsia="bg-BG"/>
        </w:rPr>
        <w:t xml:space="preserve">Ръководството на </w:t>
      </w:r>
      <w:r w:rsidRPr="00E21DD2">
        <w:rPr>
          <w:rFonts w:ascii="Times New Roman" w:eastAsia="Times New Roman" w:hAnsi="Times New Roman" w:cs="Times New Roman"/>
        </w:rPr>
        <w:t xml:space="preserve">дружеството </w:t>
      </w:r>
      <w:r w:rsidRPr="00E21DD2">
        <w:rPr>
          <w:rFonts w:ascii="Times New Roman" w:eastAsia="Times New Roman" w:hAnsi="Times New Roman" w:cs="Times New Roman"/>
          <w:lang w:eastAsia="bg-BG"/>
        </w:rPr>
        <w:t xml:space="preserve">счита, че на този етап няма индикации за значително повлияване на принципа –предположение за действащо предприятие в резултат на пандемията от </w:t>
      </w:r>
      <w:r w:rsidRPr="00E21DD2">
        <w:rPr>
          <w:rFonts w:ascii="Times New Roman" w:eastAsia="Times New Roman" w:hAnsi="Times New Roman" w:cs="Times New Roman"/>
          <w:lang w:val="en-US"/>
        </w:rPr>
        <w:t>COVID-19</w:t>
      </w:r>
      <w:r w:rsidRPr="00E21DD2">
        <w:rPr>
          <w:rFonts w:ascii="Times New Roman" w:eastAsia="Times New Roman" w:hAnsi="Times New Roman" w:cs="Times New Roman"/>
          <w:lang w:eastAsia="bg-BG"/>
        </w:rPr>
        <w:t>.</w:t>
      </w:r>
    </w:p>
    <w:p w:rsidR="00E21DD2" w:rsidRPr="00E21DD2" w:rsidRDefault="00E21DD2" w:rsidP="00E21D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21DD2">
        <w:rPr>
          <w:rFonts w:ascii="Times New Roman" w:eastAsia="Times New Roman" w:hAnsi="Times New Roman" w:cs="Times New Roman"/>
        </w:rPr>
        <w:t>Ръководството счита, че дружеството е действащо предприятие и ще остане такова, няма планове и намерения за преустановяване на дейността</w:t>
      </w:r>
      <w:r w:rsidRPr="00E21DD2">
        <w:rPr>
          <w:rFonts w:ascii="Times New Roman" w:eastAsia="Times New Roman" w:hAnsi="Times New Roman" w:cs="Times New Roman"/>
          <w:lang w:val="ru-RU"/>
        </w:rPr>
        <w:t xml:space="preserve"> в предвидимо </w:t>
      </w:r>
      <w:proofErr w:type="spellStart"/>
      <w:r w:rsidRPr="00E21DD2">
        <w:rPr>
          <w:rFonts w:ascii="Times New Roman" w:eastAsia="Times New Roman" w:hAnsi="Times New Roman" w:cs="Times New Roman"/>
          <w:lang w:val="ru-RU"/>
        </w:rPr>
        <w:t>бъдеще</w:t>
      </w:r>
      <w:proofErr w:type="spellEnd"/>
      <w:r w:rsidRPr="00E21DD2">
        <w:rPr>
          <w:rFonts w:ascii="Times New Roman" w:eastAsia="Times New Roman" w:hAnsi="Times New Roman" w:cs="Times New Roman"/>
        </w:rPr>
        <w:t>.</w:t>
      </w: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97EF3" w:rsidRPr="00B22C2D" w:rsidRDefault="00E97EF3" w:rsidP="0032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bookmarkStart w:id="10" w:name="_GoBack"/>
      <w:bookmarkEnd w:id="10"/>
    </w:p>
    <w:sectPr w:rsidR="00E97EF3" w:rsidRPr="00B22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E93"/>
    <w:multiLevelType w:val="hybridMultilevel"/>
    <w:tmpl w:val="DC8ED9B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90F2E"/>
    <w:multiLevelType w:val="hybridMultilevel"/>
    <w:tmpl w:val="2D14C68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266D19"/>
    <w:multiLevelType w:val="hybridMultilevel"/>
    <w:tmpl w:val="2D127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464D"/>
    <w:multiLevelType w:val="hybridMultilevel"/>
    <w:tmpl w:val="6280497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3D458D"/>
    <w:multiLevelType w:val="hybridMultilevel"/>
    <w:tmpl w:val="06D8007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A7831"/>
    <w:multiLevelType w:val="hybridMultilevel"/>
    <w:tmpl w:val="6DEC62F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1A3C90"/>
    <w:multiLevelType w:val="hybridMultilevel"/>
    <w:tmpl w:val="31FE315C"/>
    <w:lvl w:ilvl="0" w:tplc="0402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4C53235"/>
    <w:multiLevelType w:val="hybridMultilevel"/>
    <w:tmpl w:val="C0B43C9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2627E3"/>
    <w:multiLevelType w:val="hybridMultilevel"/>
    <w:tmpl w:val="CE484946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B43025"/>
    <w:multiLevelType w:val="hybridMultilevel"/>
    <w:tmpl w:val="825A15D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643AF4"/>
    <w:multiLevelType w:val="hybridMultilevel"/>
    <w:tmpl w:val="B348822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E32CE5"/>
    <w:multiLevelType w:val="hybridMultilevel"/>
    <w:tmpl w:val="115A1680"/>
    <w:lvl w:ilvl="0" w:tplc="0402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418312EB"/>
    <w:multiLevelType w:val="hybridMultilevel"/>
    <w:tmpl w:val="8B3632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55256"/>
    <w:multiLevelType w:val="hybridMultilevel"/>
    <w:tmpl w:val="0C660B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CB0746"/>
    <w:multiLevelType w:val="hybridMultilevel"/>
    <w:tmpl w:val="7B1A03A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5653CA"/>
    <w:multiLevelType w:val="hybridMultilevel"/>
    <w:tmpl w:val="5718A02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2BB5"/>
    <w:multiLevelType w:val="hybridMultilevel"/>
    <w:tmpl w:val="D0E0C960"/>
    <w:lvl w:ilvl="0" w:tplc="C2E0AA1E">
      <w:start w:val="1"/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FD1C9F"/>
    <w:multiLevelType w:val="multilevel"/>
    <w:tmpl w:val="57B662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2"/>
  </w:num>
  <w:num w:numId="5">
    <w:abstractNumId w:val="8"/>
  </w:num>
  <w:num w:numId="6">
    <w:abstractNumId w:val="11"/>
  </w:num>
  <w:num w:numId="7">
    <w:abstractNumId w:val="6"/>
  </w:num>
  <w:num w:numId="8">
    <w:abstractNumId w:val="1"/>
  </w:num>
  <w:num w:numId="9">
    <w:abstractNumId w:val="14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7"/>
  </w:num>
  <w:num w:numId="15">
    <w:abstractNumId w:val="5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7D"/>
    <w:rsid w:val="00321BAF"/>
    <w:rsid w:val="00696FF0"/>
    <w:rsid w:val="008A477D"/>
    <w:rsid w:val="009150CA"/>
    <w:rsid w:val="00B22C2D"/>
    <w:rsid w:val="00CA5BCF"/>
    <w:rsid w:val="00E21DD2"/>
    <w:rsid w:val="00E97EF3"/>
    <w:rsid w:val="00F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EAEA20-F452-41E7-AE70-519641E4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50CA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DefaultParagraphFont"/>
    <w:rsid w:val="009150CA"/>
    <w:rPr>
      <w:rFonts w:ascii="TimesNewRomanPS-BoldMT" w:hAnsi="TimesNewRomanPS-BoldMT" w:hint="default"/>
      <w:b/>
      <w:bCs/>
      <w:i w:val="0"/>
      <w:iCs w:val="0"/>
      <w:color w:val="333333"/>
      <w:sz w:val="24"/>
      <w:szCs w:val="24"/>
    </w:rPr>
  </w:style>
  <w:style w:type="character" w:customStyle="1" w:styleId="fontstyle31">
    <w:name w:val="fontstyle31"/>
    <w:basedOn w:val="DefaultParagraphFont"/>
    <w:rsid w:val="009150CA"/>
    <w:rPr>
      <w:rFonts w:ascii="SymbolMT" w:hAnsi="SymbolMT" w:hint="default"/>
      <w:b w:val="0"/>
      <w:bCs w:val="0"/>
      <w:i w:val="0"/>
      <w:iCs w:val="0"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0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Ilonka Georgieva</dc:creator>
  <cp:keywords/>
  <dc:description/>
  <cp:lastModifiedBy>Ilonka Georgieva</cp:lastModifiedBy>
  <cp:revision>7</cp:revision>
  <dcterms:created xsi:type="dcterms:W3CDTF">2020-03-27T09:39:00Z</dcterms:created>
  <dcterms:modified xsi:type="dcterms:W3CDTF">2020-05-19T10:44:00Z</dcterms:modified>
</cp:coreProperties>
</file>