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center"/>
      </w:pPr>
      <w:bookmarkStart w:id="3" w:name="_GoBack"/>
      <w:bookmarkEnd w:id="3"/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ПОТВЪРЖДЕНИЕ НА </w:t>
      </w:r>
      <w:r>
        <w:rPr>
          <w:b/>
          <w:bCs/>
          <w:color w:val="000000"/>
          <w:spacing w:val="0"/>
          <w:w w:val="100"/>
          <w:position w:val="0"/>
        </w:rPr>
        <w:t>OTC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 ДОГОВОРИ - УСЛОВИЯ 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 xml:space="preserve"> И СРОКОВЕ Н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А 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ТРАНЗАКЦИЯТА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80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01.07.2021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  <w:rPr>
          <w:rFonts w:hint="default"/>
          <w:lang w:val="bg-BG"/>
        </w:rPr>
      </w:pPr>
      <w:r>
        <w:rPr>
          <w:b/>
          <w:bCs/>
          <w:color w:val="000000"/>
          <w:spacing w:val="0"/>
          <w:w w:val="100"/>
          <w:position w:val="0"/>
        </w:rPr>
        <w:t>T</w:t>
      </w:r>
      <w:r>
        <w:rPr>
          <w:b/>
          <w:bCs/>
          <w:color w:val="000000"/>
          <w:spacing w:val="0"/>
          <w:w w:val="100"/>
          <w:position w:val="0"/>
          <w:lang w:val="bg-BG"/>
        </w:rPr>
        <w:t>И</w:t>
      </w:r>
      <w:r>
        <w:rPr>
          <w:rFonts w:hint="default"/>
          <w:b/>
          <w:bCs/>
          <w:color w:val="000000"/>
          <w:spacing w:val="0"/>
          <w:w w:val="100"/>
          <w:position w:val="0"/>
          <w:lang w:val="bg-BG"/>
        </w:rPr>
        <w:t xml:space="preserve"> БИ ЕЛ</w:t>
      </w:r>
      <w:r>
        <w:rPr>
          <w:b/>
          <w:bCs/>
          <w:color w:val="000000"/>
          <w:spacing w:val="0"/>
          <w:w w:val="100"/>
          <w:position w:val="0"/>
        </w:rPr>
        <w:t xml:space="preserve"> EOO</w:t>
      </w:r>
      <w:r>
        <w:rPr>
          <w:b/>
          <w:bCs/>
          <w:color w:val="000000"/>
          <w:spacing w:val="0"/>
          <w:w w:val="100"/>
          <w:position w:val="0"/>
          <w:lang w:val="bg-BG"/>
        </w:rPr>
        <w:t>Д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bg-BG"/>
        </w:rPr>
        <w:t>Пл</w:t>
      </w:r>
      <w:r>
        <w:rPr>
          <w:rFonts w:hint="default"/>
          <w:color w:val="000000"/>
          <w:spacing w:val="0"/>
          <w:w w:val="100"/>
          <w:position w:val="0"/>
          <w:lang w:val="bg-BG"/>
        </w:rPr>
        <w:t>. св.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lang w:val="bg-BG"/>
        </w:rPr>
        <w:t>Иван</w:t>
      </w:r>
      <w:r>
        <w:rPr>
          <w:rFonts w:hint="default"/>
          <w:color w:val="000000"/>
          <w:spacing w:val="0"/>
          <w:w w:val="100"/>
          <w:position w:val="0"/>
          <w:lang w:val="bg-BG"/>
        </w:rPr>
        <w:t xml:space="preserve"> Рилски</w:t>
      </w:r>
      <w:r>
        <w:rPr>
          <w:color w:val="000000"/>
          <w:spacing w:val="0"/>
          <w:w w:val="100"/>
          <w:position w:val="0"/>
        </w:rPr>
        <w:t xml:space="preserve"> .1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 xml:space="preserve">2300 </w:t>
      </w:r>
      <w:r>
        <w:rPr>
          <w:color w:val="000000"/>
          <w:spacing w:val="0"/>
          <w:w w:val="100"/>
          <w:position w:val="0"/>
          <w:lang w:val="bg-BG"/>
        </w:rPr>
        <w:t>Перник</w:t>
      </w:r>
      <w:r>
        <w:rPr>
          <w:color w:val="000000"/>
          <w:spacing w:val="0"/>
          <w:w w:val="100"/>
          <w:position w:val="0"/>
        </w:rPr>
        <w:t>,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bg-BG"/>
        </w:rPr>
        <w:t>България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 w:line="254" w:lineRule="auto"/>
        <w:ind w:left="0" w:right="0" w:firstLine="0"/>
        <w:jc w:val="both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Уважаеми господа, 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 w:line="254" w:lineRule="auto"/>
        <w:ind w:left="0" w:right="0" w:firstLine="0"/>
        <w:jc w:val="both"/>
        <w:rPr>
          <w:rFonts w:hint="default" w:asciiTheme="minorAscii" w:hAnsiTheme="minorAscii"/>
          <w:sz w:val="20"/>
          <w:szCs w:val="20"/>
          <w:shd w:val="clear" w:color="auto" w:fill="auto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Целта на настоящото писмено споразумение (това „Потвърждение“) е да потвърди условията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 xml:space="preserve">и сроковете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на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 xml:space="preserve">транзакцията за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>сток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ата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>, сключена между нас на Датата на търговия, посочена по-долу („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Транзакция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>“). Това потвърждение представлява „Потвърждение“, както е посочено в Главното споразумение ISDA, посочено по-долу.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/>
        <w:ind w:left="0" w:right="0" w:firstLine="0"/>
        <w:jc w:val="both"/>
      </w:pPr>
      <w:r>
        <w:rPr>
          <w:rFonts w:hint="default"/>
          <w:color w:val="000000"/>
          <w:spacing w:val="0"/>
          <w:w w:val="100"/>
          <w:position w:val="0"/>
          <w:lang w:val="bg-BG"/>
        </w:rPr>
        <w:t xml:space="preserve">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Определенията и разпоредбите, съдържащи се в Определенията за стоки ISDA от 2005 г. и всякакви допълнения или изменения към тях („Определенията на стоките“) и в раздели 1.4 и 1.8 от Определенията на ISDA от 2000 г. (всяка от които е публикувана от International Swaps and Derivatives Association, Inc.) , са включени в 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отвърждение. В случай на несъответствие между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Д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ефинициите на стоките и други дефиниции на ISDA в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това С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поразумение, както е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посочено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 по-долу,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Д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ефинициите на стоките ще имат предимство. В случай на несъответствие между 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отвърждение и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Д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ефинициите на стоките или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С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поразумението, 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>отвърждение ще има предимство.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20"/>
        <w:ind w:left="0" w:right="0" w:firstLine="0"/>
        <w:jc w:val="both"/>
        <w:rPr>
          <w:rFonts w:hint="default" w:asciiTheme="minorAscii" w:hAnsiTheme="minorAscii"/>
          <w:sz w:val="18"/>
          <w:szCs w:val="18"/>
          <w:shd w:val="clear" w:color="auto" w:fill="auto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отвърждение показва пълно и обвързващо споразумение между вас и нас относно условията на транзакцията, за която се отнася това потвърждение. В допълнение, вие и ние се съгласяваме да използваме всички разумни усилия незабавно да договорим, изпълним и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предста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вим споразумение под формата на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Г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лавното споразумение ISDA 2002, включително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>риложение за кредитн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о обезпечаване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 ("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Ф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ормулярът ISDA"), с такива промени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 xml:space="preserve">за които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>в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ие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 и ние добросъвестно ще се съгласи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м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.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При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 изпълнението от вас и нас на т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ова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С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поразумение, 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>отвърждение ще допъл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ва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, представлява част от и ще бъде предмет на 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С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поразумение. Всички разпоредби, съдържащи се или включени чрез позоваване в това споразумение при неговото изпълнение, ще уреждат това Потвърждение, с изключение на изрично променените по-долу. Докато не изпълним и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предста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>вим това споразумение, това Потвърждение, заедно с всички други документи, отнасящи се до формуляра ISDA (вс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яко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 „Потвърждение“), потвърждаващи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транзакциите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 (всяка „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Транзакция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>“), сключени между нас (независимо от противното в Потвърждение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то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 ), ще допълва, формира част от и ще бъде предмет на споразумение под формата на формуляр ISDA, сякаш сме изпълнили споразумение в такава форма (но без никакъв График, с изключение на избора на германско законодателство като приложимо право и Евро като валута на пр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иключване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) на Датата на търговия на първата такава транзакция между нас. В случай на несъответствие между разпоредбите на това споразумение и 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отвърждение, 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отвърждение ще има предимство за целите на тази транзакция. Позоваванията в 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>отвърждение на "Споразумението" ще се считат за препратк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 към споразумението във формуляра ISDA, което настоящото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отвърждение допълва и представлява част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 xml:space="preserve">от него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и на което 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>отвърждение е предмет.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/>
        <w:ind w:left="0" w:right="0" w:firstLine="0"/>
        <w:jc w:val="left"/>
        <w:rPr>
          <w:rFonts w:hint="default" w:asciiTheme="minorAscii" w:hAnsiTheme="minorAscii"/>
          <w:sz w:val="18"/>
          <w:szCs w:val="18"/>
          <w:shd w:val="clear" w:color="auto" w:fill="auto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УСЛОВИЯ НА КОНКРЕТНАТА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ТРАНЗАКЦИЯ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,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 xml:space="preserve">ЗА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</w:rPr>
        <w:t>КОЯТО СЕ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ОТНАСЯ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ТОВА ПОТВЪРЖДЕНИЕ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880" w:right="0" w:firstLine="496" w:firstLineChars="0"/>
        <w:jc w:val="left"/>
        <w:rPr>
          <w:color w:val="000000"/>
          <w:spacing w:val="0"/>
          <w:w w:val="100"/>
          <w:position w:val="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737235</wp:posOffset>
                </wp:positionH>
                <wp:positionV relativeFrom="paragraph">
                  <wp:posOffset>12700</wp:posOffset>
                </wp:positionV>
                <wp:extent cx="2236470" cy="1273810"/>
                <wp:effectExtent l="0" t="0" r="0" b="0"/>
                <wp:wrapSquare wrapText="right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70" cy="12738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>Код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 xml:space="preserve"> на транзакцията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both"/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>Купувач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 xml:space="preserve"> на продукта на транзакция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>Продавач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 xml:space="preserve"> на продукта за транзакция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>Дата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 xml:space="preserve"> на влизане в сила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>Изтичане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 xml:space="preserve"> на срока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 1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>Изтичане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 xml:space="preserve"> на срока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026" o:spt="202" type="#_x0000_t202" style="position:absolute;left:0pt;margin-left:58.05pt;margin-top:1pt;height:100.3pt;width:176.1pt;mso-position-horizontal-relative:page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3m92XVAAAACQEAAA8AAAAA&#10;AAAAAQAgAAAAIgAAAGRycy9kb3ducmV2LnhtbFBLAQIUABQAAAAIAIdO4kAtJSIipQEAAGUDAAAO&#10;AAAAAAAAAAEAIAAAACQ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both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>Код</w:t>
                      </w:r>
                      <w:r>
                        <w:rPr>
                          <w:rFonts w:hint="default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 xml:space="preserve"> на транзакцията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both"/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>Купувач</w:t>
                      </w:r>
                      <w:r>
                        <w:rPr>
                          <w:rFonts w:hint="default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 xml:space="preserve"> на продукта на транзакция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both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>Продавач</w:t>
                      </w:r>
                      <w:r>
                        <w:rPr>
                          <w:rFonts w:hint="default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 xml:space="preserve"> на продукта за транзакция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both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>Дата</w:t>
                      </w:r>
                      <w:r>
                        <w:rPr>
                          <w:rFonts w:hint="default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 xml:space="preserve"> на влизане в сила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both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>Изтичане</w:t>
                      </w:r>
                      <w:r>
                        <w:rPr>
                          <w:rFonts w:hint="default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 xml:space="preserve"> на срока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 1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both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>Изтичане</w:t>
                      </w:r>
                      <w:r>
                        <w:rPr>
                          <w:rFonts w:hint="default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 xml:space="preserve"> на срока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 2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CFPTIB02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880" w:right="0" w:firstLine="496" w:firstLineChars="0"/>
        <w:jc w:val="left"/>
      </w:pPr>
      <w:r>
        <w:rPr>
          <w:color w:val="000000"/>
          <w:spacing w:val="0"/>
          <w:w w:val="100"/>
          <w:position w:val="0"/>
        </w:rPr>
        <w:t xml:space="preserve"> TIBIEL EOOD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880" w:right="0" w:firstLine="496" w:firstLineChars="0"/>
        <w:jc w:val="left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CFP Trading Limited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880" w:right="0" w:firstLine="496" w:firstLineChars="0"/>
        <w:jc w:val="left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 xml:space="preserve"> 01.07.2021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880" w:right="0" w:firstLine="496" w:firstLineChars="0"/>
        <w:jc w:val="left"/>
      </w:pPr>
      <w:r>
        <w:rPr>
          <w:color w:val="000000"/>
          <w:spacing w:val="0"/>
          <w:w w:val="100"/>
          <w:position w:val="0"/>
        </w:rPr>
        <w:t xml:space="preserve"> 01.07.2021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 w:line="276" w:lineRule="auto"/>
        <w:ind w:left="880" w:right="0" w:firstLine="496" w:firstLineChars="0"/>
        <w:jc w:val="left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23 March 2022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 w:line="276" w:lineRule="auto"/>
        <w:ind w:left="880" w:right="0" w:firstLine="496" w:firstLineChars="0"/>
        <w:jc w:val="left"/>
      </w:pPr>
      <w:r>
        <w:rPr>
          <w:color w:val="000000"/>
          <w:spacing w:val="0"/>
          <w:w w:val="100"/>
          <w:position w:val="0"/>
        </w:rPr>
        <w:t xml:space="preserve"> 22 March 2023</w:t>
      </w:r>
      <w:r>
        <w:br w:type="page"/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07"/>
        <w:gridCol w:w="584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0" w:hRule="exact"/>
          <w:jc w:val="center"/>
        </w:trPr>
        <w:tc>
          <w:tcPr>
            <w:tcW w:w="3307" w:type="dxa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  <w:rPr>
                <w:b/>
                <w:bCs/>
                <w:color w:val="000000"/>
                <w:spacing w:val="0"/>
                <w:w w:val="100"/>
                <w:position w:val="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Референтен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 обмен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  <w:rPr>
                <w:b/>
                <w:bCs/>
                <w:color w:val="000000"/>
                <w:spacing w:val="0"/>
                <w:w w:val="100"/>
                <w:position w:val="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Зеферирана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стока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 EU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квота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 (EUA)</w:t>
            </w:r>
          </w:p>
        </w:tc>
        <w:tc>
          <w:tcPr>
            <w:tcW w:w="5846" w:type="dxa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leader="underscore" w:pos="5693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ICE ENDEX</w:t>
            </w:r>
            <w:r>
              <w:rPr>
                <w:color w:val="DBDBDB"/>
                <w:spacing w:val="0"/>
                <w:w w:val="100"/>
                <w:position w:val="0"/>
              </w:rPr>
              <w:tab/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ECX Emission (“EUA”)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>означава квота, определена съгласно Директива 2003/87 / 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С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 xml:space="preserve"> на Европейския парламент и на Съвета от 13 октомври 2003 г. за създаване на схема за търговия с квоти за емисии на парникови газове в рам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color="auto" w:fill="auto"/>
                <w:lang w:val="bg"/>
              </w:rPr>
              <w:t xml:space="preserve">ките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>на Общността и за изменение на Директива 96/61 / 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С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 xml:space="preserve"> на Съвета, изменена с Директива 2004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5F5F5"/>
                <w:lang w:val="bg"/>
              </w:rPr>
              <w:t>/ 101 / 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5F5F5"/>
                <w:lang w:val="bg-BG"/>
              </w:rPr>
              <w:t>С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5F5F5"/>
                <w:lang w:val="bg"/>
              </w:rPr>
              <w:t xml:space="preserve"> на Европейския парламент и на Съвета от 27 октомври 2004 г. и може да се изменя от време на време.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99" w:hRule="exact"/>
          <w:jc w:val="center"/>
        </w:trPr>
        <w:tc>
          <w:tcPr>
            <w:tcW w:w="3307" w:type="dxa"/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Референтен фючърсен договор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Срок</w:t>
            </w:r>
            <w:r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на изтичане 2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Референтен фючърсен договор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Размер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на договора</w:t>
            </w:r>
          </w:p>
        </w:tc>
        <w:tc>
          <w:tcPr>
            <w:tcW w:w="5846" w:type="dxa"/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March 2022 Future (Bloomberg code MOH22)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2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March 2023 Future (Bloomberg code MOH23)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350,000 MT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75" w:hRule="exact"/>
          <w:jc w:val="center"/>
        </w:trPr>
        <w:tc>
          <w:tcPr>
            <w:tcW w:w="3307" w:type="dxa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Договорни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партиди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Дни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за обмен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Ниво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на натрупване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bg-BG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Ниво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на елиминиране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Дневно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количество на натрупване</w:t>
            </w:r>
          </w:p>
        </w:tc>
        <w:tc>
          <w:tcPr>
            <w:tcW w:w="5846" w:type="dxa"/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  <w:rPr>
                <w:color w:val="000000"/>
                <w:spacing w:val="0"/>
                <w:w w:val="100"/>
                <w:position w:val="0"/>
              </w:rPr>
            </w:pPr>
            <w:r>
              <w:rPr>
                <w:color w:val="000000"/>
                <w:spacing w:val="0"/>
                <w:w w:val="100"/>
                <w:position w:val="0"/>
              </w:rPr>
              <w:t>350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 190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5506"/>
              </w:tabs>
              <w:bidi w:val="0"/>
              <w:spacing w:before="0" w:after="0" w:line="276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EUR 52.65</w:t>
            </w:r>
            <w:r>
              <w:rPr>
                <w:color w:val="000000"/>
                <w:spacing w:val="0"/>
                <w:w w:val="100"/>
                <w:position w:val="0"/>
              </w:rPr>
              <w:tab/>
            </w:r>
            <w:r>
              <w:rPr>
                <w:color w:val="DBDBDB"/>
                <w:spacing w:val="0"/>
                <w:w w:val="100"/>
                <w:position w:val="0"/>
                <w:u w:val="single"/>
              </w:rPr>
              <w:t>"1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5506"/>
              </w:tabs>
              <w:bidi w:val="0"/>
              <w:spacing w:before="0" w:after="0" w:line="276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EUR 75</w:t>
            </w:r>
            <w:r>
              <w:rPr>
                <w:color w:val="000000"/>
                <w:spacing w:val="0"/>
                <w:w w:val="100"/>
                <w:position w:val="0"/>
              </w:rPr>
              <w:tab/>
            </w:r>
            <w:r>
              <w:rPr>
                <w:color w:val="DBDBDB"/>
                <w:spacing w:val="0"/>
                <w:w w:val="100"/>
                <w:position w:val="0"/>
                <w:u w:val="single"/>
              </w:rPr>
              <w:t>"1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350,000/ 190.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В случай на промяна на борсовите дни, това количество ще бъде коригирано от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Посредника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за изчисляване.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3" w:hRule="exact"/>
          <w:jc w:val="center"/>
        </w:trPr>
        <w:tc>
          <w:tcPr>
            <w:tcW w:w="3307" w:type="dxa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Дни за ценообразуване</w:t>
            </w:r>
          </w:p>
        </w:tc>
        <w:tc>
          <w:tcPr>
            <w:tcW w:w="5846" w:type="dxa"/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Всеки посочен ден за обмен от и включително дата на влизане в сила до -Дата на изтичане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 на срока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1 (включително)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134" w:hRule="exact"/>
          <w:jc w:val="center"/>
        </w:trPr>
        <w:tc>
          <w:tcPr>
            <w:tcW w:w="3307" w:type="dxa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Критерии за натрупване</w:t>
            </w:r>
          </w:p>
        </w:tc>
        <w:tc>
          <w:tcPr>
            <w:tcW w:w="5846" w:type="dxa"/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left"/>
              <w:rPr>
                <w:rFonts w:hint="default" w:asciiTheme="minorAscii" w:hAnsiTheme="minorAscii"/>
                <w:sz w:val="20"/>
                <w:szCs w:val="20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Във всеки ден на ценообразуване до (и включително) дата на изтичане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на срока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1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 в който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контрагентът купува:</w:t>
            </w:r>
          </w:p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val="left" w:pos="1180"/>
              </w:tabs>
              <w:bidi w:val="0"/>
              <w:spacing w:before="0" w:after="480" w:line="240" w:lineRule="auto"/>
              <w:ind w:left="1180" w:right="0" w:hanging="720"/>
              <w:jc w:val="left"/>
              <w:rPr>
                <w:rFonts w:hint="default" w:asciiTheme="minorAscii" w:hAnsiTheme="minorAscii"/>
                <w:sz w:val="20"/>
                <w:szCs w:val="20"/>
                <w:shd w:val="clear" w:color="auto" w:fill="auto"/>
              </w:rPr>
            </w:pPr>
            <w:r>
              <w:rPr>
                <w:color w:val="000000"/>
                <w:spacing w:val="0"/>
                <w:w w:val="100"/>
                <w:position w:val="0"/>
                <w:lang w:val="bg-BG"/>
              </w:rPr>
              <w:t>Д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невно количество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на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натрупване на EUA на нив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то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о на натрупване.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69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bg-BG"/>
              </w:rPr>
              <w:t>На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lang w:val="bg-BG"/>
              </w:rPr>
              <w:t xml:space="preserve"> датата на изтичане на срока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 2, </w:t>
            </w:r>
            <w:r>
              <w:rPr>
                <w:color w:val="000000"/>
                <w:spacing w:val="0"/>
                <w:w w:val="100"/>
                <w:position w:val="0"/>
                <w:lang w:val="bg-BG"/>
              </w:rPr>
              <w:t>когато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lang w:val="bg-BG"/>
              </w:rPr>
              <w:t xml:space="preserve"> контрагентът купува</w:t>
            </w:r>
            <w:r>
              <w:rPr>
                <w:color w:val="000000"/>
                <w:spacing w:val="0"/>
                <w:w w:val="100"/>
                <w:position w:val="0"/>
              </w:rPr>
              <w:t>: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33" w:lineRule="auto"/>
              <w:ind w:left="398" w:leftChars="166" w:right="0" w:firstLine="300" w:firstLineChars="150"/>
              <w:jc w:val="left"/>
            </w:pPr>
            <w:r>
              <w:rPr>
                <w:rFonts w:hint="default"/>
                <w:color w:val="000000"/>
                <w:spacing w:val="0"/>
                <w:w w:val="100"/>
                <w:position w:val="0"/>
                <w:lang w:val="en-US"/>
              </w:rPr>
              <w:t>ii    )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350,000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EUA на ниво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то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на натрупване, ако на датата на изтичане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 на срока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2 посочения фючърсен договор се у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станови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на или под нивото на натрупване („Обем на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приключване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“).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71" w:lineRule="auto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 xml:space="preserve">В случай, че на който и да е борсов ден реферираният фючърсен договор се търгува или урежда на или над нивото на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елиминиране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>, по-нататъшните покупки в датата на изтичане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 на срока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 xml:space="preserve"> 1 Референтн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ият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 xml:space="preserve"> фючърсен договор автоматично се прекратява и седмичният обем е кумулативното дневно натрупване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на количествата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 xml:space="preserve">за борсовите дни в такава календарна седмица, попадаща преди (но без да се включва)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борсовия ден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>, на ко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й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 xml:space="preserve">то референтният фючърсен договор е на или над нивото на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елиминиране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 xml:space="preserve"> и размерът на договора ще бъде намален, за да анулира всеки обем, попадащ на или след тази дата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color="auto" w:fill="auto"/>
                <w:lang w:val="bg"/>
              </w:rPr>
              <w:t>.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71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lang w:val="bg-BG"/>
              </w:rPr>
              <w:t>В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случай, че на който и да е борсов ден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на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изтича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не на срока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2 референтен фючърсен договор се търгува или урежда на или над нивото на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елиминиране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, потенциалното допълнително задължение за обем на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и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зтичане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 на срока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2 автоматично се прекратява и  обем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ът на елиминиране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ще бъде отменен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.</w:t>
            </w:r>
          </w:p>
        </w:tc>
      </w:tr>
    </w:tbl>
    <w:p>
      <w:pPr>
        <w:widowControl w:val="0"/>
        <w:spacing w:line="1" w:lineRule="exact"/>
      </w:pPr>
      <w:r>
        <w:br w:type="page"/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08"/>
        <w:gridCol w:w="668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5" w:hRule="exact"/>
          <w:jc w:val="center"/>
        </w:trPr>
        <w:tc>
          <w:tcPr>
            <w:tcW w:w="2808" w:type="dxa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Седмичен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обем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69" w:lineRule="auto"/>
              <w:ind w:left="0" w:right="0" w:firstLine="0"/>
              <w:jc w:val="left"/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Седмичният обем е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количеството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, закупен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о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през всяка календарна седмица в съответствие с критериите за натрупване по-горе.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07" w:hRule="exact"/>
          <w:jc w:val="center"/>
        </w:trPr>
        <w:tc>
          <w:tcPr>
            <w:tcW w:w="2808" w:type="dxa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  <w:rPr>
                <w:b/>
                <w:bCs/>
                <w:color w:val="000000"/>
                <w:spacing w:val="0"/>
                <w:w w:val="100"/>
                <w:position w:val="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Средна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претеглена цена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Дати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на плащане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right="0" w:firstLine="600" w:firstLineChars="300"/>
              <w:jc w:val="left"/>
              <w:rPr>
                <w:rFonts w:hint="default" w:asciiTheme="minorAscii" w:hAnsiTheme="minorAscii"/>
                <w:sz w:val="20"/>
                <w:szCs w:val="20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Равно на ниво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то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на натрупване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280" w:line="276" w:lineRule="auto"/>
              <w:ind w:left="398" w:leftChars="166" w:right="0" w:firstLine="400" w:firstLineChars="200"/>
              <w:jc w:val="left"/>
              <w:rPr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По отношение на всеки седмичен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обем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, различен от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обема на приключване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, един работен ден в Лондон, непосредствено след края на календарната седмица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color="auto" w:fill="auto"/>
              </w:rPr>
              <w:t>.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598" w:leftChars="249" w:right="0" w:firstLine="300" w:firstLineChars="150"/>
              <w:jc w:val="both"/>
              <w:rPr>
                <w:rFonts w:hint="default" w:asciiTheme="minorAscii" w:hAnsiTheme="minorAscii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По отношение на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обема на приключване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, четири работни дни в Лондон, непосредствено след датата на изтичане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 на срока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2.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600" w:right="0" w:firstLine="0"/>
              <w:jc w:val="left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  <w:jc w:val="center"/>
        </w:trPr>
        <w:tc>
          <w:tcPr>
            <w:tcW w:w="2808" w:type="dxa"/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bg-BG"/>
              </w:rPr>
            </w:pPr>
            <w:r>
              <w:rPr>
                <w:rFonts w:hint="default"/>
                <w:b/>
                <w:bCs/>
                <w:lang w:val="bg-BG"/>
              </w:rPr>
              <w:t>Сума за плащане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600" w:firstLineChars="300"/>
              <w:jc w:val="both"/>
              <w:rPr>
                <w:rFonts w:hint="default" w:asciiTheme="minorAscii" w:hAnsiTheme="minorAscii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Сумата на плащането се изчислява чрез умножаване на седмичния обем по средната седмична цена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600" w:right="0" w:firstLine="0"/>
              <w:jc w:val="left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exact"/>
          <w:jc w:val="center"/>
        </w:trPr>
        <w:tc>
          <w:tcPr>
            <w:tcW w:w="2808" w:type="dxa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bg-BG"/>
              </w:rPr>
            </w:pPr>
            <w:r>
              <w:rPr>
                <w:b/>
                <w:bCs/>
                <w:lang w:val="bg-BG"/>
              </w:rPr>
              <w:t>Плащане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600" w:firstLineChars="300"/>
              <w:jc w:val="both"/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На всяка дата на плащане купувачът на продукта за транзакции заплаща на продавача на продукта за транзакции съответната сума за плащане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54" w:hRule="exact"/>
          <w:jc w:val="center"/>
        </w:trPr>
        <w:tc>
          <w:tcPr>
            <w:tcW w:w="2808" w:type="dxa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Условия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за сетълмънт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700" w:line="269" w:lineRule="auto"/>
              <w:ind w:left="598" w:leftChars="249" w:right="0" w:firstLine="300" w:firstLineChars="150"/>
              <w:jc w:val="left"/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До момента, описан по-долу, продавачът на продукта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н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а транзакции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ще достави седмичния обем на купувача на продукта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н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а транзакции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на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следния акаунт в регистъра: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280" w:line="240" w:lineRule="auto"/>
              <w:ind w:left="600" w:right="0" w:firstLine="0"/>
              <w:jc w:val="left"/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Ще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бъде потвърден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280" w:line="240" w:lineRule="auto"/>
              <w:ind w:left="600" w:right="0" w:firstLine="0"/>
              <w:jc w:val="left"/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По отношение на всеки седмичен обем, различен от обема на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приключва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не, датата на доставка е съответната дата на плащане, при условие че продавачът на продукта за транзакции е получил съответната сума на плащане в пълен размер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1" w:lineRule="auto"/>
              <w:ind w:left="598" w:leftChars="249" w:right="0" w:firstLine="200" w:firstLineChars="100"/>
              <w:jc w:val="left"/>
              <w:rPr>
                <w:rFonts w:hint="default" w:asciiTheme="minorAscii" w:hAnsiTheme="minorAscii"/>
                <w:sz w:val="20"/>
                <w:szCs w:val="20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 xml:space="preserve">По отношение на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обема на приключване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 xml:space="preserve">, датата на доставка е четири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>лондонски работни дни, непосредствено след датата на изтичане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 на срока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 xml:space="preserve"> 2, при условие че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продавачът на продукта за транзакции е получил съответната сума на плащане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280" w:line="240" w:lineRule="auto"/>
              <w:ind w:left="600" w:right="0" w:firstLine="0"/>
              <w:jc w:val="left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11" w:hRule="exact"/>
          <w:jc w:val="center"/>
        </w:trPr>
        <w:tc>
          <w:tcPr>
            <w:tcW w:w="2808" w:type="dxa"/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Посредник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при изчисляване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Валута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по договора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CFP Trading Limited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6259"/>
              </w:tabs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EUR</w:t>
            </w:r>
            <w:r>
              <w:rPr>
                <w:color w:val="242424"/>
                <w:spacing w:val="0"/>
                <w:w w:val="100"/>
                <w:position w:val="0"/>
              </w:rPr>
              <w:t>~</w:t>
            </w:r>
            <w:r>
              <w:rPr>
                <w:color w:val="242424"/>
                <w:spacing w:val="0"/>
                <w:w w:val="100"/>
                <w:position w:val="0"/>
              </w:rPr>
              <w:tab/>
            </w:r>
            <w:r>
              <w:rPr>
                <w:color w:val="DBDBDB"/>
                <w:spacing w:val="0"/>
                <w:w w:val="100"/>
                <w:position w:val="0"/>
              </w:rPr>
              <w:t>|</w:t>
            </w:r>
          </w:p>
        </w:tc>
      </w:tr>
    </w:tbl>
    <w:p>
      <w:pPr>
        <w:widowControl w:val="0"/>
        <w:spacing w:after="25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0" w:line="257" w:lineRule="auto"/>
        <w:ind w:left="0" w:right="0" w:firstLine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"/>
        </w:rPr>
        <w:t>„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"/>
        </w:rPr>
        <w:t xml:space="preserve">Нетиране на плащане с множество транзакции“ ще се прилага за всички транзакции между страните от време на време и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>конкретно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"/>
        </w:rPr>
        <w:t xml:space="preserve">, но без да се ограничава до общия характер на гореизложеното, нетирането ще се прилага за транзакциите, описани в 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"/>
        </w:rPr>
        <w:t xml:space="preserve">отвърждение и транзакциите, описани подробно в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"/>
        </w:rPr>
        <w:t>отвърждение номер: CFPTIB0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>2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"/>
        </w:rPr>
        <w:t>, датиран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>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"/>
        </w:rPr>
        <w:t xml:space="preserve"> на или около датата на настоящото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 xml:space="preserve"> потвърждение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"/>
        </w:rPr>
        <w:t>.</w:t>
      </w:r>
      <w:bookmarkStart w:id="0" w:name="bookmark2"/>
      <w:bookmarkStart w:id="1" w:name="bookmark1"/>
      <w:bookmarkStart w:id="2" w:name="bookmark0"/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 xml:space="preserve"> </w:t>
      </w:r>
    </w:p>
    <w:bookmarkEnd w:id="0"/>
    <w:bookmarkEnd w:id="1"/>
    <w:bookmarkEnd w:id="2"/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</w:pPr>
      <w:r>
        <w:rPr>
          <w:rFonts w:hint="default"/>
          <w:b/>
          <w:bCs/>
          <w:color w:val="000000"/>
          <w:spacing w:val="0"/>
          <w:w w:val="100"/>
          <w:position w:val="0"/>
          <w:sz w:val="22"/>
          <w:szCs w:val="22"/>
          <w:lang w:val="bg-BG"/>
        </w:rPr>
        <w:t>Избори на Приложение за кредитно обезпечение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17"/>
        <w:gridCol w:w="668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Основна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 xml:space="preserve"> валута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: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0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E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ВРО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 (EUR)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4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Допустима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 xml:space="preserve"> валута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: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0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Основната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 xml:space="preserve"> валута</w:t>
            </w:r>
          </w:p>
        </w:tc>
      </w:tr>
    </w:tbl>
    <w:p>
      <w:pPr>
        <w:widowControl w:val="0"/>
        <w:spacing w:after="21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5060" w:right="0" w:hanging="5060" w:hangingChars="2300"/>
        <w:jc w:val="left"/>
        <w:rPr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bg-BG"/>
        </w:rPr>
        <w:t>Задължения</w:t>
      </w:r>
      <w:r>
        <w:rPr>
          <w:rFonts w:hint="default"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bg-BG"/>
        </w:rPr>
        <w:t xml:space="preserve"> по кредитното обезпечение                       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„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Сума</w:t>
      </w:r>
      <w:r>
        <w:rPr>
          <w:rFonts w:hint="default" w:eastAsia="Helvetica" w:cs="Helvetica" w:asciiTheme="minorAscii" w:hAnsiTheme="minorAscii"/>
          <w:i/>
          <w:iCs/>
          <w:caps w:val="0"/>
          <w:color w:val="000000"/>
          <w:spacing w:val="0"/>
          <w:sz w:val="20"/>
          <w:szCs w:val="20"/>
          <w:shd w:val="clear" w:color="auto" w:fill="auto"/>
        </w:rPr>
        <w:t xml:space="preserve"> за доставка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“ има значението, посочено в параграф 2, буква а) от Приложението за кредитн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о обезпечение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 във формуляра ISDA.</w:t>
      </w:r>
      <w:r>
        <w:br w:type="page"/>
      </w:r>
    </w:p>
    <w:tbl>
      <w:tblPr>
        <w:tblStyle w:val="3"/>
        <w:tblW w:w="0" w:type="auto"/>
        <w:jc w:val="right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90"/>
        <w:gridCol w:w="579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6" w:hRule="exact"/>
          <w:jc w:val="right"/>
        </w:trPr>
        <w:tc>
          <w:tcPr>
            <w:tcW w:w="3990" w:type="dxa"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5792" w:type="dxa"/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700" w:line="276" w:lineRule="auto"/>
              <w:ind w:left="797" w:leftChars="332" w:right="0" w:firstLine="200" w:firstLineChars="100"/>
              <w:jc w:val="left"/>
              <w:rPr>
                <w:rFonts w:hint="default" w:asciiTheme="minorAscii" w:hAnsiTheme="minorAscii"/>
                <w:sz w:val="20"/>
                <w:szCs w:val="20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„</w:t>
            </w:r>
            <w:r>
              <w:rPr>
                <w:rFonts w:hint="default" w:eastAsia="Helvetica" w:cs="Helvetica" w:asciiTheme="minorAscii" w:hAnsiTheme="minorAscii"/>
                <w:i/>
                <w:iCs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Сума за връщане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“ има значението, посочено в параграф 2, буква б) от Приложението за кредитн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о обезпечение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във формуляра ISDA.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800" w:right="0" w:firstLine="0"/>
              <w:jc w:val="both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"</w:t>
            </w:r>
            <w:r>
              <w:rPr>
                <w:rFonts w:hint="default" w:eastAsia="Helvetica" w:cs="Helvetica" w:asciiTheme="minorAscii" w:hAnsiTheme="minorAscii"/>
                <w:i/>
                <w:iCs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Сума </w:t>
            </w:r>
            <w:r>
              <w:rPr>
                <w:rFonts w:hint="default" w:eastAsia="Helvetica" w:cs="Helvetica" w:asciiTheme="minorAscii" w:hAnsiTheme="minorAscii"/>
                <w:i/>
                <w:iCs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з</w:t>
            </w:r>
            <w:r>
              <w:rPr>
                <w:rFonts w:hint="default" w:eastAsia="Helvetica" w:cs="Helvetica" w:asciiTheme="minorAscii" w:hAnsiTheme="minorAscii"/>
                <w:i/>
                <w:iCs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а кредитн</w:t>
            </w:r>
            <w:r>
              <w:rPr>
                <w:rFonts w:hint="default" w:eastAsia="Helvetica" w:cs="Helvetica" w:asciiTheme="minorAscii" w:hAnsiTheme="minorAscii"/>
                <w:i/>
                <w:iCs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о обезпечение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" има значението, посочено в параграф 10 от приложението за кредитн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о обезпечение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във формуляра ISDA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0" w:hRule="exact"/>
          <w:jc w:val="right"/>
        </w:trPr>
        <w:tc>
          <w:tcPr>
            <w:tcW w:w="3990" w:type="dxa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22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Допустимо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 xml:space="preserve"> кредитно обезпечение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:</w:t>
            </w:r>
          </w:p>
        </w:tc>
        <w:tc>
          <w:tcPr>
            <w:tcW w:w="5792" w:type="dxa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По отношение на независимата сума, EUA или пари в допустима валута с процент на оценка 100%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;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both"/>
              <w:rPr>
                <w:rFonts w:hint="default" w:asciiTheme="minorAscii" w:hAnsiTheme="minorAscii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в противен случай, Пари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 в брой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в допустима валута с процент на оценка 100% и/или предоставен акредитив, договорен предварително в писмена форма по собствена преценка на продавача на продукт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н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а транзакци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я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.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0" w:right="0" w:firstLine="0"/>
              <w:jc w:val="both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87" w:hRule="exact"/>
          <w:jc w:val="right"/>
        </w:trPr>
        <w:tc>
          <w:tcPr>
            <w:tcW w:w="3990" w:type="dxa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Независима сума:</w:t>
            </w:r>
          </w:p>
        </w:tc>
        <w:tc>
          <w:tcPr>
            <w:tcW w:w="5792" w:type="dxa"/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800" w:right="0" w:firstLine="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bg-BG"/>
              </w:rPr>
              <w:t>По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bg-BG"/>
              </w:rPr>
              <w:t xml:space="preserve"> отношение на продавача на продукта по транзакцията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няма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0" w:right="0" w:firstLine="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bg-BG"/>
              </w:rPr>
              <w:t>По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bg-BG"/>
              </w:rPr>
              <w:t xml:space="preserve"> отношение на купувача на продукта по транзакцията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 EUR 350,000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51" w:hRule="exact"/>
          <w:jc w:val="right"/>
        </w:trPr>
        <w:tc>
          <w:tcPr>
            <w:tcW w:w="3990" w:type="dxa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22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Праг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/Граница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:</w:t>
            </w:r>
          </w:p>
        </w:tc>
        <w:tc>
          <w:tcPr>
            <w:tcW w:w="5792" w:type="dxa"/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4794"/>
              </w:tabs>
              <w:bidi w:val="0"/>
              <w:spacing w:before="0" w:after="0" w:line="240" w:lineRule="auto"/>
              <w:ind w:left="800" w:right="0" w:firstLine="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bg-BG"/>
              </w:rPr>
              <w:t>По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bg-BG"/>
              </w:rPr>
              <w:t xml:space="preserve"> отношение на продавача на продукта по транзакцията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EUR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175,000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4794"/>
              </w:tabs>
              <w:bidi w:val="0"/>
              <w:spacing w:before="0" w:after="0" w:line="240" w:lineRule="auto"/>
              <w:ind w:left="797" w:leftChars="332" w:right="0" w:firstLine="260" w:firstLineChars="13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bg-BG"/>
              </w:rPr>
              <w:t>По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bg-BG"/>
              </w:rPr>
              <w:t xml:space="preserve"> отношение на купувача на продукта по транзакцията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EUR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175,000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4" w:hRule="exact"/>
          <w:jc w:val="right"/>
        </w:trPr>
        <w:tc>
          <w:tcPr>
            <w:tcW w:w="3990" w:type="dxa"/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Минимална сума за превод:</w:t>
            </w:r>
          </w:p>
        </w:tc>
        <w:tc>
          <w:tcPr>
            <w:tcW w:w="5792" w:type="dxa"/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По отношение на двете страни:</w:t>
            </w:r>
            <w:r>
              <w:rPr>
                <w:rFonts w:hint="default" w:eastAsia="Times New Roman" w:cs="Times New Roman" w:asciiTheme="minorAscii" w:hAnsiTheme="minorAscii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 EUR 50,000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4" w:hRule="exact"/>
          <w:jc w:val="right"/>
        </w:trPr>
        <w:tc>
          <w:tcPr>
            <w:tcW w:w="3990" w:type="dxa"/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Закръгляване:</w:t>
            </w:r>
          </w:p>
        </w:tc>
        <w:tc>
          <w:tcPr>
            <w:tcW w:w="5792" w:type="dxa"/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По отношение на двете страни:</w:t>
            </w:r>
            <w:r>
              <w:rPr>
                <w:rFonts w:hint="default" w:eastAsia="Times New Roman" w:cs="Times New Roman" w:asciiTheme="minorAscii" w:hAnsiTheme="minorAscii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 EUR 1,000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0" w:hRule="exact"/>
          <w:jc w:val="right"/>
        </w:trPr>
        <w:tc>
          <w:tcPr>
            <w:tcW w:w="3990" w:type="dxa"/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Представител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 xml:space="preserve"> за оценка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:</w:t>
            </w:r>
          </w:p>
        </w:tc>
        <w:tc>
          <w:tcPr>
            <w:tcW w:w="5792" w:type="dxa"/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bg-BG"/>
              </w:rPr>
              <w:t>Продавачът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bg-BG"/>
              </w:rPr>
              <w:t xml:space="preserve"> на продукта по транзакцията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4" w:hRule="exact"/>
          <w:jc w:val="right"/>
        </w:trPr>
        <w:tc>
          <w:tcPr>
            <w:tcW w:w="3990" w:type="dxa"/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Дата на оценяване:</w:t>
            </w:r>
          </w:p>
        </w:tc>
        <w:tc>
          <w:tcPr>
            <w:tcW w:w="5792" w:type="dxa"/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Означава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 xml:space="preserve"> ежедневно във всеки работен ден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4" w:hRule="exact"/>
          <w:jc w:val="right"/>
        </w:trPr>
        <w:tc>
          <w:tcPr>
            <w:tcW w:w="3990" w:type="dxa"/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Време за оценка:</w:t>
            </w:r>
          </w:p>
        </w:tc>
        <w:tc>
          <w:tcPr>
            <w:tcW w:w="5792" w:type="dxa"/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17.15 (CET) на всеки работен ден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82" w:hRule="exact"/>
          <w:jc w:val="right"/>
        </w:trPr>
        <w:tc>
          <w:tcPr>
            <w:tcW w:w="3990" w:type="dxa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Време за уведомяване:</w:t>
            </w:r>
          </w:p>
        </w:tc>
        <w:tc>
          <w:tcPr>
            <w:tcW w:w="5792" w:type="dxa"/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0" w:right="0" w:firstLine="0"/>
              <w:jc w:val="both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13:00 (лондонско време) в работен ден, при условие, обаче, че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посредникът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за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color="auto" w:fill="auto"/>
              </w:rPr>
              <w:t xml:space="preserve">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оценка ще уведоми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страна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та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color="auto" w:fill="auto"/>
              </w:rPr>
              <w:t xml:space="preserve">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за своите изчисления само  п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ри по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иск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в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ане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от нейна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страна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4" w:hRule="exact"/>
          <w:jc w:val="right"/>
        </w:trPr>
        <w:tc>
          <w:tcPr>
            <w:tcW w:w="3990" w:type="dxa"/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Време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 xml:space="preserve"> за решение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:</w:t>
            </w:r>
          </w:p>
        </w:tc>
        <w:tc>
          <w:tcPr>
            <w:tcW w:w="5792" w:type="dxa"/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740" w:line="240" w:lineRule="auto"/>
              <w:ind w:left="0" w:right="0" w:firstLine="800"/>
              <w:jc w:val="both"/>
              <w:rPr>
                <w:rFonts w:hint="default" w:asciiTheme="minorAscii" w:hAnsiTheme="minorAscii"/>
                <w:sz w:val="20"/>
                <w:szCs w:val="20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13:00 (Лондонско време) в работен ден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22"/>
                <w:szCs w:val="22"/>
              </w:rPr>
            </w:pPr>
          </w:p>
        </w:tc>
      </w:tr>
    </w:tbl>
    <w:p>
      <w:pPr>
        <w:pStyle w:val="11"/>
        <w:keepNext w:val="0"/>
        <w:keepLines w:val="0"/>
        <w:widowControl w:val="0"/>
        <w:shd w:val="clear" w:color="auto" w:fill="auto"/>
        <w:tabs>
          <w:tab w:val="left" w:pos="4918"/>
        </w:tabs>
        <w:bidi w:val="0"/>
        <w:spacing w:before="0" w:after="0" w:line="223" w:lineRule="auto"/>
        <w:ind w:left="1457" w:leftChars="607" w:right="0" w:firstLine="3440" w:firstLineChars="1564"/>
        <w:jc w:val="left"/>
        <w:rPr>
          <w:rFonts w:ascii="Calibri" w:hAnsi="Calibri" w:eastAsia="Calibri" w:cs="Calibri"/>
          <w:color w:val="000000"/>
          <w:spacing w:val="0"/>
          <w:w w:val="100"/>
          <w:position w:val="0"/>
        </w:rPr>
      </w:pPr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4918"/>
        </w:tabs>
        <w:bidi w:val="0"/>
        <w:spacing w:before="0" w:after="0" w:line="223" w:lineRule="auto"/>
        <w:ind w:left="4499" w:leftChars="637" w:right="0" w:hanging="2970" w:hangingChars="1350"/>
        <w:jc w:val="left"/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Общ обем на транзакциите: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 xml:space="preserve">   </w:t>
      </w:r>
      <w:r>
        <w:rPr>
          <w:rFonts w:ascii="Calibri" w:hAnsi="Calibri" w:eastAsia="Calibri" w:cs="Calibri"/>
          <w:color w:val="000000"/>
          <w:spacing w:val="0"/>
          <w:w w:val="100"/>
          <w:position w:val="0"/>
        </w:rPr>
        <w:tab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означава с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умарното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 условно количество, което е предмет на транзакции между страните, които не са напълно уредени, изразено в тонове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 xml:space="preserve">. 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257" w:lineRule="auto"/>
        <w:ind w:left="0" w:right="0" w:firstLine="0"/>
        <w:jc w:val="left"/>
        <w:rPr>
          <w:color w:val="000000"/>
          <w:spacing w:val="0"/>
          <w:w w:val="100"/>
          <w:position w:val="0"/>
          <w:sz w:val="22"/>
          <w:szCs w:val="22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257" w:lineRule="auto"/>
        <w:ind w:left="0" w:right="0" w:firstLine="0"/>
        <w:jc w:val="left"/>
        <w:rPr>
          <w:color w:val="000000"/>
          <w:spacing w:val="0"/>
          <w:w w:val="100"/>
          <w:position w:val="0"/>
          <w:sz w:val="22"/>
          <w:szCs w:val="22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257" w:lineRule="auto"/>
        <w:ind w:left="0" w:right="0" w:firstLine="0"/>
        <w:jc w:val="left"/>
        <w:rPr>
          <w:rFonts w:hint="default" w:asciiTheme="minorAscii" w:hAnsiTheme="minorAscii"/>
          <w:sz w:val="22"/>
          <w:szCs w:val="22"/>
          <w:shd w:val="clear" w:color="auto" w:fill="auto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 xml:space="preserve">За да се избегне съмнение, всички определения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>в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 xml:space="preserve"> този раздел (Избори за приложението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>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а кредитн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>о обезпечение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) се отнасят до всички транзакции между страните, които не са напълно уредени, и по отношение на общия обем на транзакциите.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60" w:line="257" w:lineRule="auto"/>
        <w:ind w:left="0" w:right="0" w:firstLine="0"/>
        <w:jc w:val="left"/>
        <w:rPr>
          <w:sz w:val="22"/>
          <w:szCs w:val="22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Ориентировъчна, необвързваща таблица с примерни изчисления на сумите за кредитн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>о обезпечение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 xml:space="preserve"> е показана по-долу за илюстрация: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0"/>
        <w:gridCol w:w="960"/>
        <w:gridCol w:w="1958"/>
        <w:gridCol w:w="251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37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EUA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Цена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 xml:space="preserve">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 (€)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Движ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. на цената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 (€)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rFonts w:hint="default" w:asciiTheme="minorAscii" w:hAnsiTheme="minorAscii"/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Обезпечение (от гледна точка на CFP)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both"/>
              <w:rPr>
                <w:rFonts w:hint="default" w:asciiTheme="minorAscii" w:hAnsiTheme="minorAscii"/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</w:rPr>
              <w:t>€</w:t>
            </w:r>
            <w:r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 xml:space="preserve">Обезпечение, изплатено </w:t>
            </w:r>
            <w:r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  <w:lang w:val="bg-BG"/>
              </w:rPr>
              <w:t>з</w:t>
            </w:r>
            <w:r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а EUA за всяко пазарно движение от 1 евро (така  общото обезпечение се умножава по размера на договора)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  <w:rPr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0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74.99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+19.84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-992,000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0.10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0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70.15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+15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-2,250,000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0.30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0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65.15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+10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-2,250,000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0.45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0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60.15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+5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-1,500,000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0.60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0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54.15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500,000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1.00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0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53.15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-2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1,000,000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1.00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6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50.15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2,500,000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1.00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0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45.15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-10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6,000,000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1.20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0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40.15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-15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9,000,000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1.20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0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35.15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-20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15,000,000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1.50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0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30.15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-25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18,750,000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1.50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0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25.15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-30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22,500,000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1.50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5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20.15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-35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28,000,000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1.60</w:t>
            </w:r>
          </w:p>
        </w:tc>
      </w:tr>
    </w:tbl>
    <w:p>
      <w:pPr>
        <w:sectPr>
          <w:footnotePr>
            <w:numFmt w:val="decimal"/>
          </w:footnotePr>
          <w:pgSz w:w="11900" w:h="16840"/>
          <w:pgMar w:top="1447" w:right="588" w:bottom="1283" w:left="945" w:header="1019" w:footer="855" w:gutter="0"/>
          <w:pgNumType w:start="1"/>
          <w:cols w:space="720" w:num="1"/>
          <w:rtlGutter w:val="0"/>
          <w:docGrid w:linePitch="360" w:charSpace="0"/>
        </w:sect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0" w:line="254" w:lineRule="auto"/>
        <w:ind w:left="0" w:right="0" w:firstLine="0"/>
        <w:jc w:val="both"/>
        <w:rPr>
          <w:rFonts w:hint="default" w:asciiTheme="minorAscii" w:hAnsiTheme="minorAscii"/>
          <w:sz w:val="22"/>
          <w:szCs w:val="22"/>
          <w:shd w:val="clear" w:color="auto" w:fill="auto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"/>
        </w:rPr>
        <w:t>Това потвърждение и всички извъндоговорни задължения, произтичащи от или във връзка с него, ще се уреждат и тълкуват в съответствие с английското законодателство. Всички спорове, произтичащи от или във връзка с настоящия договор, се разрешават окончателно чрез арбитраж. Езикът на арбитража е английският. Органът по назначаването е генералният секретар на Постоянния арбитражен съд. Броят на арбитрите трябва да бъде един. Мястото на арбитраж е Женева, а приложимите правила за арбитраж са Арбитражните правила на ICC.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60"/>
        <w:ind w:left="0" w:right="0" w:firstLine="0"/>
        <w:jc w:val="both"/>
        <w:rPr>
          <w:rFonts w:hint="default" w:asciiTheme="minorAscii" w:hAnsiTheme="minorAscii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Моля, потвърдете, че гореизложеното правилно излага условията на нашето споразумение,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чрез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 изпълн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ението на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 това потвърждение и  връща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 xml:space="preserve">нето му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 по имейл в рамките на 1 работен ден или потвърждавайки съгласието си с него, или изисквайки корекция на грешки, съдържащи се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в него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 Липсата на отговор в рамките на този период няма да повлияе на валидността на транзакцията и ще се счита за потвърждение на условията, съдържащи се в това потвърждение. Отговорите трябва да се изпращат на: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0"/>
        <w:ind w:left="0" w:right="0" w:firstLine="0"/>
        <w:jc w:val="lef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54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CFP Trading Limited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54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 xml:space="preserve">E-Mail: </w:t>
      </w:r>
      <w:r>
        <w:fldChar w:fldCharType="begin"/>
      </w:r>
      <w:r>
        <w:instrText xml:space="preserve">HYPERLINK "mailto:operations@cf-partners.com"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operations@cf-partners.com</w:t>
      </w:r>
      <w:r>
        <w:fldChar w:fldCharType="end"/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60" w:line="254" w:lineRule="auto"/>
        <w:ind w:left="2020" w:right="0" w:firstLine="0"/>
        <w:jc w:val="left"/>
      </w:pPr>
      <w:r>
        <w:rPr>
          <w:color w:val="000000"/>
          <w:spacing w:val="0"/>
          <w:w w:val="100"/>
          <w:position w:val="0"/>
        </w:rPr>
        <w:t>Telephone No. +442073483500 Facsimile No. +442073483505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880" w:line="254" w:lineRule="auto"/>
        <w:ind w:left="0" w:right="0" w:firstLine="0"/>
        <w:jc w:val="left"/>
        <w:rPr>
          <w:rFonts w:hint="default"/>
          <w:color w:val="000000"/>
          <w:spacing w:val="0"/>
          <w:w w:val="100"/>
          <w:position w:val="0"/>
          <w:lang w:val="bg-BG"/>
        </w:rPr>
      </w:pPr>
      <w:r>
        <w:drawing>
          <wp:anchor distT="0" distB="0" distL="50800" distR="50800" simplePos="0" relativeHeight="251659264" behindDoc="0" locked="0" layoutInCell="1" allowOverlap="1">
            <wp:simplePos x="0" y="0"/>
            <wp:positionH relativeFrom="page">
              <wp:posOffset>3313430</wp:posOffset>
            </wp:positionH>
            <wp:positionV relativeFrom="paragraph">
              <wp:posOffset>309245</wp:posOffset>
            </wp:positionV>
            <wp:extent cx="1036320" cy="895985"/>
            <wp:effectExtent l="0" t="0" r="11430" b="18415"/>
            <wp:wrapSquare wrapText="left"/>
            <wp:docPr id="3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902970</wp:posOffset>
                </wp:positionH>
                <wp:positionV relativeFrom="paragraph">
                  <wp:posOffset>736600</wp:posOffset>
                </wp:positionV>
                <wp:extent cx="179705" cy="167640"/>
                <wp:effectExtent l="0" t="0" r="0" b="0"/>
                <wp:wrapTopAndBottom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67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>От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1026" o:spt="202" type="#_x0000_t202" style="position:absolute;left:0pt;margin-left:71.1pt;margin-top:58pt;height:13.2pt;width:14.15pt;mso-position-horizontal-relative:page;mso-wrap-distance-bottom:0pt;mso-wrap-distance-top:0pt;mso-wrap-style:none;z-index:251659264;mso-width-relative:page;mso-height-relative:page;" filled="f" stroked="f" coordsize="21600,21600" o:gfxdata="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ekzZ4tYAAAAL&#10;AQAADwAAAAAAAAABACAAAAAiAAAAZHJzL2Rvd25yZXYueG1sUEsBAhQAFAAAAAgAh07iQEfQfNCs&#10;AQAAbw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>От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lang w:val="bg-BG"/>
        </w:rPr>
        <w:t>П</w:t>
      </w:r>
      <w:r>
        <w:rPr>
          <w:rFonts w:hint="default"/>
          <w:color w:val="000000"/>
          <w:spacing w:val="0"/>
          <w:w w:val="100"/>
          <w:position w:val="0"/>
        </w:rPr>
        <w:t>оздрави</w:t>
      </w:r>
      <w:r>
        <w:rPr>
          <w:rFonts w:hint="default"/>
          <w:color w:val="000000"/>
          <w:spacing w:val="0"/>
          <w:w w:val="100"/>
          <w:position w:val="0"/>
          <w:lang w:val="bg-BG"/>
        </w:rPr>
        <w:t>,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12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bg-BG"/>
        </w:rPr>
        <w:t>Име</w:t>
      </w:r>
      <w:r>
        <w:rPr>
          <w:color w:val="000000"/>
          <w:spacing w:val="0"/>
          <w:w w:val="100"/>
          <w:position w:val="0"/>
        </w:rPr>
        <w:t xml:space="preserve">: </w:t>
      </w:r>
      <w:r>
        <w:rPr>
          <w:color w:val="000000"/>
          <w:spacing w:val="0"/>
          <w:w w:val="100"/>
          <w:position w:val="0"/>
          <w:lang w:val="bg-BG"/>
        </w:rPr>
        <w:t>Богомил</w:t>
      </w:r>
      <w:r>
        <w:rPr>
          <w:rFonts w:hint="default"/>
          <w:color w:val="000000"/>
          <w:spacing w:val="0"/>
          <w:w w:val="100"/>
          <w:position w:val="0"/>
          <w:lang w:val="bg-BG"/>
        </w:rPr>
        <w:t xml:space="preserve"> Атанасов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bg-BG"/>
        </w:rPr>
        <w:t>Длъжност</w:t>
      </w:r>
      <w:r>
        <w:rPr>
          <w:color w:val="000000"/>
          <w:spacing w:val="0"/>
          <w:w w:val="100"/>
          <w:position w:val="0"/>
        </w:rPr>
        <w:t>: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Упълномощен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 xml:space="preserve">да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подписв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а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320" w:line="240" w:lineRule="auto"/>
        <w:ind w:left="0" w:right="0" w:firstLine="0"/>
        <w:jc w:val="left"/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Съглас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увано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 и подписан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 от името на</w:t>
      </w:r>
      <w:r>
        <w:rPr>
          <w:color w:val="000000"/>
          <w:spacing w:val="0"/>
          <w:w w:val="100"/>
          <w:position w:val="0"/>
        </w:rPr>
        <w:t xml:space="preserve">: </w:t>
      </w:r>
      <w:r>
        <w:rPr>
          <w:b/>
          <w:bCs/>
          <w:color w:val="000000"/>
          <w:spacing w:val="0"/>
          <w:w w:val="100"/>
          <w:position w:val="0"/>
        </w:rPr>
        <w:t>CFP Trading Limited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2669"/>
        </w:tabs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bg-BG"/>
        </w:rPr>
        <w:t>От</w:t>
      </w:r>
      <w:r>
        <w:rPr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bg-BG"/>
        </w:rPr>
        <w:t>Име</w:t>
      </w:r>
      <w:r>
        <w:rPr>
          <w:color w:val="000000"/>
          <w:spacing w:val="0"/>
          <w:w w:val="100"/>
          <w:position w:val="0"/>
        </w:rPr>
        <w:t>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bg-BG"/>
        </w:rPr>
        <w:t>Длъжнаст</w:t>
      </w:r>
      <w:r>
        <w:rPr>
          <w:color w:val="000000"/>
          <w:spacing w:val="0"/>
          <w:w w:val="100"/>
          <w:position w:val="0"/>
        </w:rPr>
        <w:t>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rPr>
          <w:b/>
          <w:bCs/>
          <w:color w:val="000000"/>
          <w:spacing w:val="0"/>
          <w:w w:val="100"/>
          <w:position w:val="0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Съглас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увано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 и подписан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 от името на</w:t>
      </w:r>
      <w:r>
        <w:rPr>
          <w:color w:val="000000"/>
          <w:spacing w:val="0"/>
          <w:w w:val="100"/>
          <w:position w:val="0"/>
        </w:rPr>
        <w:t>:</w:t>
      </w:r>
      <w:r>
        <w:rPr>
          <w:b/>
          <w:bCs/>
          <w:color w:val="000000"/>
          <w:spacing w:val="0"/>
          <w:w w:val="100"/>
          <w:position w:val="0"/>
        </w:rPr>
        <w:t>TIBIEL EOOD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rPr>
          <w:rFonts w:hint="default"/>
          <w:b/>
          <w:bCs/>
          <w:color w:val="000000"/>
          <w:spacing w:val="0"/>
          <w:w w:val="100"/>
          <w:position w:val="0"/>
        </w:rPr>
      </w:pPr>
    </w:p>
    <w:sectPr>
      <w:footnotePr>
        <w:numFmt w:val="decimal"/>
      </w:footnotePr>
      <w:pgSz w:w="11900" w:h="16840"/>
      <w:pgMar w:top="1686" w:right="129" w:bottom="1686" w:left="1403" w:header="1258" w:footer="1258" w:gutter="0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lowerRoman"/>
      <w:lvlText w:val="%1)"/>
      <w:lvlJc w:val="left"/>
      <w:rPr>
        <w:rFonts w:ascii="Calibri" w:hAnsi="Calibri" w:eastAsia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rawingGridHorizontalSpacing w:val="181"/>
  <w:drawingGridVerticalSpacing w:val="181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0E904E1"/>
    <w:rsid w:val="0894556F"/>
    <w:rsid w:val="0C44709E"/>
    <w:rsid w:val="0D7F785F"/>
    <w:rsid w:val="0F2C1516"/>
    <w:rsid w:val="132E59E1"/>
    <w:rsid w:val="142317FB"/>
    <w:rsid w:val="16767731"/>
    <w:rsid w:val="16AA1090"/>
    <w:rsid w:val="16D319C8"/>
    <w:rsid w:val="1822231B"/>
    <w:rsid w:val="1B464A23"/>
    <w:rsid w:val="271E3505"/>
    <w:rsid w:val="2E3E2F77"/>
    <w:rsid w:val="2E46622C"/>
    <w:rsid w:val="32105DA8"/>
    <w:rsid w:val="35E92A04"/>
    <w:rsid w:val="36C84E11"/>
    <w:rsid w:val="3E120783"/>
    <w:rsid w:val="3ED364F0"/>
    <w:rsid w:val="44E50BD4"/>
    <w:rsid w:val="454F2828"/>
    <w:rsid w:val="4EF55950"/>
    <w:rsid w:val="4F7B6548"/>
    <w:rsid w:val="510F62DE"/>
    <w:rsid w:val="561E3608"/>
    <w:rsid w:val="58B5576D"/>
    <w:rsid w:val="61F45E63"/>
    <w:rsid w:val="66274865"/>
    <w:rsid w:val="6D212876"/>
    <w:rsid w:val="6FC7776F"/>
    <w:rsid w:val="736D4054"/>
    <w:rsid w:val="75820CE9"/>
    <w:rsid w:val="75967CE3"/>
    <w:rsid w:val="7AB32D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hAnsi="Courier New" w:eastAsia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2">
    <w:name w:val="Default Paragraph Font"/>
    <w:uiPriority w:val="0"/>
    <w:rPr>
      <w:rFonts w:ascii="Courier New" w:hAnsi="Courier New" w:eastAsia="Courier New" w:cs="Courier New"/>
      <w:color w:val="000000"/>
      <w:spacing w:val="0"/>
      <w:w w:val="100"/>
      <w:position w:val="0"/>
      <w:sz w:val="24"/>
      <w:szCs w:val="24"/>
      <w:shd w:val="clear" w:color="auto" w:fill="auto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qFormat/>
    <w:uiPriority w:val="0"/>
    <w:pPr>
      <w:widowControl w:val="0"/>
      <w:shd w:val="clear" w:color="auto" w:fill="auto"/>
      <w:spacing w:after="260" w:line="252" w:lineRule="auto"/>
    </w:pPr>
    <w:rPr>
      <w:rFonts w:ascii="Calibri" w:hAnsi="Calibri" w:eastAsia="Calibri" w:cs="Calibri"/>
      <w:sz w:val="20"/>
      <w:szCs w:val="20"/>
      <w:u w:val="none"/>
      <w:shd w:val="clear" w:color="auto" w:fill="auto"/>
    </w:rPr>
  </w:style>
  <w:style w:type="character" w:customStyle="1" w:styleId="5">
    <w:name w:val="Body text_"/>
    <w:basedOn w:val="2"/>
    <w:link w:val="4"/>
    <w:qFormat/>
    <w:uiPriority w:val="0"/>
    <w:rPr>
      <w:rFonts w:ascii="Calibri" w:hAnsi="Calibri" w:eastAsia="Calibri" w:cs="Calibri"/>
      <w:sz w:val="20"/>
      <w:szCs w:val="20"/>
      <w:u w:val="none"/>
      <w:shd w:val="clear" w:color="auto" w:fill="auto"/>
    </w:rPr>
  </w:style>
  <w:style w:type="character" w:customStyle="1" w:styleId="6">
    <w:name w:val="Other_"/>
    <w:basedOn w:val="2"/>
    <w:link w:val="7"/>
    <w:qFormat/>
    <w:uiPriority w:val="0"/>
    <w:rPr>
      <w:rFonts w:ascii="Calibri" w:hAnsi="Calibri" w:eastAsia="Calibri" w:cs="Calibri"/>
      <w:sz w:val="20"/>
      <w:szCs w:val="20"/>
      <w:u w:val="none"/>
      <w:shd w:val="clear" w:color="auto" w:fill="auto"/>
    </w:rPr>
  </w:style>
  <w:style w:type="paragraph" w:customStyle="1" w:styleId="7">
    <w:name w:val="Other"/>
    <w:basedOn w:val="1"/>
    <w:link w:val="6"/>
    <w:qFormat/>
    <w:uiPriority w:val="0"/>
    <w:pPr>
      <w:widowControl w:val="0"/>
      <w:shd w:val="clear" w:color="auto" w:fill="auto"/>
    </w:pPr>
    <w:rPr>
      <w:rFonts w:ascii="Calibri" w:hAnsi="Calibri" w:eastAsia="Calibri" w:cs="Calibri"/>
      <w:sz w:val="20"/>
      <w:szCs w:val="20"/>
      <w:u w:val="none"/>
      <w:shd w:val="clear" w:color="auto" w:fill="auto"/>
    </w:rPr>
  </w:style>
  <w:style w:type="character" w:customStyle="1" w:styleId="8">
    <w:name w:val="Heading #1_"/>
    <w:basedOn w:val="2"/>
    <w:link w:val="9"/>
    <w:qFormat/>
    <w:uiPriority w:val="0"/>
    <w:rPr>
      <w:rFonts w:ascii="Calibri" w:hAnsi="Calibri" w:eastAsia="Calibri" w:cs="Calibri"/>
      <w:b/>
      <w:bCs/>
      <w:sz w:val="22"/>
      <w:szCs w:val="22"/>
      <w:u w:val="none"/>
      <w:shd w:val="clear" w:color="auto" w:fill="auto"/>
    </w:rPr>
  </w:style>
  <w:style w:type="paragraph" w:customStyle="1" w:styleId="9">
    <w:name w:val="Heading #1"/>
    <w:basedOn w:val="1"/>
    <w:link w:val="8"/>
    <w:qFormat/>
    <w:uiPriority w:val="0"/>
    <w:pPr>
      <w:widowControl w:val="0"/>
      <w:shd w:val="clear" w:color="auto" w:fill="auto"/>
      <w:spacing w:after="700" w:line="257" w:lineRule="auto"/>
      <w:outlineLvl w:val="0"/>
    </w:pPr>
    <w:rPr>
      <w:rFonts w:ascii="Calibri" w:hAnsi="Calibri" w:eastAsia="Calibri" w:cs="Calibri"/>
      <w:b/>
      <w:bCs/>
      <w:sz w:val="22"/>
      <w:szCs w:val="22"/>
      <w:u w:val="none"/>
      <w:shd w:val="clear" w:color="auto" w:fill="auto"/>
    </w:rPr>
  </w:style>
  <w:style w:type="character" w:customStyle="1" w:styleId="10">
    <w:name w:val="Body text (2)_"/>
    <w:basedOn w:val="2"/>
    <w:link w:val="11"/>
    <w:qFormat/>
    <w:uiPriority w:val="0"/>
    <w:rPr>
      <w:rFonts w:ascii="Times New Roman" w:hAnsi="Times New Roman" w:eastAsia="Times New Roman" w:cs="Times New Roman"/>
      <w:sz w:val="22"/>
      <w:szCs w:val="22"/>
      <w:u w:val="none"/>
      <w:shd w:val="clear" w:color="auto" w:fill="auto"/>
    </w:rPr>
  </w:style>
  <w:style w:type="paragraph" w:customStyle="1" w:styleId="11">
    <w:name w:val="Body text (2)"/>
    <w:basedOn w:val="1"/>
    <w:link w:val="10"/>
    <w:qFormat/>
    <w:uiPriority w:val="0"/>
    <w:pPr>
      <w:widowControl w:val="0"/>
      <w:shd w:val="clear" w:color="auto" w:fill="auto"/>
      <w:spacing w:line="230" w:lineRule="auto"/>
      <w:ind w:left="800" w:firstLine="4120"/>
    </w:pPr>
    <w:rPr>
      <w:rFonts w:ascii="Times New Roman" w:hAnsi="Times New Roman" w:eastAsia="Times New Roman" w:cs="Times New Roman"/>
      <w:sz w:val="22"/>
      <w:szCs w:val="22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2021-07-07T08:08:00Z</dcterms:created>
  <dc:creator>Tom Donkin</dc:creator>
  <cp:lastModifiedBy>Trans</cp:lastModifiedBy>
  <dcterms:modified xsi:type="dcterms:W3CDTF">2021-07-09T07:30:10Z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