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FAA8D" w14:textId="379B2AC6" w:rsidR="00684772" w:rsidRPr="00D6538A" w:rsidRDefault="00000000">
      <w:pPr>
        <w:pStyle w:val="10"/>
        <w:keepNext/>
        <w:keepLines/>
        <w:shd w:val="clear" w:color="auto" w:fill="auto"/>
        <w:spacing w:line="200" w:lineRule="exact"/>
        <w:ind w:left="5060"/>
        <w:rPr>
          <w:rFonts w:ascii="Times New Roman" w:hAnsi="Times New Roman" w:cs="Times New Roman"/>
        </w:rPr>
      </w:pPr>
      <w:bookmarkStart w:id="0" w:name="bookmark0"/>
      <w:r w:rsidRPr="00D6538A">
        <w:rPr>
          <w:rStyle w:val="11"/>
          <w:rFonts w:ascii="Times New Roman" w:hAnsi="Times New Roman" w:cs="Times New Roman"/>
        </w:rPr>
        <w:t>До</w:t>
      </w:r>
      <w:bookmarkEnd w:id="0"/>
    </w:p>
    <w:p w14:paraId="10EEA5D6" w14:textId="77777777" w:rsidR="00684772" w:rsidRPr="00D6538A" w:rsidRDefault="00000000">
      <w:pPr>
        <w:pStyle w:val="20"/>
        <w:keepNext/>
        <w:keepLines/>
        <w:shd w:val="clear" w:color="auto" w:fill="auto"/>
        <w:ind w:left="5060"/>
      </w:pPr>
      <w:bookmarkStart w:id="1" w:name="bookmark1"/>
      <w:r w:rsidRPr="00D6538A">
        <w:rPr>
          <w:rStyle w:val="21"/>
          <w:b/>
          <w:bCs/>
        </w:rPr>
        <w:t>КОМИСИЯ ЗА ЕНЕРГИЙНО И ВОДНО РЕГУЛИРАНЕ</w:t>
      </w:r>
      <w:bookmarkEnd w:id="1"/>
    </w:p>
    <w:p w14:paraId="2E5CC894" w14:textId="77777777" w:rsidR="00684772" w:rsidRPr="00D6538A" w:rsidRDefault="00000000">
      <w:pPr>
        <w:pStyle w:val="23"/>
        <w:shd w:val="clear" w:color="auto" w:fill="auto"/>
        <w:ind w:left="5060"/>
      </w:pPr>
      <w:r w:rsidRPr="00D6538A">
        <w:rPr>
          <w:rStyle w:val="24"/>
        </w:rPr>
        <w:t>бул. „Княз Александър Дондуков” № 8-10,</w:t>
      </w:r>
    </w:p>
    <w:p w14:paraId="3887AB56" w14:textId="77777777" w:rsidR="00684772" w:rsidRPr="00D6538A" w:rsidRDefault="00000000">
      <w:pPr>
        <w:pStyle w:val="23"/>
        <w:shd w:val="clear" w:color="auto" w:fill="auto"/>
        <w:spacing w:after="267"/>
        <w:ind w:left="5060"/>
      </w:pPr>
      <w:r w:rsidRPr="00D6538A">
        <w:rPr>
          <w:rStyle w:val="24"/>
        </w:rPr>
        <w:t>София 1000</w:t>
      </w:r>
    </w:p>
    <w:p w14:paraId="47C4C65A" w14:textId="77777777" w:rsidR="00684772" w:rsidRPr="00D6538A" w:rsidRDefault="00000000">
      <w:pPr>
        <w:pStyle w:val="20"/>
        <w:keepNext/>
        <w:keepLines/>
        <w:shd w:val="clear" w:color="auto" w:fill="auto"/>
        <w:spacing w:after="256" w:line="240" w:lineRule="exact"/>
        <w:ind w:left="5060"/>
      </w:pPr>
      <w:bookmarkStart w:id="2" w:name="bookmark2"/>
      <w:r w:rsidRPr="00D6538A">
        <w:rPr>
          <w:rStyle w:val="21"/>
          <w:b/>
          <w:bCs/>
        </w:rPr>
        <w:t>ПИСМЕНО ПОТВЪРЖДЕНИЕ</w:t>
      </w:r>
      <w:bookmarkEnd w:id="2"/>
    </w:p>
    <w:p w14:paraId="62FA48CE" w14:textId="77777777" w:rsidR="00684772" w:rsidRPr="00D6538A" w:rsidRDefault="00000000">
      <w:pPr>
        <w:pStyle w:val="23"/>
        <w:shd w:val="clear" w:color="auto" w:fill="auto"/>
        <w:spacing w:after="240"/>
        <w:ind w:left="5060"/>
      </w:pPr>
      <w:r w:rsidRPr="00D6538A">
        <w:rPr>
          <w:rStyle w:val="25"/>
        </w:rPr>
        <w:t xml:space="preserve">Основание: </w:t>
      </w:r>
      <w:r w:rsidRPr="00D6538A">
        <w:rPr>
          <w:rStyle w:val="24"/>
        </w:rPr>
        <w:t xml:space="preserve">чл. 19, ал. </w:t>
      </w:r>
      <w:r w:rsidRPr="00D6538A">
        <w:rPr>
          <w:rStyle w:val="26"/>
        </w:rPr>
        <w:t xml:space="preserve">2, 3 </w:t>
      </w:r>
      <w:r w:rsidRPr="00D6538A">
        <w:rPr>
          <w:rStyle w:val="24"/>
        </w:rPr>
        <w:t xml:space="preserve">и 4 от Правилата </w:t>
      </w:r>
      <w:r w:rsidRPr="00D6538A">
        <w:rPr>
          <w:rStyle w:val="26"/>
        </w:rPr>
        <w:t xml:space="preserve">за условията </w:t>
      </w:r>
      <w:r w:rsidRPr="00D6538A">
        <w:rPr>
          <w:rStyle w:val="27"/>
        </w:rPr>
        <w:t xml:space="preserve">и </w:t>
      </w:r>
      <w:r w:rsidRPr="00D6538A">
        <w:rPr>
          <w:rStyle w:val="24"/>
        </w:rPr>
        <w:t xml:space="preserve">реда за предоставяне на достъп до </w:t>
      </w:r>
      <w:r w:rsidRPr="00D6538A">
        <w:rPr>
          <w:rStyle w:val="26"/>
        </w:rPr>
        <w:t xml:space="preserve">електропреносната </w:t>
      </w:r>
      <w:r w:rsidRPr="00D6538A">
        <w:rPr>
          <w:rStyle w:val="27"/>
        </w:rPr>
        <w:t xml:space="preserve">и </w:t>
      </w:r>
      <w:r w:rsidRPr="00D6538A">
        <w:rPr>
          <w:rStyle w:val="24"/>
        </w:rPr>
        <w:t>електроразпределителните мрежи</w:t>
      </w:r>
    </w:p>
    <w:p w14:paraId="36C7E612" w14:textId="2256067A" w:rsidR="00684772" w:rsidRPr="00D6538A" w:rsidRDefault="00D6538A">
      <w:pPr>
        <w:pStyle w:val="23"/>
        <w:shd w:val="clear" w:color="auto" w:fill="auto"/>
        <w:spacing w:after="236"/>
        <w:ind w:firstLine="760"/>
      </w:pPr>
      <w:r>
        <w:rPr>
          <w:rStyle w:val="24"/>
        </w:rPr>
        <w:t>…………………………….</w:t>
      </w:r>
      <w:r w:rsidR="00000000" w:rsidRPr="00D6538A">
        <w:rPr>
          <w:rStyle w:val="24"/>
        </w:rPr>
        <w:t xml:space="preserve">, вписано в Търговския регистър при Агенция по вписванията с ЕИК </w:t>
      </w:r>
      <w:r>
        <w:rPr>
          <w:rStyle w:val="24"/>
        </w:rPr>
        <w:t>……………</w:t>
      </w:r>
      <w:r w:rsidR="00000000" w:rsidRPr="00D6538A">
        <w:rPr>
          <w:rStyle w:val="24"/>
        </w:rPr>
        <w:t xml:space="preserve">, </w:t>
      </w:r>
      <w:r w:rsidR="00000000" w:rsidRPr="00D6538A">
        <w:rPr>
          <w:rStyle w:val="26"/>
        </w:rPr>
        <w:t xml:space="preserve">със </w:t>
      </w:r>
      <w:r w:rsidR="00000000" w:rsidRPr="00D6538A">
        <w:rPr>
          <w:rStyle w:val="24"/>
        </w:rPr>
        <w:t xml:space="preserve">седалище и адрес на управление гр. </w:t>
      </w:r>
      <w:r>
        <w:rPr>
          <w:rStyle w:val="24"/>
        </w:rPr>
        <w:t>…………………..</w:t>
      </w:r>
      <w:r w:rsidR="00000000" w:rsidRPr="00D6538A">
        <w:rPr>
          <w:rStyle w:val="24"/>
        </w:rPr>
        <w:t xml:space="preserve">, с </w:t>
      </w:r>
      <w:r w:rsidR="00000000" w:rsidRPr="00D6538A">
        <w:rPr>
          <w:rStyle w:val="26"/>
        </w:rPr>
        <w:t xml:space="preserve">настоящото </w:t>
      </w:r>
      <w:r w:rsidR="00000000" w:rsidRPr="00D6538A">
        <w:rPr>
          <w:rStyle w:val="24"/>
        </w:rPr>
        <w:t xml:space="preserve">потвърждаваме, </w:t>
      </w:r>
      <w:r w:rsidR="00000000" w:rsidRPr="00D6538A">
        <w:rPr>
          <w:rStyle w:val="26"/>
        </w:rPr>
        <w:t xml:space="preserve">че </w:t>
      </w:r>
      <w:proofErr w:type="spellStart"/>
      <w:r w:rsidR="00000000" w:rsidRPr="00D6538A">
        <w:rPr>
          <w:rStyle w:val="26"/>
        </w:rPr>
        <w:t>смс</w:t>
      </w:r>
      <w:proofErr w:type="spellEnd"/>
      <w:r w:rsidR="00000000" w:rsidRPr="00D6538A">
        <w:rPr>
          <w:rStyle w:val="26"/>
        </w:rPr>
        <w:t xml:space="preserve"> </w:t>
      </w:r>
      <w:r w:rsidR="00000000" w:rsidRPr="00D6538A">
        <w:rPr>
          <w:rStyle w:val="24"/>
        </w:rPr>
        <w:t>информирани от нашия клиент „</w:t>
      </w:r>
      <w:r>
        <w:rPr>
          <w:rStyle w:val="24"/>
        </w:rPr>
        <w:t>ТИБИЕЛ</w:t>
      </w:r>
      <w:r w:rsidR="00000000" w:rsidRPr="00D6538A">
        <w:rPr>
          <w:rStyle w:val="24"/>
        </w:rPr>
        <w:t xml:space="preserve">“ ЕООД, ЕИК </w:t>
      </w:r>
      <w:r w:rsidRPr="00D6538A">
        <w:rPr>
          <w:rStyle w:val="24"/>
        </w:rPr>
        <w:t>106588084</w:t>
      </w:r>
      <w:r w:rsidR="00000000" w:rsidRPr="00D6538A">
        <w:rPr>
          <w:rStyle w:val="24"/>
        </w:rPr>
        <w:t xml:space="preserve">, със седалище и </w:t>
      </w:r>
      <w:r w:rsidR="00000000" w:rsidRPr="00D6538A">
        <w:rPr>
          <w:rStyle w:val="26"/>
        </w:rPr>
        <w:t xml:space="preserve">адрес на </w:t>
      </w:r>
      <w:r w:rsidR="00000000" w:rsidRPr="00D6538A">
        <w:rPr>
          <w:rStyle w:val="24"/>
        </w:rPr>
        <w:t xml:space="preserve">управление: </w:t>
      </w:r>
      <w:proofErr w:type="spellStart"/>
      <w:r w:rsidRPr="00D6538A">
        <w:rPr>
          <w:rStyle w:val="24"/>
        </w:rPr>
        <w:t>Обл.Перник</w:t>
      </w:r>
      <w:proofErr w:type="spellEnd"/>
      <w:r w:rsidRPr="00D6538A">
        <w:rPr>
          <w:rStyle w:val="24"/>
        </w:rPr>
        <w:t xml:space="preserve">, </w:t>
      </w:r>
      <w:proofErr w:type="spellStart"/>
      <w:r w:rsidRPr="00D6538A">
        <w:rPr>
          <w:rStyle w:val="24"/>
        </w:rPr>
        <w:t>гр.Перник</w:t>
      </w:r>
      <w:proofErr w:type="spellEnd"/>
      <w:r w:rsidRPr="00D6538A">
        <w:rPr>
          <w:rStyle w:val="24"/>
        </w:rPr>
        <w:t xml:space="preserve">, </w:t>
      </w:r>
      <w:proofErr w:type="spellStart"/>
      <w:r w:rsidRPr="00D6538A">
        <w:rPr>
          <w:rStyle w:val="24"/>
        </w:rPr>
        <w:t>п.код</w:t>
      </w:r>
      <w:proofErr w:type="spellEnd"/>
      <w:r w:rsidRPr="00D6538A">
        <w:rPr>
          <w:rStyle w:val="24"/>
        </w:rPr>
        <w:t xml:space="preserve"> 2300, ул. Кракра № 70</w:t>
      </w:r>
      <w:r w:rsidR="00000000" w:rsidRPr="00D6538A">
        <w:rPr>
          <w:rStyle w:val="26"/>
        </w:rPr>
        <w:t xml:space="preserve">, </w:t>
      </w:r>
      <w:r w:rsidR="00000000" w:rsidRPr="00D6538A">
        <w:rPr>
          <w:rStyle w:val="24"/>
        </w:rPr>
        <w:t xml:space="preserve">че подава заявление в Комисия за енергийно и водно регулиране (КЕВР) за издаване на лицензия за дейността „търговия </w:t>
      </w:r>
      <w:r w:rsidR="00000000" w:rsidRPr="00D6538A">
        <w:rPr>
          <w:rStyle w:val="26"/>
        </w:rPr>
        <w:t xml:space="preserve">с </w:t>
      </w:r>
      <w:r w:rsidR="00000000" w:rsidRPr="00D6538A">
        <w:rPr>
          <w:rStyle w:val="24"/>
        </w:rPr>
        <w:t xml:space="preserve">електрическа енергия“. Уведомени сме, че съгласно разпоредбите на Наредба № 3 от 21.03.2013 г. за лицензиране </w:t>
      </w:r>
      <w:r w:rsidR="00000000" w:rsidRPr="00D6538A">
        <w:rPr>
          <w:rStyle w:val="26"/>
        </w:rPr>
        <w:t xml:space="preserve">на </w:t>
      </w:r>
      <w:r w:rsidR="00000000" w:rsidRPr="00D6538A">
        <w:rPr>
          <w:rStyle w:val="24"/>
        </w:rPr>
        <w:t xml:space="preserve">дейностите в енергетиката и Правилата за условията и реда за предоставяне на достъп до електропреносната </w:t>
      </w:r>
      <w:r w:rsidR="00000000" w:rsidRPr="00D6538A">
        <w:rPr>
          <w:rStyle w:val="26"/>
        </w:rPr>
        <w:t xml:space="preserve">и </w:t>
      </w:r>
      <w:r w:rsidR="00000000" w:rsidRPr="00D6538A">
        <w:rPr>
          <w:rStyle w:val="24"/>
        </w:rPr>
        <w:t xml:space="preserve">електроразпределителните мрежи се изисква поддържане на сума в специална разплащателна сметка за обезпечаване </w:t>
      </w:r>
      <w:r w:rsidR="00000000" w:rsidRPr="00D6538A">
        <w:rPr>
          <w:rStyle w:val="26"/>
        </w:rPr>
        <w:t xml:space="preserve">на </w:t>
      </w:r>
      <w:r w:rsidR="00000000" w:rsidRPr="00D6538A">
        <w:rPr>
          <w:rStyle w:val="24"/>
        </w:rPr>
        <w:t>задълженията на Наредителя по сделки с електрическа енергия на територията на Република България.</w:t>
      </w:r>
    </w:p>
    <w:p w14:paraId="2DD21536" w14:textId="16832C9E" w:rsidR="00684772" w:rsidRPr="00D6538A" w:rsidRDefault="00000000">
      <w:pPr>
        <w:pStyle w:val="20"/>
        <w:keepNext/>
        <w:keepLines/>
        <w:shd w:val="clear" w:color="auto" w:fill="auto"/>
        <w:spacing w:after="240" w:line="278" w:lineRule="exact"/>
      </w:pPr>
      <w:bookmarkStart w:id="3" w:name="bookmark3"/>
      <w:r w:rsidRPr="00D6538A">
        <w:rPr>
          <w:rStyle w:val="21"/>
          <w:b/>
          <w:bCs/>
        </w:rPr>
        <w:t>Във връзка с гореизложеното и но нареждане на „</w:t>
      </w:r>
      <w:r w:rsidR="00D6538A">
        <w:rPr>
          <w:rStyle w:val="21"/>
          <w:b/>
          <w:bCs/>
        </w:rPr>
        <w:t>ТИБИЕЛ</w:t>
      </w:r>
      <w:r w:rsidRPr="00D6538A">
        <w:rPr>
          <w:rStyle w:val="21"/>
          <w:b/>
          <w:bCs/>
        </w:rPr>
        <w:t>“ ЕООД, „</w:t>
      </w:r>
      <w:r w:rsidR="00D6538A">
        <w:rPr>
          <w:rStyle w:val="21"/>
          <w:b/>
          <w:bCs/>
        </w:rPr>
        <w:t>…………………..</w:t>
      </w:r>
      <w:r w:rsidRPr="00D6538A">
        <w:rPr>
          <w:rStyle w:val="21"/>
          <w:b/>
          <w:bCs/>
        </w:rPr>
        <w:t>”с настоящото потвърждава и удостоверява, че:</w:t>
      </w:r>
      <w:bookmarkEnd w:id="3"/>
    </w:p>
    <w:p w14:paraId="6F8475D5" w14:textId="4AA31900" w:rsidR="00684772" w:rsidRPr="00D6538A" w:rsidRDefault="00000000">
      <w:pPr>
        <w:pStyle w:val="23"/>
        <w:numPr>
          <w:ilvl w:val="0"/>
          <w:numId w:val="1"/>
        </w:numPr>
        <w:shd w:val="clear" w:color="auto" w:fill="auto"/>
        <w:tabs>
          <w:tab w:val="left" w:pos="255"/>
        </w:tabs>
        <w:spacing w:after="271" w:line="278" w:lineRule="exact"/>
      </w:pPr>
      <w:r w:rsidRPr="00D6538A">
        <w:rPr>
          <w:rStyle w:val="24"/>
        </w:rPr>
        <w:t>По възлагане на „</w:t>
      </w:r>
      <w:r w:rsidR="00D6538A">
        <w:rPr>
          <w:rStyle w:val="24"/>
        </w:rPr>
        <w:t>ТИБИЕЛ</w:t>
      </w:r>
      <w:r w:rsidRPr="00D6538A">
        <w:rPr>
          <w:rStyle w:val="24"/>
        </w:rPr>
        <w:t xml:space="preserve">“ ЕООД Банката е открила разплащателна сметка с </w:t>
      </w:r>
      <w:r w:rsidRPr="00D6538A">
        <w:rPr>
          <w:rStyle w:val="25"/>
          <w:lang w:val="en-US" w:eastAsia="en-US" w:bidi="en-US"/>
        </w:rPr>
        <w:t xml:space="preserve">IBAN </w:t>
      </w:r>
      <w:r w:rsidR="00D6538A">
        <w:rPr>
          <w:rStyle w:val="25"/>
          <w:lang w:eastAsia="en-US" w:bidi="en-US"/>
        </w:rPr>
        <w:t>………………….</w:t>
      </w:r>
      <w:r w:rsidRPr="00D6538A">
        <w:rPr>
          <w:rStyle w:val="25"/>
        </w:rPr>
        <w:t xml:space="preserve">, </w:t>
      </w:r>
      <w:r w:rsidRPr="00D6538A">
        <w:rPr>
          <w:rStyle w:val="24"/>
        </w:rPr>
        <w:t xml:space="preserve">с налична сума по нея към датата на издаване на това писмено потвърждение, в размер на </w:t>
      </w:r>
      <w:r w:rsidRPr="00D6538A">
        <w:rPr>
          <w:rStyle w:val="25"/>
          <w:lang w:val="en-US" w:eastAsia="en-US" w:bidi="en-US"/>
        </w:rPr>
        <w:t xml:space="preserve">BGN </w:t>
      </w:r>
      <w:r w:rsidRPr="00D6538A">
        <w:rPr>
          <w:rStyle w:val="25"/>
        </w:rPr>
        <w:t xml:space="preserve">200 000.00 </w:t>
      </w:r>
      <w:r w:rsidRPr="00D6538A">
        <w:rPr>
          <w:rStyle w:val="24"/>
        </w:rPr>
        <w:t>(двеста хиляди лева) лева. Сумата по сметката е блокирана.</w:t>
      </w:r>
    </w:p>
    <w:p w14:paraId="47A95594" w14:textId="4DCC563D" w:rsidR="00684772" w:rsidRPr="00D6538A" w:rsidRDefault="00000000">
      <w:pPr>
        <w:pStyle w:val="23"/>
        <w:numPr>
          <w:ilvl w:val="0"/>
          <w:numId w:val="1"/>
        </w:numPr>
        <w:shd w:val="clear" w:color="auto" w:fill="auto"/>
        <w:tabs>
          <w:tab w:val="left" w:pos="255"/>
        </w:tabs>
        <w:spacing w:after="256" w:line="240" w:lineRule="exact"/>
      </w:pPr>
      <w:r w:rsidRPr="00D6538A">
        <w:rPr>
          <w:rStyle w:val="24"/>
        </w:rPr>
        <w:t>С подписване на договора за откриване на разплащателна сметка „</w:t>
      </w:r>
      <w:r w:rsidR="00D6538A">
        <w:rPr>
          <w:rStyle w:val="24"/>
        </w:rPr>
        <w:t>ТИБИЕЛ</w:t>
      </w:r>
      <w:r w:rsidRPr="00D6538A">
        <w:rPr>
          <w:rStyle w:val="24"/>
        </w:rPr>
        <w:t>“ ЕООД:</w:t>
      </w:r>
    </w:p>
    <w:p w14:paraId="4644E981" w14:textId="5BB2C2F9" w:rsidR="00684772" w:rsidRPr="00D6538A" w:rsidRDefault="00000000">
      <w:pPr>
        <w:pStyle w:val="23"/>
        <w:numPr>
          <w:ilvl w:val="1"/>
          <w:numId w:val="1"/>
        </w:numPr>
        <w:shd w:val="clear" w:color="auto" w:fill="auto"/>
        <w:tabs>
          <w:tab w:val="left" w:pos="1105"/>
        </w:tabs>
        <w:spacing w:after="233"/>
        <w:ind w:firstLine="760"/>
      </w:pPr>
      <w:r w:rsidRPr="00D6538A">
        <w:rPr>
          <w:rStyle w:val="24"/>
        </w:rPr>
        <w:t xml:space="preserve">е декларирало, че ще се разпорежда със средствата по сметката при спазване на изискванията на Правилата </w:t>
      </w:r>
      <w:r w:rsidRPr="00D6538A">
        <w:rPr>
          <w:rStyle w:val="26"/>
        </w:rPr>
        <w:t xml:space="preserve">за </w:t>
      </w:r>
      <w:r w:rsidRPr="00D6538A">
        <w:rPr>
          <w:rStyle w:val="24"/>
        </w:rPr>
        <w:t xml:space="preserve">условията и реда за предоставяне на достъп до електропреносната и електроразпределителните мрежи </w:t>
      </w:r>
      <w:r w:rsidRPr="00D6538A">
        <w:rPr>
          <w:rStyle w:val="26"/>
        </w:rPr>
        <w:t xml:space="preserve">(„Правилата“). </w:t>
      </w:r>
      <w:r w:rsidRPr="00D6538A">
        <w:rPr>
          <w:rStyle w:val="24"/>
        </w:rPr>
        <w:t>„</w:t>
      </w:r>
      <w:r w:rsidR="00D6538A">
        <w:rPr>
          <w:rStyle w:val="24"/>
        </w:rPr>
        <w:t>ТИБИЕЛ</w:t>
      </w:r>
      <w:r w:rsidRPr="00D6538A">
        <w:rPr>
          <w:rStyle w:val="24"/>
        </w:rPr>
        <w:t>“ ЕООД носи отговорност за спазване на изискванията на Правилата, като „</w:t>
      </w:r>
      <w:r w:rsidR="00D6538A">
        <w:rPr>
          <w:rStyle w:val="24"/>
        </w:rPr>
        <w:t>…………….</w:t>
      </w:r>
      <w:r w:rsidRPr="00D6538A">
        <w:rPr>
          <w:rStyle w:val="24"/>
        </w:rPr>
        <w:t>“ АД няма задължение да следи и не носи отговорност за прилагането на тези изисквания.</w:t>
      </w:r>
    </w:p>
    <w:p w14:paraId="5CBED26D" w14:textId="03B929E8" w:rsidR="00684772" w:rsidRPr="00D6538A" w:rsidRDefault="00000000">
      <w:pPr>
        <w:pStyle w:val="23"/>
        <w:numPr>
          <w:ilvl w:val="1"/>
          <w:numId w:val="1"/>
        </w:numPr>
        <w:shd w:val="clear" w:color="auto" w:fill="auto"/>
        <w:tabs>
          <w:tab w:val="left" w:pos="1100"/>
        </w:tabs>
        <w:spacing w:after="248" w:line="283" w:lineRule="exact"/>
        <w:ind w:firstLine="760"/>
      </w:pPr>
      <w:r w:rsidRPr="00D6538A">
        <w:rPr>
          <w:rStyle w:val="24"/>
        </w:rPr>
        <w:t xml:space="preserve">е дало изричното си съгласие КЕВР да бъде информирана относно оборотите и салдото по сметката. </w:t>
      </w:r>
      <w:r w:rsidRPr="00D6538A">
        <w:rPr>
          <w:rStyle w:val="26"/>
        </w:rPr>
        <w:t xml:space="preserve">Всички </w:t>
      </w:r>
      <w:r w:rsidRPr="00D6538A">
        <w:rPr>
          <w:rStyle w:val="24"/>
        </w:rPr>
        <w:t>дължими такси и комисионни за описаните услуги са за сметка на „</w:t>
      </w:r>
      <w:r w:rsidR="00D6538A">
        <w:rPr>
          <w:rStyle w:val="24"/>
        </w:rPr>
        <w:t>ТИБИЕЛ</w:t>
      </w:r>
      <w:r w:rsidRPr="00D6538A">
        <w:rPr>
          <w:rStyle w:val="24"/>
        </w:rPr>
        <w:t>“ ЕООД.</w:t>
      </w:r>
    </w:p>
    <w:p w14:paraId="1F9B9443" w14:textId="09B2CF40" w:rsidR="00684772" w:rsidRPr="00D6538A" w:rsidRDefault="00000000">
      <w:pPr>
        <w:pStyle w:val="23"/>
        <w:shd w:val="clear" w:color="auto" w:fill="auto"/>
        <w:spacing w:after="240"/>
        <w:ind w:firstLine="760"/>
      </w:pPr>
      <w:r w:rsidRPr="00D6538A">
        <w:rPr>
          <w:rStyle w:val="24"/>
        </w:rPr>
        <w:t>Във връзка с гореописаното „</w:t>
      </w:r>
      <w:r w:rsidR="00D6538A">
        <w:rPr>
          <w:rStyle w:val="24"/>
        </w:rPr>
        <w:t>……………………..</w:t>
      </w:r>
      <w:r w:rsidRPr="00D6538A">
        <w:rPr>
          <w:rStyle w:val="24"/>
        </w:rPr>
        <w:t>“ АД се задължава при поискване, да предоставя на упълномощен представител на КЕВР информация относно оборотите и салдото по горепосочената сметка на „</w:t>
      </w:r>
      <w:r w:rsidR="00D6538A">
        <w:rPr>
          <w:rStyle w:val="24"/>
        </w:rPr>
        <w:t>ТИБИЕЛ</w:t>
      </w:r>
      <w:r w:rsidRPr="00D6538A">
        <w:rPr>
          <w:rStyle w:val="24"/>
        </w:rPr>
        <w:t>“ ЕООД. „</w:t>
      </w:r>
      <w:r w:rsidR="00D6538A">
        <w:rPr>
          <w:rStyle w:val="24"/>
        </w:rPr>
        <w:t>…………………</w:t>
      </w:r>
      <w:r w:rsidRPr="00D6538A">
        <w:rPr>
          <w:rStyle w:val="24"/>
        </w:rPr>
        <w:t xml:space="preserve">“ АД няма задължение да следи и не носи отговорност за прилагането </w:t>
      </w:r>
      <w:r w:rsidRPr="00D6538A">
        <w:rPr>
          <w:rStyle w:val="26"/>
        </w:rPr>
        <w:t xml:space="preserve">на </w:t>
      </w:r>
      <w:r w:rsidRPr="00D6538A">
        <w:rPr>
          <w:rStyle w:val="24"/>
        </w:rPr>
        <w:t xml:space="preserve">изискванията на Правилата за условията и реда за достъп до електропреносната и електроразпределителните мрежи </w:t>
      </w:r>
      <w:r w:rsidRPr="00D6538A">
        <w:rPr>
          <w:rStyle w:val="26"/>
        </w:rPr>
        <w:t xml:space="preserve">и </w:t>
      </w:r>
      <w:r w:rsidRPr="00D6538A">
        <w:rPr>
          <w:rStyle w:val="24"/>
        </w:rPr>
        <w:t>приложимото законодателство за търговия с електрическа енергия.</w:t>
      </w:r>
    </w:p>
    <w:p w14:paraId="2E93A110" w14:textId="08225E00" w:rsidR="00684772" w:rsidRPr="00D6538A" w:rsidRDefault="00000000">
      <w:pPr>
        <w:pStyle w:val="23"/>
        <w:shd w:val="clear" w:color="auto" w:fill="auto"/>
        <w:ind w:firstLine="760"/>
      </w:pPr>
      <w:r w:rsidRPr="00D6538A">
        <w:rPr>
          <w:rStyle w:val="24"/>
        </w:rPr>
        <w:t xml:space="preserve">Настоящото писмено потвърждение следва да се разглежда и интерпретира единствено и точно според целта </w:t>
      </w:r>
      <w:r w:rsidRPr="00D6538A">
        <w:rPr>
          <w:rStyle w:val="26"/>
        </w:rPr>
        <w:t xml:space="preserve">на </w:t>
      </w:r>
      <w:r w:rsidRPr="00D6538A">
        <w:rPr>
          <w:rStyle w:val="24"/>
        </w:rPr>
        <w:t>издаване. Това потвърждение не задължава по какъвто и да е начин „</w:t>
      </w:r>
      <w:r w:rsidR="00D6538A">
        <w:rPr>
          <w:rStyle w:val="24"/>
        </w:rPr>
        <w:t>…………………</w:t>
      </w:r>
      <w:r w:rsidRPr="00D6538A">
        <w:rPr>
          <w:rStyle w:val="24"/>
        </w:rPr>
        <w:t>” АД, извън описаното по-горе задължение за предоставяне на информация. Издателят „</w:t>
      </w:r>
      <w:r w:rsidR="00D6538A">
        <w:rPr>
          <w:rStyle w:val="24"/>
        </w:rPr>
        <w:t>………………</w:t>
      </w:r>
      <w:r w:rsidRPr="00D6538A">
        <w:rPr>
          <w:rStyle w:val="24"/>
        </w:rPr>
        <w:t>” АД не поема каквато и да е отговорност относно каквито и да е решения и заключения, направени от трети лица в резултат на това писмено потвърждение.</w:t>
      </w:r>
    </w:p>
    <w:p w14:paraId="5F1E4360" w14:textId="77777777" w:rsidR="00684772" w:rsidRPr="00D6538A" w:rsidRDefault="00684772">
      <w:pPr>
        <w:rPr>
          <w:rFonts w:ascii="Times New Roman" w:hAnsi="Times New Roman" w:cs="Times New Roman"/>
          <w:sz w:val="2"/>
          <w:szCs w:val="2"/>
        </w:rPr>
      </w:pPr>
    </w:p>
    <w:p w14:paraId="270BB163" w14:textId="77777777" w:rsidR="00684772" w:rsidRPr="00D6538A" w:rsidRDefault="00684772">
      <w:pPr>
        <w:rPr>
          <w:rFonts w:ascii="Times New Roman" w:hAnsi="Times New Roman" w:cs="Times New Roman"/>
          <w:sz w:val="2"/>
          <w:szCs w:val="2"/>
        </w:rPr>
      </w:pPr>
    </w:p>
    <w:sectPr w:rsidR="00684772" w:rsidRPr="00D6538A">
      <w:pgSz w:w="11900" w:h="16840"/>
      <w:pgMar w:top="908" w:right="1228" w:bottom="2077" w:left="92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BDED7" w14:textId="77777777" w:rsidR="00F24CC0" w:rsidRDefault="00F24CC0">
      <w:r>
        <w:separator/>
      </w:r>
    </w:p>
  </w:endnote>
  <w:endnote w:type="continuationSeparator" w:id="0">
    <w:p w14:paraId="0168386C" w14:textId="77777777" w:rsidR="00F24CC0" w:rsidRDefault="00F24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71E1C" w14:textId="77777777" w:rsidR="00F24CC0" w:rsidRDefault="00F24CC0"/>
  </w:footnote>
  <w:footnote w:type="continuationSeparator" w:id="0">
    <w:p w14:paraId="2A14CB29" w14:textId="77777777" w:rsidR="00F24CC0" w:rsidRDefault="00F24C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72D90"/>
    <w:multiLevelType w:val="multilevel"/>
    <w:tmpl w:val="626C1E6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70"/>
        <w:position w:val="0"/>
        <w:sz w:val="24"/>
        <w:szCs w:val="24"/>
        <w:u w:val="none"/>
        <w:lang w:val="bg-BG" w:eastAsia="bg-BG" w:bidi="bg-BG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70"/>
        <w:position w:val="0"/>
        <w:sz w:val="24"/>
        <w:szCs w:val="24"/>
        <w:u w:val="none"/>
        <w:lang w:val="bg-BG" w:eastAsia="bg-BG" w:bidi="bg-BG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8072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72"/>
    <w:rsid w:val="00684772"/>
    <w:rsid w:val="008818EF"/>
    <w:rsid w:val="00D6538A"/>
    <w:rsid w:val="00F24CC0"/>
    <w:rsid w:val="00F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C333D"/>
  <w15:docId w15:val="{01A7FE4A-1BBF-421C-95A5-E4687DFD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bg-BG" w:eastAsia="bg-BG" w:bidi="bg-BG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3Exact">
    <w:name w:val="Основен текст (3) Exact"/>
    <w:basedOn w:val="DefaultParagraphFont"/>
    <w:link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Exact0">
    <w:name w:val="Основен текст (3) Exact"/>
    <w:basedOn w:val="3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bg-BG" w:eastAsia="bg-BG" w:bidi="bg-BG"/>
    </w:rPr>
  </w:style>
  <w:style w:type="character" w:customStyle="1" w:styleId="4Exact">
    <w:name w:val="Основен текст (4) Exact"/>
    <w:basedOn w:val="DefaultParagraphFont"/>
    <w:link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Exact0">
    <w:name w:val="Основен текст (4) + Малки букви Exact"/>
    <w:basedOn w:val="4Exact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bg-BG" w:eastAsia="bg-BG" w:bidi="bg-BG"/>
    </w:rPr>
  </w:style>
  <w:style w:type="character" w:customStyle="1" w:styleId="4Exact1">
    <w:name w:val="Основен текст (4) Exact"/>
    <w:basedOn w:val="4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bg-BG" w:eastAsia="bg-BG" w:bidi="bg-BG"/>
    </w:rPr>
  </w:style>
  <w:style w:type="character" w:customStyle="1" w:styleId="4Sylfaen9ptExact">
    <w:name w:val="Основен текст (4) + Sylfaen;9 pt;Не е удебелен Exact"/>
    <w:basedOn w:val="4Exact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bg-BG" w:eastAsia="bg-BG" w:bidi="bg-BG"/>
    </w:rPr>
  </w:style>
  <w:style w:type="character" w:customStyle="1" w:styleId="4Sylfaen0ptExact">
    <w:name w:val="Основен текст (4) + Sylfaen;Не е удебелен;Курсив;Разредка 0 pt Exact"/>
    <w:basedOn w:val="4Exact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5Exact">
    <w:name w:val="Основен текст (5) Exact"/>
    <w:basedOn w:val="DefaultParagraphFont"/>
    <w:link w:val="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5Exact0">
    <w:name w:val="Основен текст (5) Exact"/>
    <w:basedOn w:val="5Exac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bg-BG" w:eastAsia="bg-BG" w:bidi="bg-BG"/>
    </w:rPr>
  </w:style>
  <w:style w:type="character" w:customStyle="1" w:styleId="1">
    <w:name w:val="Заглавие #1_"/>
    <w:basedOn w:val="DefaultParagraphFont"/>
    <w:link w:val="1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11">
    <w:name w:val="Заглавие #1"/>
    <w:basedOn w:val="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bg-BG" w:eastAsia="bg-BG" w:bidi="bg-BG"/>
    </w:rPr>
  </w:style>
  <w:style w:type="character" w:customStyle="1" w:styleId="a">
    <w:name w:val="Горен или долен колонтитул_"/>
    <w:basedOn w:val="DefaultParagraphFont"/>
    <w:link w:val="a0"/>
    <w:rPr>
      <w:rFonts w:ascii="Arial Narrow" w:eastAsia="Arial Narrow" w:hAnsi="Arial Narrow" w:cs="Arial Narrow"/>
      <w:b/>
      <w:bCs/>
      <w:i w:val="0"/>
      <w:iCs w:val="0"/>
      <w:smallCaps w:val="0"/>
      <w:strike w:val="0"/>
      <w:w w:val="100"/>
      <w:sz w:val="14"/>
      <w:szCs w:val="14"/>
      <w:u w:val="none"/>
      <w:lang w:val="en-US" w:eastAsia="en-US" w:bidi="en-US"/>
    </w:rPr>
  </w:style>
  <w:style w:type="character" w:customStyle="1" w:styleId="a1">
    <w:name w:val="Горен или долен колонтитул"/>
    <w:basedOn w:val="a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">
    <w:name w:val="Заглавие #2_"/>
    <w:basedOn w:val="DefaultParagraphFont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0"/>
      <w:u w:val="none"/>
    </w:rPr>
  </w:style>
  <w:style w:type="character" w:customStyle="1" w:styleId="21">
    <w:name w:val="Заглавие #2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0"/>
      <w:position w:val="0"/>
      <w:sz w:val="24"/>
      <w:szCs w:val="24"/>
      <w:u w:val="none"/>
      <w:lang w:val="bg-BG" w:eastAsia="bg-BG" w:bidi="bg-BG"/>
    </w:rPr>
  </w:style>
  <w:style w:type="character" w:customStyle="1" w:styleId="22">
    <w:name w:val="Основен текст (2)_"/>
    <w:basedOn w:val="DefaultParagraphFont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70"/>
      <w:u w:val="none"/>
    </w:rPr>
  </w:style>
  <w:style w:type="character" w:customStyle="1" w:styleId="24">
    <w:name w:val="Основен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24"/>
      <w:szCs w:val="24"/>
      <w:u w:val="none"/>
      <w:lang w:val="bg-BG" w:eastAsia="bg-BG" w:bidi="bg-BG"/>
    </w:rPr>
  </w:style>
  <w:style w:type="character" w:customStyle="1" w:styleId="25">
    <w:name w:val="Основен текст (2) + Удебелен"/>
    <w:basedOn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0"/>
      <w:position w:val="0"/>
      <w:sz w:val="24"/>
      <w:szCs w:val="24"/>
      <w:u w:val="none"/>
      <w:lang w:val="bg-BG" w:eastAsia="bg-BG" w:bidi="bg-BG"/>
    </w:rPr>
  </w:style>
  <w:style w:type="character" w:customStyle="1" w:styleId="26">
    <w:name w:val="Основен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24"/>
      <w:szCs w:val="24"/>
      <w:u w:val="none"/>
      <w:lang w:val="bg-BG" w:eastAsia="bg-BG" w:bidi="bg-BG"/>
    </w:rPr>
  </w:style>
  <w:style w:type="character" w:customStyle="1" w:styleId="27">
    <w:name w:val="Основен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24"/>
      <w:szCs w:val="24"/>
      <w:u w:val="none"/>
      <w:lang w:val="bg-BG" w:eastAsia="bg-BG" w:bidi="bg-BG"/>
    </w:rPr>
  </w:style>
  <w:style w:type="paragraph" w:customStyle="1" w:styleId="3">
    <w:name w:val="Основен текст (3)"/>
    <w:basedOn w:val="Normal"/>
    <w:link w:val="3Exact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">
    <w:name w:val="Основен текст (4)"/>
    <w:basedOn w:val="Normal"/>
    <w:link w:val="4Exact"/>
    <w:pPr>
      <w:shd w:val="clear" w:color="auto" w:fill="FFFFFF"/>
      <w:spacing w:line="187" w:lineRule="exac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5">
    <w:name w:val="Основен текст (5)"/>
    <w:basedOn w:val="Normal"/>
    <w:link w:val="5Exact"/>
    <w:pPr>
      <w:shd w:val="clear" w:color="auto" w:fill="FFFFFF"/>
      <w:spacing w:line="0" w:lineRule="atLeast"/>
      <w:jc w:val="both"/>
    </w:pPr>
    <w:rPr>
      <w:rFonts w:ascii="Sylfaen" w:eastAsia="Sylfaen" w:hAnsi="Sylfaen" w:cs="Sylfaen"/>
      <w:sz w:val="16"/>
      <w:szCs w:val="16"/>
    </w:rPr>
  </w:style>
  <w:style w:type="paragraph" w:customStyle="1" w:styleId="10">
    <w:name w:val="Заглавие #1"/>
    <w:basedOn w:val="Normal"/>
    <w:link w:val="1"/>
    <w:pPr>
      <w:shd w:val="clear" w:color="auto" w:fill="FFFFFF"/>
      <w:spacing w:line="0" w:lineRule="atLeast"/>
      <w:jc w:val="both"/>
      <w:outlineLvl w:val="0"/>
    </w:pPr>
    <w:rPr>
      <w:rFonts w:ascii="Arial Narrow" w:eastAsia="Arial Narrow" w:hAnsi="Arial Narrow" w:cs="Arial Narrow"/>
      <w:sz w:val="20"/>
      <w:szCs w:val="20"/>
    </w:rPr>
  </w:style>
  <w:style w:type="paragraph" w:customStyle="1" w:styleId="a0">
    <w:name w:val="Горен или долен колонтитул"/>
    <w:basedOn w:val="Normal"/>
    <w:link w:val="a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14"/>
      <w:szCs w:val="14"/>
      <w:lang w:val="en-US" w:eastAsia="en-US" w:bidi="en-US"/>
    </w:rPr>
  </w:style>
  <w:style w:type="paragraph" w:customStyle="1" w:styleId="20">
    <w:name w:val="Заглавие #2"/>
    <w:basedOn w:val="Normal"/>
    <w:link w:val="2"/>
    <w:pPr>
      <w:shd w:val="clear" w:color="auto" w:fill="FFFFFF"/>
      <w:spacing w:line="274" w:lineRule="exact"/>
      <w:jc w:val="both"/>
      <w:outlineLvl w:val="1"/>
    </w:pPr>
    <w:rPr>
      <w:rFonts w:ascii="Times New Roman" w:eastAsia="Times New Roman" w:hAnsi="Times New Roman" w:cs="Times New Roman"/>
      <w:b/>
      <w:bCs/>
      <w:w w:val="70"/>
    </w:rPr>
  </w:style>
  <w:style w:type="paragraph" w:customStyle="1" w:styleId="23">
    <w:name w:val="Основен текст (2)"/>
    <w:basedOn w:val="Normal"/>
    <w:link w:val="22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w w:val="70"/>
    </w:rPr>
  </w:style>
  <w:style w:type="paragraph" w:styleId="Header">
    <w:name w:val="header"/>
    <w:basedOn w:val="Normal"/>
    <w:link w:val="HeaderChar"/>
    <w:uiPriority w:val="99"/>
    <w:unhideWhenUsed/>
    <w:rsid w:val="00D6538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38A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653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8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Aneta Ivanova</dc:creator>
  <cp:lastModifiedBy>Aneta Ivanova</cp:lastModifiedBy>
  <cp:revision>1</cp:revision>
  <dcterms:created xsi:type="dcterms:W3CDTF">2024-07-04T06:19:00Z</dcterms:created>
  <dcterms:modified xsi:type="dcterms:W3CDTF">2024-07-04T06:32:00Z</dcterms:modified>
</cp:coreProperties>
</file>