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347"/>
          <w:sz w:val="56"/>
        </w:rPr>
        <w:t>GALEANO HERRERA | ABOGADOS</w:t>
      </w:r>
    </w:p>
    <w:p>
      <w:pPr>
        <w:jc w:val="center"/>
      </w:pPr>
      <w:r>
        <w:rPr>
          <w:b/>
          <w:color w:val="C5A059"/>
          <w:sz w:val="40"/>
        </w:rPr>
        <w:t>Manual de Jurisprudencia</w:t>
      </w:r>
    </w:p>
    <w:p>
      <w:pPr>
        <w:jc w:val="center"/>
      </w:pPr>
      <w:r>
        <w:rPr>
          <w:i/>
          <w:sz w:val="26"/>
        </w:rPr>
        <w:t>Análisis de cobertura · vacíos · cronograma de curación</w:t>
      </w:r>
    </w:p>
    <w:p/>
    <w:p/>
    <w:p/>
    <w:p/>
    <w:p/>
    <w:p/>
    <w:p/>
    <w:p/>
    <w:p>
      <w:pPr>
        <w:jc w:val="center"/>
      </w:pPr>
      <w:r>
        <w:rPr>
          <w:b/>
          <w:sz w:val="24"/>
        </w:rPr>
        <w:t>Para el titular del despacho y el asistente</w:t>
      </w:r>
    </w:p>
    <w:p>
      <w:pPr>
        <w:jc w:val="center"/>
      </w:pPr>
      <w:r>
        <w:rPr>
          <w:i/>
          <w:color w:val="6B7280"/>
        </w:rPr>
        <w:t>Versión April 2026 · 625 fichas analizadas</w:t>
      </w:r>
    </w:p>
    <w:p>
      <w:r>
        <w:br w:type="page"/>
      </w:r>
    </w:p>
    <w:p>
      <w:r>
        <w:rPr>
          <w:b/>
          <w:color w:val="002347"/>
          <w:sz w:val="44"/>
        </w:rPr>
        <w:t>1. Resumen ejecutivo</w:t>
      </w:r>
    </w:p>
    <w:p>
      <w:r>
        <w:t>Al cierre de esta versión del manual, el cerebro RAG cuenta con **625 fichas** indexadas, extraídas de los boletines de tutelas de la Sala de Casación Civil, Laboral, Penal y Sala Plena de la Corte Suprema de Justicia (2018-2025). Esta base sostiene tanto las simulaciones públicas del cliente como las consultas avanzadas del asistente jurídico para los abogados.</w:t>
      </w:r>
    </w:p>
    <w:p>
      <w:r>
        <w:t>Este manual analiza la cobertura por área legal, identifica vacíos críticos (especialmente en Salud y Accidentes) y propone un cronograma trimestral de curación a cargo del asistente del despacho.</w:t>
      </w:r>
    </w:p>
    <w:p>
      <w:r>
        <w:rPr>
          <w:b/>
          <w:color w:val="002347"/>
          <w:sz w:val="30"/>
        </w:rPr>
        <w:t>Distribución por sala (n=625)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Sala</w:t>
            </w:r>
          </w:p>
        </w:tc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Fichas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PENAL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274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CIVIL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169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LABORAL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PLENA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78</w:t>
            </w:r>
          </w:p>
        </w:tc>
      </w:tr>
    </w:tbl>
    <w:p/>
    <w:p>
      <w:r>
        <w:rPr>
          <w:b/>
          <w:color w:val="002347"/>
          <w:sz w:val="30"/>
        </w:rPr>
        <w:t>Distribución por año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Año</w:t>
            </w:r>
          </w:p>
        </w:tc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Fichas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1059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2022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190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2023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152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2024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157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2025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125</w:t>
            </w:r>
          </w:p>
        </w:tc>
      </w:tr>
    </w:tbl>
    <w:p/>
    <w:p>
      <w:r>
        <w:br w:type="page"/>
      </w:r>
    </w:p>
    <w:p>
      <w:r>
        <w:rPr>
          <w:b/>
          <w:color w:val="002347"/>
          <w:sz w:val="44"/>
        </w:rPr>
        <w:t>2. Cobertura por área legal</w:t>
      </w:r>
    </w:p>
    <w:p>
      <w:r>
        <w:t>Cada ficha puede tener una o varias áreas. La distribución refleja qué tan preparado está el motor para responder consultas reales: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Fichas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Cobertura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derechos_fundamentales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406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✅ Excelente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laboral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216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✅ Excelente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pensiones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🟢 Buena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salud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🟡 Aceptable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insolvencia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🟡 Aceptable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accidentes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🔴 Crítica</w:t>
            </w:r>
          </w:p>
        </w:tc>
      </w:tr>
    </w:tbl>
    <w:p/>
    <w:p>
      <w:r>
        <w:rPr>
          <w:b/>
          <w:color w:val="002347"/>
          <w:sz w:val="30"/>
        </w:rPr>
        <w:t>Análisis área por área</w:t>
      </w:r>
    </w:p>
    <w:p>
      <w:r>
        <w:rPr>
          <w:b/>
          <w:color w:val="C5A059"/>
          <w:sz w:val="24"/>
        </w:rPr>
        <w:t>Salud · 41 fichas</w:t>
      </w:r>
    </w:p>
    <w:p>
      <w:r>
        <w:t>Es el área de **mayor demanda real** de tutelas en Colombia (≈ 30% del volumen nacional según Defensoría). La cobertura actual es insuficiente para soportar una pauta agresiva en esta vertical. Con la cobertura presente, el motor responde bien a casos genéricos (negativa de medicamento, cirugía no autorizada), pero falla en subreglas finas (cuidador domiciliario, transporte intermunicipal, salud mental, tratamientos integrales).</w:t>
      </w:r>
    </w:p>
    <w:p>
      <w:r>
        <w:t>Faltan especialmente:</w:t>
      </w:r>
    </w:p>
    <w:p>
      <w:pPr>
        <w:pStyle w:val="ListBullet"/>
      </w:pPr>
      <w:r>
        <w:t>Sentencias hito post-Sentencia C-313/14 (Estatutaria Salud).</w:t>
      </w:r>
    </w:p>
    <w:p>
      <w:pPr>
        <w:pStyle w:val="ListBullet"/>
      </w:pPr>
      <w:r>
        <w:t>Líneas 2020-2024 sobre cuidador domiciliario para pacientes postrados.</w:t>
      </w:r>
    </w:p>
    <w:p>
      <w:pPr>
        <w:pStyle w:val="ListBullet"/>
      </w:pPr>
      <w:r>
        <w:t>Casos de tratamiento integral en enfermedades catastróficas (cáncer, VIH, lupus).</w:t>
      </w:r>
    </w:p>
    <w:p>
      <w:pPr>
        <w:pStyle w:val="ListBullet"/>
      </w:pPr>
      <w:r>
        <w:t>Negativas oncológicas específicas (medicamentos no POS).</w:t>
      </w:r>
    </w:p>
    <w:p>
      <w:pPr>
        <w:pStyle w:val="ListBullet"/>
      </w:pPr>
      <w:r>
        <w:t>Salud mental: jurisprudencia creciente en internación involuntaria, atención psiquiátrica continua.</w:t>
      </w:r>
    </w:p>
    <w:p>
      <w:pPr>
        <w:pStyle w:val="ListBullet"/>
      </w:pPr>
      <w:r>
        <w:t>Transporte médico intermunicipal (paciente rural con tratamiento en otra ciudad).</w:t>
      </w:r>
    </w:p>
    <w:p>
      <w:r>
        <w:rPr>
          <w:b/>
          <w:color w:val="C5A059"/>
          <w:sz w:val="24"/>
        </w:rPr>
        <w:t>Accidentes · 9 fichas</w:t>
      </w:r>
    </w:p>
    <w:p>
      <w:r>
        <w:t>Es la cobertura **crítica** del sistema. Casi vacía. Si el despacho pauta esta vertical (landing /c/accidentes), el motor IA improvisa respuestas sin precedentes — riesgo alto de errores.</w:t>
      </w:r>
    </w:p>
    <w:p>
      <w:r>
        <w:t>Faltan:</w:t>
      </w:r>
    </w:p>
    <w:p>
      <w:pPr>
        <w:pStyle w:val="ListBullet"/>
      </w:pPr>
      <w:r>
        <w:t>Carro fantasma / FOSYGA / ADRES (cuando no hay conductor identificado).</w:t>
      </w:r>
    </w:p>
    <w:p>
      <w:pPr>
        <w:pStyle w:val="ListBullet"/>
      </w:pPr>
      <w:r>
        <w:t>Cobertura SOAT 800 SMDLV agotamiento prematuro.</w:t>
      </w:r>
    </w:p>
    <w:p>
      <w:pPr>
        <w:pStyle w:val="ListBullet"/>
      </w:pPr>
      <w:r>
        <w:t>Indemnización por pérdida de capacidad laboral tras accidente.</w:t>
      </w:r>
    </w:p>
    <w:p>
      <w:pPr>
        <w:pStyle w:val="ListBullet"/>
      </w:pPr>
      <w:r>
        <w:t>Responsabilidad civil del conductor ebrio (líneas Sala Civil).</w:t>
      </w:r>
    </w:p>
    <w:p>
      <w:pPr>
        <w:pStyle w:val="ListBullet"/>
      </w:pPr>
      <w:r>
        <w:t>Atención hospitalaria post-accidente (suspensión por trámite con SOAT).</w:t>
      </w:r>
    </w:p>
    <w:p>
      <w:pPr>
        <w:pStyle w:val="ListBullet"/>
      </w:pPr>
      <w:r>
        <w:t>Incapacidades laborales tras siniestro.</w:t>
      </w:r>
    </w:p>
    <w:p>
      <w:r>
        <w:rPr>
          <w:b/>
          <w:color w:val="C5A059"/>
          <w:sz w:val="24"/>
        </w:rPr>
        <w:t>Insolvencia · 38 fichas</w:t>
      </w:r>
    </w:p>
    <w:p>
      <w:r>
        <w:t>Cobertura básica. Lo más necesario:</w:t>
      </w:r>
    </w:p>
    <w:p>
      <w:pPr>
        <w:pStyle w:val="ListBullet"/>
      </w:pPr>
      <w:r>
        <w:t>Régimen Ley 1564 persona natural no comerciante (jurisprudencia 2022+).</w:t>
      </w:r>
    </w:p>
    <w:p>
      <w:pPr>
        <w:pStyle w:val="ListBullet"/>
      </w:pPr>
      <w:r>
        <w:t>Inembargabilidad de cuenta nómina (líneas modernas C-543/92, T-462/96).</w:t>
      </w:r>
    </w:p>
    <w:p>
      <w:pPr>
        <w:pStyle w:val="ListBullet"/>
      </w:pPr>
      <w:r>
        <w:t>Pensiones inembargables (jurisprudencia 2020+).</w:t>
      </w:r>
    </w:p>
    <w:p>
      <w:pPr>
        <w:pStyle w:val="ListBullet"/>
      </w:pPr>
      <w:r>
        <w:t>Procesos ejecutivos sin notificación válida.</w:t>
      </w:r>
    </w:p>
    <w:p>
      <w:r>
        <w:rPr>
          <w:b/>
          <w:color w:val="C5A059"/>
          <w:sz w:val="24"/>
        </w:rPr>
        <w:t>Pensiones · 61 fichas</w:t>
      </w:r>
    </w:p>
    <w:p>
      <w:r>
        <w:t>Cobertura aceptable, pero el área tiene alta demanda y jurisprudencia muy técnica que cambia rápido. Hay que mantenerla actualizada:</w:t>
      </w:r>
    </w:p>
    <w:p>
      <w:pPr>
        <w:pStyle w:val="ListBullet"/>
      </w:pPr>
      <w:r>
        <w:t>Jurisprudencia post-Acto Legislativo 01/05.</w:t>
      </w:r>
    </w:p>
    <w:p>
      <w:pPr>
        <w:pStyle w:val="ListBullet"/>
      </w:pPr>
      <w:r>
        <w:t>Mora administrativa Colpensiones (T-373/15 y posteriores).</w:t>
      </w:r>
    </w:p>
    <w:p>
      <w:pPr>
        <w:pStyle w:val="ListBullet"/>
      </w:pPr>
      <w:r>
        <w:t>Pensión sustitución compañera permanente (líneas 2022+).</w:t>
      </w:r>
    </w:p>
    <w:p>
      <w:pPr>
        <w:pStyle w:val="ListBullet"/>
      </w:pPr>
      <w:r>
        <w:t>Indemnización sustitutiva (líneas 2022-2024).</w:t>
      </w:r>
    </w:p>
    <w:p>
      <w:pPr>
        <w:pStyle w:val="ListBullet"/>
      </w:pPr>
      <w:r>
        <w:t>Bono pensional (cuando se traslada de AFP a Colpensiones).</w:t>
      </w:r>
    </w:p>
    <w:p>
      <w:r>
        <w:rPr>
          <w:b/>
          <w:color w:val="C5A059"/>
          <w:sz w:val="24"/>
        </w:rPr>
        <w:t>Laboral · 216 fichas</w:t>
      </w:r>
    </w:p>
    <w:p>
      <w:r>
        <w:t>Buena cobertura. Mantener actualización con tendencia 2025+:</w:t>
      </w:r>
    </w:p>
    <w:p>
      <w:pPr>
        <w:pStyle w:val="ListBullet"/>
      </w:pPr>
      <w:r>
        <w:t>Acoso laboral con perspectiva de género (Ley 1257/08).</w:t>
      </w:r>
    </w:p>
    <w:p>
      <w:pPr>
        <w:pStyle w:val="ListBullet"/>
      </w:pPr>
      <w:r>
        <w:t>Estabilidad laboral reforzada por discapacidad y enfermedad.</w:t>
      </w:r>
    </w:p>
    <w:p>
      <w:pPr>
        <w:pStyle w:val="ListBullet"/>
      </w:pPr>
      <w:r>
        <w:t>Contrato realidad (líneas 2023+, fallos contra entidades públicas).</w:t>
      </w:r>
    </w:p>
    <w:p>
      <w:pPr>
        <w:pStyle w:val="ListBullet"/>
      </w:pPr>
      <w:r>
        <w:t>Despido en periodo de prueba con discapacidad.</w:t>
      </w:r>
    </w:p>
    <w:p>
      <w:r>
        <w:rPr>
          <w:b/>
          <w:color w:val="C5A059"/>
          <w:sz w:val="24"/>
        </w:rPr>
        <w:t>Derechos Fundamentales · 406 fichas</w:t>
      </w:r>
    </w:p>
    <w:p>
      <w:r>
        <w:t>Cobertura excelente. Es el área 'paraguas' donde caen muchos casos. Mantener el ritmo de carga.</w:t>
      </w:r>
    </w:p>
    <w:p>
      <w:r>
        <w:br w:type="page"/>
      </w:r>
    </w:p>
    <w:p>
      <w:r>
        <w:rPr>
          <w:b/>
          <w:color w:val="002347"/>
          <w:sz w:val="44"/>
        </w:rPr>
        <w:t>3. Cronograma de curación · 90 días</w:t>
      </w:r>
    </w:p>
    <w:p>
      <w:r>
        <w:t>El asistente del despacho dedica ~3 horas semanales a la carga del cerebro RAG. Con ese ritmo, el siguiente cronograma cierra los vacíos críticos en un trimestre.</w:t>
      </w:r>
    </w:p>
    <w:p>
      <w:r>
        <w:rPr>
          <w:b/>
          <w:color w:val="002347"/>
          <w:sz w:val="30"/>
        </w:rPr>
        <w:t>Mes 1 (35 horas del asistente)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Semana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Foco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Meta de fichas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Fuente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Salud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Relatoría CSJ + Boletines mensuales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Accidentes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Relatoría CSJ + Sala Civil 2020-2025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Salud (continuación)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Casos T-760/08 y posteriores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Insolvencia + Pensiones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20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Sala Civil + Sala Laboral</w:t>
            </w:r>
          </w:p>
        </w:tc>
      </w:tr>
    </w:tbl>
    <w:p/>
    <w:p>
      <w:r>
        <w:rPr>
          <w:b/>
          <w:color w:val="002347"/>
          <w:sz w:val="30"/>
        </w:rPr>
        <w:t>Mes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Semana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Foco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Meta de fichas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Fuente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Accidentes (continuación)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Sala Civil + Penal (responsabilidad)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Pensiones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Sala Laboral 2020-2025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Salud (cierre del vacío)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50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Es el área con más demanda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Auditoría general + dedupe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Limpieza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Skill rag-curator</w:t>
            </w:r>
          </w:p>
        </w:tc>
      </w:tr>
    </w:tbl>
    <w:p/>
    <w:p>
      <w:r>
        <w:rPr>
          <w:b/>
          <w:color w:val="002347"/>
          <w:sz w:val="30"/>
        </w:rPr>
        <w:t>Mes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Semana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Foco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Meta de fichas</w:t>
            </w:r>
          </w:p>
        </w:tc>
        <w:tc>
          <w:tcPr>
            <w:tcW w:type="dxa" w:w="2351"/>
          </w:tcPr>
          <w:p>
            <w:r>
              <w:rPr>
                <w:b/>
                <w:color w:val="002347"/>
                <w:sz w:val="20"/>
              </w:rPr>
              <w:t>Fuente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Mantenimiento + tendencias 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20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Boletines recientes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Laboral (refresco)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30 sentencias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Líneas 2024-2025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Doctrina externa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10 documentos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Libros, papers, manuales internos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Reindex completo FAISS + reporte titular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Operación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Admin</w:t>
            </w:r>
          </w:p>
        </w:tc>
      </w:tr>
    </w:tbl>
    <w:p/>
    <w:p>
      <w:r>
        <w:rPr>
          <w:b/>
          <w:color w:val="002347"/>
          <w:sz w:val="30"/>
        </w:rPr>
        <w:t>Resultado esperado tras 90 días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Hoy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Tras Mes 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Salud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140 (insuficiente → buena)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Accidentes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60 (crítica → aceptable)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Insolvencia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70 (insuficiente → buena)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Pensiones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110 (aceptable → excelente)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Laboral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216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250 (mantenimiento)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Derechos Fundamentales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406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Mantener</w:t>
            </w:r>
          </w:p>
        </w:tc>
      </w:tr>
    </w:tbl>
    <w:p/>
    <w:p>
      <w:r>
        <w:br w:type="page"/>
      </w:r>
    </w:p>
    <w:p>
      <w:r>
        <w:rPr>
          <w:b/>
          <w:color w:val="002347"/>
          <w:sz w:val="44"/>
        </w:rPr>
        <w:t>4. Fuentes oficiales para descargar PDFs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Fuente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URL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Qué tiene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Relatoría CSJ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https://relatoria.cortesuprema.gov.co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Sentencias de Sala Civil, Laboral, Penal y Plena. Buscador por radicado, año, sala.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Relatoría Corte Const.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https://relatoria.corteconstitucional.gov.co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Sentencias C, T, SU. Útil para subreglas constitucionales.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Boletines tutelas CSJ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https://cortesuprema.gov.co/boletines-anteriores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Recopilaciones mensuales con extractos curados. Usar cuando es difícil encontrar la sentencia individual.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DIJ Vigías Constitucionales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https://www.dij.usta.edu.co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Doctrina académica. Útil para libros y papers.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Documentos del despacho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Drive interno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Tutelas que ya hemos litigado. Anonimizar antes de cargar al RAG.</w:t>
            </w:r>
          </w:p>
        </w:tc>
      </w:tr>
    </w:tbl>
    <w:p/>
    <w:p>
      <w:r>
        <w:br w:type="page"/>
      </w:r>
    </w:p>
    <w:p>
      <w:r>
        <w:rPr>
          <w:b/>
          <w:color w:val="002347"/>
          <w:sz w:val="44"/>
        </w:rPr>
        <w:t>5. Cómo cargar correctamente cada PDF</w:t>
      </w:r>
    </w:p>
    <w:p>
      <w:r>
        <w:rPr>
          <w:b/>
          <w:color w:val="002347"/>
          <w:sz w:val="30"/>
        </w:rPr>
        <w:t>Antes de subir</w:t>
      </w:r>
    </w:p>
    <w:p>
      <w:pPr>
        <w:pStyle w:val="ListNumber"/>
      </w:pPr>
      <w:r>
        <w:t>Renombrar el archivo a un formato estándar: STC-XXXX-AAAA.pdf, T-XXX-AA.pdf, C-XXX-AA.pdf. Esto le permite al sistema detectar el radicado automáticamente del nombre.</w:t>
      </w:r>
    </w:p>
    <w:p>
      <w:pPr>
        <w:pStyle w:val="ListNumber"/>
      </w:pPr>
      <w:r>
        <w:t>Verificar que el PDF tenga texto seleccionable (no sea solo imagen escaneada). Si no, no funciona.</w:t>
      </w:r>
    </w:p>
    <w:p>
      <w:pPr>
        <w:pStyle w:val="ListNumber"/>
      </w:pPr>
      <w:r>
        <w:t>Si el PDF tiene &gt;100 páginas, dividir en capítulos antes de subir.</w:t>
      </w:r>
    </w:p>
    <w:p>
      <w:r>
        <w:rPr>
          <w:b/>
          <w:color w:val="002347"/>
          <w:sz w:val="30"/>
        </w:rPr>
        <w:t>Al subir</w:t>
      </w:r>
    </w:p>
    <w:p>
      <w:pPr>
        <w:pStyle w:val="ListNumber"/>
      </w:pPr>
      <w:r>
        <w:t>Entrar a /admin → tab 🧠 Cerebro RAG.</w:t>
      </w:r>
    </w:p>
    <w:p>
      <w:pPr>
        <w:pStyle w:val="ListNumber"/>
      </w:pPr>
      <w:r>
        <w:t>Usar 'Subida rápida (sin IA)' para bulks. Cuesta 0 cuota Gemini.</w:t>
      </w:r>
    </w:p>
    <w:p>
      <w:pPr>
        <w:pStyle w:val="ListNumber"/>
      </w:pPr>
      <w:r>
        <w:t>Confirmar que se generen chunks (deben ser &gt;2 por documento normal).</w:t>
      </w:r>
    </w:p>
    <w:p>
      <w:r>
        <w:rPr>
          <w:b/>
          <w:color w:val="002347"/>
          <w:sz w:val="30"/>
        </w:rPr>
        <w:t>Una vez al mes</w:t>
      </w:r>
    </w:p>
    <w:p>
      <w:pPr>
        <w:pStyle w:val="ListNumber"/>
      </w:pPr>
      <w:r>
        <w:t>El admin dispara enriquecimiento por lotes (botón '🤖 Enriquecer 50 con IA').</w:t>
      </w:r>
    </w:p>
    <w:p>
      <w:pPr>
        <w:pStyle w:val="ListNumber"/>
      </w:pPr>
      <w:r>
        <w:t>Esto extrae sala, radicado real, área, temas y tesis automáticamente.</w:t>
      </w:r>
    </w:p>
    <w:p>
      <w:pPr>
        <w:pStyle w:val="ListNumber"/>
      </w:pPr>
      <w:r>
        <w:t>El admin revisa y aprueba los que quedan correctos. Los demás los marca como rejected.</w:t>
      </w:r>
    </w:p>
    <w:p>
      <w:pPr>
        <w:pStyle w:val="ListNumber"/>
      </w:pPr>
      <w:r>
        <w:t>Solo los aprobados entran al motor RAG.</w:t>
      </w:r>
    </w:p>
    <w:p>
      <w:r>
        <w:rPr>
          <w:b/>
          <w:color w:val="002347"/>
          <w:sz w:val="30"/>
        </w:rPr>
        <w:t>Trimestralmente</w:t>
      </w:r>
    </w:p>
    <w:p>
      <w:pPr>
        <w:pStyle w:val="ListNumber"/>
      </w:pPr>
      <w:r>
        <w:t>Reindexar FAISS para que las búsquedas semánticas incluyan los chunks aprobados nuevos.</w:t>
      </w:r>
    </w:p>
    <w:p>
      <w:pPr>
        <w:pStyle w:val="ListNumber"/>
      </w:pPr>
      <w:r>
        <w:t>El admin lo hace con el botón 'Reindexar todo'.</w:t>
      </w:r>
    </w:p>
    <w:p>
      <w:r>
        <w:br w:type="page"/>
      </w:r>
    </w:p>
    <w:p>
      <w:r>
        <w:rPr>
          <w:b/>
          <w:color w:val="002347"/>
          <w:sz w:val="44"/>
        </w:rPr>
        <w:t>6. Métrica de calidad del cerebro RAG</w:t>
      </w:r>
    </w:p>
    <w:p>
      <w:r>
        <w:rPr>
          <w:b/>
          <w:color w:val="002347"/>
          <w:sz w:val="30"/>
        </w:rPr>
        <w:t>Lo que medimos</w:t>
      </w:r>
    </w:p>
    <w:p>
      <w:pPr>
        <w:pStyle w:val="ListBullet"/>
      </w:pPr>
      <w:r>
        <w:t>**Cobertura por área**: cada área debe tener ≥ 50 chunks aprobados.</w:t>
      </w:r>
    </w:p>
    <w:p>
      <w:pPr>
        <w:pStyle w:val="ListBullet"/>
      </w:pPr>
      <w:r>
        <w:t>**Recencia**: 60% de chunks de los últimos 5 años.</w:t>
      </w:r>
    </w:p>
    <w:p>
      <w:pPr>
        <w:pStyle w:val="ListBullet"/>
      </w:pPr>
      <w:r>
        <w:t>**Hit rate del RAG**: ¿qué % de queries de abogados retornan al menos 3 fichas relevantes? Meta: 95%.</w:t>
      </w:r>
    </w:p>
    <w:p>
      <w:pPr>
        <w:pStyle w:val="ListBullet"/>
      </w:pPr>
      <w:r>
        <w:t>**Quejas internas**: si un abogado dice 'el motor no tiene nada de mi tema', es prioridad.</w:t>
      </w:r>
    </w:p>
    <w:p>
      <w:r>
        <w:rPr>
          <w:b/>
          <w:color w:val="002347"/>
          <w:sz w:val="30"/>
        </w:rPr>
        <w:t>Plan de auditoría trimestral</w:t>
      </w:r>
    </w:p>
    <w:p>
      <w:r>
        <w:t>Cada 90 días el titular y el asistente revisan juntos:</w:t>
      </w:r>
    </w:p>
    <w:p>
      <w:pPr>
        <w:pStyle w:val="ListNumber"/>
      </w:pPr>
      <w:r>
        <w:t>Las métricas anteriores.</w:t>
      </w:r>
    </w:p>
    <w:p>
      <w:pPr>
        <w:pStyle w:val="ListNumber"/>
      </w:pPr>
      <w:r>
        <w:t>Las queries con 0 resultados (revelan vacíos del cerebro).</w:t>
      </w:r>
    </w:p>
    <w:p>
      <w:pPr>
        <w:pStyle w:val="ListNumber"/>
      </w:pPr>
      <w:r>
        <w:t>Las quejas o sugerencias de los abogados.</w:t>
      </w:r>
    </w:p>
    <w:p>
      <w:pPr>
        <w:pStyle w:val="ListNumber"/>
      </w:pPr>
      <w:r>
        <w:t>Acciones a tomar para el siguiente trimestre.</w:t>
      </w:r>
    </w:p>
    <w:p>
      <w:r>
        <w:br w:type="page"/>
      </w:r>
    </w:p>
    <w:p>
      <w:r>
        <w:rPr>
          <w:b/>
          <w:color w:val="002347"/>
          <w:sz w:val="44"/>
        </w:rPr>
        <w:t>7. Anexos</w:t>
      </w:r>
    </w:p>
    <w:p>
      <w:r>
        <w:rPr>
          <w:b/>
          <w:color w:val="002347"/>
          <w:sz w:val="30"/>
        </w:rPr>
        <w:t>A. Glosario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Término</w:t>
            </w:r>
          </w:p>
        </w:tc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Ficha CSJ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Una entrada estructurada extraída de los boletines de tutelas. Tiene radicado, sala, año, áreas, temas y texto.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Chunk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Fragmento de un PDF cargado. Cada PDF se divide en chunks de ~1500 caracteres.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BM25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Algoritmo de búsqueda por palabras clave. No usa IA. Gratis e ilimitado.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Embedding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Representación numérica del significado de un texto. Se genera con Gemini, cuesta cuota.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FAISS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Motor de búsqueda por similitud semántica. Combinado con BM25 da el motor RAG completo.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RAG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Retrieval-Augmented Generation. Recupera contexto relevante y lo usa para generar respuestas.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Cobertura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Cuánta jurisprudencia tenemos por área. Se mide en cantidad de fichas/chunks.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Curación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Proceso de revisar, etiquetar, aprobar o rechazar documentos para que el RAG sea de calidad.</w:t>
            </w:r>
          </w:p>
        </w:tc>
      </w:tr>
    </w:tbl>
    <w:p/>
    <w:p>
      <w:r>
        <w:rPr>
          <w:b/>
          <w:color w:val="002347"/>
          <w:sz w:val="30"/>
        </w:rPr>
        <w:t>B. Skills relacionadas</w:t>
      </w:r>
    </w:p>
    <w:p>
      <w:pPr>
        <w:pStyle w:val="ListBullet"/>
      </w:pPr>
      <w:r>
        <w:t>`rag-architect-engineer` — arquitectura del cerebro y costos.</w:t>
      </w:r>
    </w:p>
    <w:p>
      <w:pPr>
        <w:pStyle w:val="ListBullet"/>
      </w:pPr>
      <w:r>
        <w:t>`rag-curator` — calidad del contenido, dedupe, taxonomía.</w:t>
      </w:r>
    </w:p>
    <w:p>
      <w:pPr>
        <w:pStyle w:val="ListBullet"/>
      </w:pPr>
      <w:r>
        <w:t>`abogado-tutelas-colombia` — marco legal y etapas procesales.</w:t>
      </w:r>
    </w:p>
    <w:p>
      <w:pPr>
        <w:pStyle w:val="ListBullet"/>
      </w:pPr>
      <w:r>
        <w:t>`assistant-despacho-junior` — rol que ejecuta este cronograma.</w:t>
      </w:r>
    </w:p>
    <w:p>
      <w:pPr>
        <w:pStyle w:val="ListBullet"/>
      </w:pPr>
      <w:r>
        <w:t>`jurisprudencia-coverage-audit` — auditoría continua.</w:t>
      </w:r>
    </w:p>
    <w:p/>
    <w:p/>
    <w:p>
      <w:pPr>
        <w:jc w:val="center"/>
      </w:pPr>
      <w:r>
        <w:rPr>
          <w:i/>
          <w:color w:val="6B7280"/>
        </w:rPr>
        <w:t>— Fin del Manual de Jurisprudencia —</w:t>
      </w:r>
    </w:p>
    <w:p>
      <w:pPr>
        <w:jc w:val="center"/>
      </w:pPr>
      <w:r>
        <w:rPr>
          <w:b/>
          <w:color w:val="002347"/>
          <w:sz w:val="20"/>
        </w:rPr>
        <w:t>Galeano Herrera | Abogados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