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Bridging</w:t>
      </w:r>
      <w:r>
        <w:t xml:space="preserve"> </w:t>
      </w:r>
      <w:r>
        <w:t xml:space="preserve">Gaussian</w:t>
      </w:r>
      <w:r>
        <w:t xml:space="preserve"> </w:t>
      </w:r>
      <w:r>
        <w:t xml:space="preserve">Markov</w:t>
      </w:r>
      <w:r>
        <w:t xml:space="preserve"> </w:t>
      </w:r>
      <w:r>
        <w:t xml:space="preserve">Random</w:t>
      </w:r>
      <w:r>
        <w:t xml:space="preserve"> </w:t>
      </w:r>
      <w:r>
        <w:t xml:space="preserve">Fields</w:t>
      </w:r>
      <w:r>
        <w:t xml:space="preserve"> </w:t>
      </w:r>
      <w:r>
        <w:t xml:space="preserve">and</w:t>
      </w:r>
      <w:r>
        <w:t xml:space="preserve"> </w:t>
      </w:r>
      <w:r>
        <w:t xml:space="preserve">Copulas:</w:t>
      </w:r>
      <w:r>
        <w:t xml:space="preserve"> </w:t>
      </w:r>
      <w:r>
        <w:t xml:space="preserve">A</w:t>
      </w:r>
      <w:r>
        <w:t xml:space="preserve"> </w:t>
      </w:r>
      <w:r>
        <w:t xml:space="preserve">Fast</w:t>
      </w:r>
      <w:r>
        <w:t xml:space="preserve"> </w:t>
      </w:r>
      <w:r>
        <w:t xml:space="preserve">Algorithm</w:t>
      </w:r>
      <w:r>
        <w:t xml:space="preserve"> </w:t>
      </w:r>
      <w:r>
        <w:t xml:space="preserve">for</w:t>
      </w:r>
      <w:r>
        <w:t xml:space="preserve"> </w:t>
      </w: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with</w:t>
      </w:r>
      <w:r>
        <w:t xml:space="preserve"> </w:t>
      </w:r>
      <w:r>
        <w:t xml:space="preserve">Matérn-like</w:t>
      </w:r>
      <w:r>
        <w:t xml:space="preserve"> </w:t>
      </w:r>
      <w:r>
        <w:t xml:space="preserve">Precision</w:t>
      </w:r>
      <w:r>
        <w:t xml:space="preserve"> </w:t>
      </w:r>
      <w:r>
        <w:t xml:space="preserve">Matrices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2024-07-24</w:t>
      </w:r>
    </w:p>
    <w:p>
      <w:pPr>
        <w:pStyle w:val="AbstractTitle"/>
      </w:pPr>
      <w:r>
        <w:t xml:space="preserve">Abstract</w:t>
      </w:r>
    </w:p>
    <w:p>
      <w:pPr>
        <w:pStyle w:val="Abstract"/>
      </w:pPr>
      <w:r>
        <w:t xml:space="preserve">Gaussian</w:t>
      </w:r>
      <w:r>
        <w:t xml:space="preserve"> </w:t>
      </w:r>
      <w:r>
        <w:t xml:space="preserve">Markov</w:t>
      </w:r>
      <w:r>
        <w:t xml:space="preserve"> </w:t>
      </w:r>
      <w:r>
        <w:t xml:space="preserve">Random</w:t>
      </w:r>
      <w:r>
        <w:t xml:space="preserve"> </w:t>
      </w:r>
      <w:r>
        <w:t xml:space="preserve">Fields</w:t>
      </w:r>
      <w:r>
        <w:t xml:space="preserve"> </w:t>
      </w:r>
      <w:r>
        <w:t xml:space="preserve">(GMRFs)</w:t>
      </w:r>
      <w:r>
        <w:t xml:space="preserve"> </w:t>
      </w:r>
      <w:r>
        <w:t xml:space="preserve">have</w:t>
      </w:r>
      <w:r>
        <w:t xml:space="preserve"> </w:t>
      </w:r>
      <w:r>
        <w:t xml:space="preserve">long</w:t>
      </w:r>
      <w:r>
        <w:t xml:space="preserve"> </w:t>
      </w:r>
      <w:r>
        <w:t xml:space="preserve">been</w:t>
      </w:r>
      <w:r>
        <w:t xml:space="preserve"> </w:t>
      </w:r>
      <w:r>
        <w:t xml:space="preserve">a</w:t>
      </w:r>
      <w:r>
        <w:t xml:space="preserve"> </w:t>
      </w:r>
      <w:r>
        <w:t xml:space="preserve">powerful</w:t>
      </w:r>
      <w:r>
        <w:t xml:space="preserve"> </w:t>
      </w:r>
      <w:r>
        <w:t xml:space="preserve">tool</w:t>
      </w:r>
      <w:r>
        <w:t xml:space="preserve"> </w:t>
      </w:r>
      <w:r>
        <w:t xml:space="preserve">for</w:t>
      </w:r>
      <w:r>
        <w:t xml:space="preserve"> </w:t>
      </w:r>
      <w:r>
        <w:t xml:space="preserve">modeling</w:t>
      </w:r>
      <w:r>
        <w:t xml:space="preserve"> </w:t>
      </w:r>
      <w:r>
        <w:t xml:space="preserve">spatial</w:t>
      </w:r>
      <w:r>
        <w:t xml:space="preserve"> </w:t>
      </w:r>
      <w:r>
        <w:t xml:space="preserve">and</w:t>
      </w:r>
      <w:r>
        <w:t xml:space="preserve"> </w:t>
      </w:r>
      <w:r>
        <w:t xml:space="preserve">temporal</w:t>
      </w:r>
      <w:r>
        <w:t xml:space="preserve"> </w:t>
      </w:r>
      <w:r>
        <w:t xml:space="preserve">dependencies</w:t>
      </w:r>
      <w:r>
        <w:t xml:space="preserve"> </w:t>
      </w:r>
      <w:r>
        <w:t xml:space="preserve">in</w:t>
      </w:r>
      <w:r>
        <w:t xml:space="preserve"> </w:t>
      </w:r>
      <w:r>
        <w:t xml:space="preserve">various</w:t>
      </w:r>
      <w:r>
        <w:t xml:space="preserve"> </w:t>
      </w:r>
      <w:r>
        <w:t xml:space="preserve">fields.</w:t>
      </w:r>
      <w:r>
        <w:t xml:space="preserve"> </w:t>
      </w:r>
      <w:r>
        <w:t xml:space="preserve">Similarly,</w:t>
      </w:r>
      <w:r>
        <w:t xml:space="preserve"> </w:t>
      </w:r>
      <w:r>
        <w:t xml:space="preserve">copulas</w:t>
      </w:r>
      <w:r>
        <w:t xml:space="preserve"> </w:t>
      </w:r>
      <w:r>
        <w:t xml:space="preserve">have</w:t>
      </w:r>
      <w:r>
        <w:t xml:space="preserve"> </w:t>
      </w:r>
      <w:r>
        <w:t xml:space="preserve">proven</w:t>
      </w:r>
      <w:r>
        <w:t xml:space="preserve"> </w:t>
      </w:r>
      <w:r>
        <w:t xml:space="preserve">invaluable</w:t>
      </w:r>
      <w:r>
        <w:t xml:space="preserve"> </w:t>
      </w:r>
      <w:r>
        <w:t xml:space="preserve">for</w:t>
      </w:r>
      <w:r>
        <w:t xml:space="preserve"> </w:t>
      </w:r>
      <w:r>
        <w:t xml:space="preserve">modeling</w:t>
      </w:r>
      <w:r>
        <w:t xml:space="preserve"> </w:t>
      </w:r>
      <w:r>
        <w:t xml:space="preserve">complex</w:t>
      </w:r>
      <w:r>
        <w:t xml:space="preserve"> </w:t>
      </w:r>
      <w:r>
        <w:t xml:space="preserve">dependency</w:t>
      </w:r>
      <w:r>
        <w:t xml:space="preserve"> </w:t>
      </w:r>
      <w:r>
        <w:t xml:space="preserve">structures</w:t>
      </w:r>
      <w:r>
        <w:t xml:space="preserve"> </w:t>
      </w:r>
      <w:r>
        <w:t xml:space="preserve">in</w:t>
      </w:r>
      <w:r>
        <w:t xml:space="preserve"> </w:t>
      </w:r>
      <w:r>
        <w:t xml:space="preserve">multivariate</w:t>
      </w:r>
      <w:r>
        <w:t xml:space="preserve"> </w:t>
      </w:r>
      <w:r>
        <w:t xml:space="preserve">data.</w:t>
      </w:r>
      <w:r>
        <w:t xml:space="preserve"> </w:t>
      </w:r>
      <w:r>
        <w:t xml:space="preserve">However,</w:t>
      </w:r>
      <w:r>
        <w:t xml:space="preserve"> </w:t>
      </w:r>
      <w:r>
        <w:t xml:space="preserve">the</w:t>
      </w:r>
      <w:r>
        <w:t xml:space="preserve"> </w:t>
      </w:r>
      <w:r>
        <w:t xml:space="preserve">combination</w:t>
      </w:r>
      <w:r>
        <w:t xml:space="preserve"> </w:t>
      </w:r>
      <w:r>
        <w:t xml:space="preserve">of</w:t>
      </w:r>
      <w:r>
        <w:t xml:space="preserve"> </w:t>
      </w:r>
      <w:r>
        <w:t xml:space="preserve">these</w:t>
      </w:r>
      <w:r>
        <w:t xml:space="preserve"> </w:t>
      </w:r>
      <w:r>
        <w:t xml:space="preserve">two</w:t>
      </w:r>
      <w:r>
        <w:t xml:space="preserve"> </w:t>
      </w:r>
      <w:r>
        <w:t xml:space="preserve">approaches</w:t>
      </w:r>
      <w:r>
        <w:t xml:space="preserve"> </w:t>
      </w:r>
      <w:r>
        <w:t xml:space="preserve">-</w:t>
      </w:r>
      <w:r>
        <w:t xml:space="preserve"> </w:t>
      </w:r>
      <w:r>
        <w:t xml:space="preserve">using</w:t>
      </w:r>
      <w:r>
        <w:t xml:space="preserve"> </w:t>
      </w:r>
      <w:r>
        <w:t xml:space="preserve">GMRFs</w:t>
      </w:r>
      <w:r>
        <w:t xml:space="preserve"> </w:t>
      </w:r>
      <w:r>
        <w:t xml:space="preserve">within</w:t>
      </w:r>
      <w:r>
        <w:t xml:space="preserve"> </w:t>
      </w:r>
      <w:r>
        <w:t xml:space="preserve">copula</w:t>
      </w:r>
      <w:r>
        <w:t xml:space="preserve"> </w:t>
      </w:r>
      <w:r>
        <w:t xml:space="preserve">models</w:t>
      </w:r>
      <w:r>
        <w:t xml:space="preserve"> </w:t>
      </w:r>
      <w:r>
        <w:t xml:space="preserve">-</w:t>
      </w:r>
      <w:r>
        <w:t xml:space="preserve"> </w:t>
      </w:r>
      <w:r>
        <w:t xml:space="preserve">has</w:t>
      </w:r>
      <w:r>
        <w:t xml:space="preserve"> </w:t>
      </w:r>
      <w:r>
        <w:t xml:space="preserve">historically</w:t>
      </w:r>
      <w:r>
        <w:t xml:space="preserve"> </w:t>
      </w:r>
      <w:r>
        <w:t xml:space="preserve">been</w:t>
      </w:r>
      <w:r>
        <w:t xml:space="preserve"> </w:t>
      </w:r>
      <w:r>
        <w:t xml:space="preserve">computationally</w:t>
      </w:r>
      <w:r>
        <w:t xml:space="preserve"> </w:t>
      </w:r>
      <w:r>
        <w:t xml:space="preserve">inefficient,</w:t>
      </w:r>
      <w:r>
        <w:t xml:space="preserve"> </w:t>
      </w:r>
      <w:r>
        <w:t xml:space="preserve">limiting</w:t>
      </w:r>
      <w:r>
        <w:t xml:space="preserve"> </w:t>
      </w:r>
      <w:r>
        <w:t xml:space="preserve">their</w:t>
      </w:r>
      <w:r>
        <w:t xml:space="preserve"> </w:t>
      </w:r>
      <w:r>
        <w:t xml:space="preserve">joint</w:t>
      </w:r>
      <w:r>
        <w:t xml:space="preserve"> </w:t>
      </w:r>
      <w:r>
        <w:t xml:space="preserve">application</w:t>
      </w:r>
      <w:r>
        <w:t xml:space="preserve"> </w:t>
      </w:r>
      <w:r>
        <w:t xml:space="preserve">to</w:t>
      </w:r>
      <w:r>
        <w:t xml:space="preserve"> </w:t>
      </w:r>
      <w:r>
        <w:t xml:space="preserve">smaller</w:t>
      </w:r>
      <w:r>
        <w:t xml:space="preserve"> </w:t>
      </w:r>
      <w:r>
        <w:t xml:space="preserve">datasets</w:t>
      </w:r>
      <w:r>
        <w:t xml:space="preserve"> </w:t>
      </w:r>
      <w:r>
        <w:t xml:space="preserve">or</w:t>
      </w:r>
      <w:r>
        <w:t xml:space="preserve"> </w:t>
      </w:r>
      <w:r>
        <w:t xml:space="preserve">simpler</w:t>
      </w:r>
      <w:r>
        <w:t xml:space="preserve"> </w:t>
      </w:r>
      <w:r>
        <w:t xml:space="preserve">models.</w:t>
      </w:r>
      <w:r>
        <w:t xml:space="preserve"> </w:t>
      </w:r>
      <w:r>
        <w:t xml:space="preserve">This</w:t>
      </w:r>
      <w:r>
        <w:t xml:space="preserve"> </w:t>
      </w:r>
      <w:r>
        <w:t xml:space="preserve">work</w:t>
      </w:r>
      <w:r>
        <w:t xml:space="preserve"> </w:t>
      </w:r>
      <w:r>
        <w:t xml:space="preserve">presents</w:t>
      </w:r>
      <w:r>
        <w:t xml:space="preserve"> </w:t>
      </w:r>
      <w:r>
        <w:t xml:space="preserve">a</w:t>
      </w:r>
      <w:r>
        <w:t xml:space="preserve"> </w:t>
      </w:r>
      <w:r>
        <w:t xml:space="preserve">novel</w:t>
      </w:r>
      <w:r>
        <w:t xml:space="preserve"> </w:t>
      </w:r>
      <w:r>
        <w:t xml:space="preserve">algorithm</w:t>
      </w:r>
      <w:r>
        <w:t xml:space="preserve"> </w:t>
      </w:r>
      <w:r>
        <w:t xml:space="preserve">that</w:t>
      </w:r>
      <w:r>
        <w:t xml:space="preserve"> </w:t>
      </w:r>
      <w:r>
        <w:t xml:space="preserve">overcomes</w:t>
      </w:r>
      <w:r>
        <w:t xml:space="preserve"> </w:t>
      </w:r>
      <w:r>
        <w:t xml:space="preserve">these</w:t>
      </w:r>
      <w:r>
        <w:t xml:space="preserve"> </w:t>
      </w:r>
      <w:r>
        <w:t xml:space="preserve">limitations,</w:t>
      </w:r>
      <w:r>
        <w:t xml:space="preserve"> </w:t>
      </w:r>
      <w:r>
        <w:t xml:space="preserve">allowing</w:t>
      </w:r>
      <w:r>
        <w:t xml:space="preserve"> </w:t>
      </w:r>
      <w:r>
        <w:t xml:space="preserve">for</w:t>
      </w:r>
      <w:r>
        <w:t xml:space="preserve"> </w:t>
      </w:r>
      <w:r>
        <w:t xml:space="preserve">fast</w:t>
      </w:r>
      <w:r>
        <w:t xml:space="preserve"> </w:t>
      </w:r>
      <w:r>
        <w:t xml:space="preserve">and</w:t>
      </w:r>
      <w:r>
        <w:t xml:space="preserve"> </w:t>
      </w:r>
      <w:r>
        <w:t xml:space="preserve">efficient</w:t>
      </w:r>
      <w:r>
        <w:t xml:space="preserve"> </w:t>
      </w:r>
      <w:r>
        <w:t xml:space="preserve">computation</w:t>
      </w:r>
      <w:r>
        <w:t xml:space="preserve"> </w:t>
      </w:r>
      <w:r>
        <w:t xml:space="preserve">of</w:t>
      </w:r>
      <w:r>
        <w:t xml:space="preserve"> </w:t>
      </w:r>
      <w:r>
        <w:t xml:space="preserve">Gaussian</w:t>
      </w:r>
      <w:r>
        <w:t xml:space="preserve"> </w:t>
      </w:r>
      <w:r>
        <w:t xml:space="preserve">Copula</w:t>
      </w:r>
      <w:r>
        <w:t xml:space="preserve"> </w:t>
      </w:r>
      <w:r>
        <w:t xml:space="preserve">densities</w:t>
      </w:r>
      <w:r>
        <w:t xml:space="preserve"> </w:t>
      </w:r>
      <w:r>
        <w:t xml:space="preserve">using</w:t>
      </w:r>
      <w:r>
        <w:t xml:space="preserve"> </w:t>
      </w:r>
      <w:r>
        <w:t xml:space="preserve">GMRF</w:t>
      </w:r>
      <w:r>
        <w:t xml:space="preserve"> </w:t>
      </w:r>
      <w:r>
        <w:t xml:space="preserve">precision</w:t>
      </w:r>
      <w:r>
        <w:t xml:space="preserve"> </w:t>
      </w:r>
      <w:r>
        <w:t xml:space="preserve">structures.</w:t>
      </w:r>
      <w:r>
        <w:t xml:space="preserve"> </w:t>
      </w:r>
      <w:r>
        <w:t xml:space="preserve">By</w:t>
      </w:r>
      <w:r>
        <w:t xml:space="preserve"> </w:t>
      </w:r>
      <w:r>
        <w:t xml:space="preserve">bridging</w:t>
      </w:r>
      <w:r>
        <w:t xml:space="preserve"> </w:t>
      </w:r>
      <w:r>
        <w:t xml:space="preserve">the</w:t>
      </w:r>
      <w:r>
        <w:t xml:space="preserve"> </w:t>
      </w:r>
      <w:r>
        <w:t xml:space="preserve">gap</w:t>
      </w:r>
      <w:r>
        <w:t xml:space="preserve"> </w:t>
      </w:r>
      <w:r>
        <w:t xml:space="preserve">between</w:t>
      </w:r>
      <w:r>
        <w:t xml:space="preserve"> </w:t>
      </w:r>
      <w:r>
        <w:t xml:space="preserve">GMRFs</w:t>
      </w:r>
      <w:r>
        <w:t xml:space="preserve"> </w:t>
      </w:r>
      <w:r>
        <w:t xml:space="preserve">and</w:t>
      </w:r>
      <w:r>
        <w:t xml:space="preserve"> </w:t>
      </w:r>
      <w:r>
        <w:t xml:space="preserve">copulas,</w:t>
      </w:r>
      <w:r>
        <w:t xml:space="preserve"> </w:t>
      </w:r>
      <w:r>
        <w:t xml:space="preserve">this</w:t>
      </w:r>
      <w:r>
        <w:t xml:space="preserve"> </w:t>
      </w:r>
      <w:r>
        <w:t xml:space="preserve">method</w:t>
      </w:r>
      <w:r>
        <w:t xml:space="preserve"> </w:t>
      </w:r>
      <w:r>
        <w:t xml:space="preserve">opens</w:t>
      </w:r>
      <w:r>
        <w:t xml:space="preserve"> </w:t>
      </w:r>
      <w:r>
        <w:t xml:space="preserve">up</w:t>
      </w:r>
      <w:r>
        <w:t xml:space="preserve"> </w:t>
      </w:r>
      <w:r>
        <w:t xml:space="preserve">new</w:t>
      </w:r>
      <w:r>
        <w:t xml:space="preserve"> </w:t>
      </w:r>
      <w:r>
        <w:t xml:space="preserve">possibilities</w:t>
      </w:r>
      <w:r>
        <w:t xml:space="preserve"> </w:t>
      </w:r>
      <w:r>
        <w:t xml:space="preserve">for</w:t>
      </w:r>
      <w:r>
        <w:t xml:space="preserve"> </w:t>
      </w:r>
      <w:r>
        <w:t xml:space="preserve">analyzing</w:t>
      </w:r>
      <w:r>
        <w:t xml:space="preserve"> </w:t>
      </w:r>
      <w:r>
        <w:t xml:space="preserve">large-scale,</w:t>
      </w:r>
      <w:r>
        <w:t xml:space="preserve"> </w:t>
      </w:r>
      <w:r>
        <w:t xml:space="preserve">high-dimensional</w:t>
      </w:r>
      <w:r>
        <w:t xml:space="preserve"> </w:t>
      </w:r>
      <w:r>
        <w:t xml:space="preserve">spatial</w:t>
      </w:r>
      <w:r>
        <w:t xml:space="preserve"> </w:t>
      </w:r>
      <w:r>
        <w:t xml:space="preserve">and</w:t>
      </w:r>
      <w:r>
        <w:t xml:space="preserve"> </w:t>
      </w:r>
      <w:r>
        <w:t xml:space="preserve">spatio-temporal</w:t>
      </w:r>
      <w:r>
        <w:t xml:space="preserve"> </w:t>
      </w:r>
      <w:r>
        <w:t xml:space="preserve">data</w:t>
      </w:r>
      <w:r>
        <w:t xml:space="preserve"> </w:t>
      </w:r>
      <w:r>
        <w:t xml:space="preserve">with</w:t>
      </w:r>
      <w:r>
        <w:t xml:space="preserve"> </w:t>
      </w:r>
      <w:r>
        <w:t xml:space="preserve">complex</w:t>
      </w:r>
      <w:r>
        <w:t xml:space="preserve"> </w:t>
      </w:r>
      <w:r>
        <w:t xml:space="preserve">dependency</w:t>
      </w:r>
      <w:r>
        <w:t xml:space="preserve"> </w:t>
      </w:r>
      <w:r>
        <w:t xml:space="preserve">structures.</w:t>
      </w:r>
    </w:p>
    <w:bookmarkStart w:id="20" w:name="introduction"/>
    <w:p>
      <w:pPr>
        <w:pStyle w:val="Heading1"/>
      </w:pPr>
      <w:r>
        <w:t xml:space="preserve">Introduction</w:t>
      </w:r>
    </w:p>
    <w:p>
      <w:pPr>
        <w:pStyle w:val="FirstParagraph"/>
      </w:pPr>
      <w:r>
        <w:t xml:space="preserve">Gaussian Markov Random Fields (GMRFs) and Copulas are two powerful tools in modern statistics, each with their own strengths in modeling complex data structures. GMRFs have been widely used for modeling spatial and temporal dependencies, particularly in fields such as environmental science, epidemiology, and image analysis. Their ability to capture local dependencies through a sparse precision matrix makes them computationally attractive for high-dimensional problems.</w:t>
      </w:r>
    </w:p>
    <w:p>
      <w:pPr>
        <w:pStyle w:val="BodyText"/>
      </w:pPr>
      <w:r>
        <w:t xml:space="preserve">Copulas, on the other hand, provide a flexible framework for modeling multivariate dependencies, allowing for the separate specification of marginal distributions and their joint behavior. The Gaussian copula, in particular, has gained popularity due to its interpretability and connection to the multivariate normal distribution.</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and dependence that is governed by a GMRF copula.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t>Q</m:t>
        </m:r>
      </m:oMath>
      <w:r>
        <w:t xml:space="preserve">.</w:t>
      </w:r>
    </w:p>
    <w:p>
      <w:pPr>
        <w:pStyle w:val="BodyText"/>
      </w:pPr>
      <w:r>
        <w:t xml:space="preserve">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 Its density is</w:t>
      </w:r>
    </w:p>
    <w:p>
      <w:pPr>
        <w:pStyle w:val="BodyText"/>
      </w:pPr>
      <w:r>
        <w:t xml:space="preserve">It is imperative that the precision matrix</w:t>
      </w:r>
      <w:r>
        <w:t xml:space="preserve"> </w:t>
      </w:r>
      <m:oMath>
        <m:r>
          <m:t>Q</m:t>
        </m:r>
      </m:oMath>
      <w:r>
        <w:t xml:space="preserve"> </w:t>
      </w:r>
      <w:r>
        <w:t xml:space="preserve">governing the GMRF Copula,</w:t>
      </w:r>
      <w:r>
        <w:t xml:space="preserve"> </w:t>
      </w:r>
      <m:oMath>
        <m:r>
          <m:t>C</m:t>
        </m:r>
      </m:oMath>
      <w:r>
        <w:t xml:space="preserve">, has marginal variance equal to 1 so that is it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This can be troublesome because GMRFs are defined in terms of their precision matrices,</w:t>
      </w:r>
      <w:r>
        <w:t xml:space="preserve"> </w:t>
      </w:r>
      <m:oMath>
        <m:r>
          <m:t>Q</m:t>
        </m:r>
      </m:oMath>
      <w:r>
        <w:t xml:space="preserve">, which more often than not have marginal variances that are different from 1.</w:t>
      </w:r>
    </w:p>
    <w:p>
      <w:pPr>
        <w:pStyle w:val="BodyText"/>
      </w:pPr>
      <w:r>
        <w:t xml:space="preserve">This paper presents a fast and efficient algorithm for creating a Matérn-like precision matrix,</w:t>
      </w:r>
      <w:r>
        <w:t xml:space="preserve"> </w:t>
      </w:r>
      <m:oMath>
        <m:r>
          <m:rPr>
            <m:sty m:val="b"/>
          </m:rPr>
          <m:t>Q</m:t>
        </m:r>
      </m:oMath>
      <w:r>
        <w:t xml:space="preserve">, with unit marginal variance, and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t>
      </w:r>
      <w:r>
        <w:t xml:space="preserve">where</w:t>
      </w:r>
      <w:r>
        <w:t xml:space="preserve"> </w:t>
      </w:r>
      <m:oMath>
        <m:r>
          <m:rPr>
            <m:sty m:val="b"/>
          </m:rPr>
          <m:t>u</m:t>
        </m:r>
        <m:r>
          <m:rPr>
            <m:sty m:val="p"/>
          </m:rPr>
          <m:t>∼</m:t>
        </m:r>
        <m:r>
          <m:rPr>
            <m:nor/>
            <m:sty m:val="p"/>
          </m:rPr>
          <m:t>Uniform</m:t>
        </m:r>
        <m:d>
          <m:dPr>
            <m:begChr m:val="("/>
            <m:endChr m:val=")"/>
            <m:sepChr m:val=""/>
            <m:grow/>
          </m:dPr>
          <m:e>
            <m:r>
              <m:t>0</m:t>
            </m:r>
            <m:r>
              <m:rPr>
                <m:sty m:val="p"/>
              </m:rPr>
              <m:t>,</m:t>
            </m:r>
            <m:r>
              <m:t>1</m:t>
            </m:r>
          </m:e>
        </m:d>
      </m:oMath>
      <w:r>
        <w:t xml:space="preserve">. The method leverages the special structure of the precision matrix and employs efficient eigendecomposition techniques to avoid explicit formation and inversion of the large precision matrix Q.</w:t>
      </w:r>
    </w:p>
    <w:bookmarkEnd w:id="20"/>
    <w:bookmarkStart w:id="36" w:name="methods"/>
    <w:p>
      <w:pPr>
        <w:pStyle w:val="Heading1"/>
      </w:pPr>
      <w:r>
        <w:t xml:space="preserve">Methods</w:t>
      </w:r>
    </w:p>
    <w:bookmarkStart w:id="21" w:name="gmrf-copula"/>
    <w:p>
      <w:pPr>
        <w:pStyle w:val="Heading2"/>
      </w:pPr>
      <w:r>
        <w:t xml:space="preserve">GMRF Copula</w:t>
      </w:r>
    </w:p>
    <w:p>
      <w:pPr>
        <w:pStyle w:val="FirstParagraph"/>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w:t>
      </w:r>
      <w:r>
        <w:t xml:space="preserve">and dependence that is governed by a Gaussian copula. We create the vector</w:t>
      </w:r>
    </w:p>
    <w:p>
      <w:pPr>
        <w:pStyle w:val="BodyText"/>
      </w:pPr>
      <w:r>
        <w:t xml:space="preserve">The matrix, Q, is defined as</w:t>
      </w:r>
    </w:p>
    <w:p>
      <w:pPr>
        <w:pStyle w:val="BodyText"/>
      </w:pPr>
      <m:oMathPara>
        <m:oMathParaPr>
          <m:jc m:val="center"/>
        </m:oMathParaPr>
        <m:oMath>
          <m:r>
            <m:t>Q</m:t>
          </m:r>
          <m:r>
            <m:rPr>
              <m:sty m:val="p"/>
            </m:rPr>
            <m:t>=</m:t>
          </m:r>
          <m:sSub>
            <m:e>
              <m:r>
                <m:t>Q</m:t>
              </m:r>
            </m:e>
            <m:sub>
              <m:r>
                <m:t>1</m:t>
              </m:r>
            </m:sub>
          </m:sSub>
          <m:r>
            <m:rPr>
              <m:sty m:val="p"/>
            </m:rPr>
            <m:t>⊗</m:t>
          </m:r>
          <m:r>
            <m:t>I</m:t>
          </m:r>
          <m:r>
            <m:rPr>
              <m:sty m:val="p"/>
            </m:rPr>
            <m:t>+</m:t>
          </m:r>
          <m:r>
            <m:t>I</m:t>
          </m:r>
          <m:r>
            <m:rPr>
              <m:sty m:val="p"/>
            </m:rPr>
            <m:t>⊗</m:t>
          </m:r>
          <m:sSub>
            <m:e>
              <m:r>
                <m:t>Q</m:t>
              </m:r>
            </m:e>
            <m:sub>
              <m:r>
                <m:t>1</m:t>
              </m:r>
            </m:sub>
          </m:sSub>
          <m:r>
            <m:rPr>
              <m:sty m:val="p"/>
            </m:rPr>
            <m:t>,</m:t>
          </m:r>
        </m:oMath>
      </m:oMathPara>
    </w:p>
    <w:p>
      <w:pPr>
        <w:pStyle w:val="FirstParagraph"/>
      </w:pPr>
      <w:r>
        <w:t xml:space="preserve">where</w:t>
      </w:r>
      <w:r>
        <w:t xml:space="preserve"> </w:t>
      </w:r>
      <m:oMath>
        <m:sSub>
          <m:e>
            <m:r>
              <m:t>Q</m:t>
            </m:r>
          </m:e>
          <m:sub>
            <m:r>
              <m:t>1</m:t>
            </m:r>
          </m:sub>
        </m:sSub>
      </m:oMath>
      <w:r>
        <w:t xml:space="preserve"> </w:t>
      </w:r>
      <w:r>
        <w:t xml:space="preserve">is the precision matrix of a standardized one-dimensional AR(1) process and</w:t>
      </w:r>
      <w:r>
        <w:t xml:space="preserve"> </w:t>
      </w:r>
      <m:oMath>
        <m:r>
          <m:rPr>
            <m:sty m:val="p"/>
          </m:rPr>
          <m:t>⊗</m:t>
        </m:r>
      </m:oMath>
      <w:r>
        <w:t xml:space="preserve"> </w:t>
      </w:r>
      <w:r>
        <w:t xml:space="preserve">is the kronecker product.</w:t>
      </w:r>
    </w:p>
    <w:bookmarkEnd w:id="21"/>
    <w:bookmarkStart w:id="22" w:name="theory"/>
    <w:p>
      <w:pPr>
        <w:pStyle w:val="Heading2"/>
      </w:pPr>
      <w:r>
        <w:t xml:space="preserve">Theory</w:t>
      </w:r>
    </w:p>
    <w:bookmarkEnd w:id="22"/>
    <w:bookmarkStart w:id="23" w:name="one-dimensional-ar1-matrix"/>
    <w:p>
      <w:pPr>
        <w:pStyle w:val="Heading2"/>
      </w:pPr>
      <w:r>
        <w:t xml:space="preserve">One-Dimensional AR(1) Matrix</w:t>
      </w:r>
    </w:p>
    <w:p>
      <w:pPr>
        <w:pStyle w:val="FirstParagraph"/>
      </w:pPr>
      <w:r>
        <w:t xml:space="preserve">The core of our approach is based on the eigendecomposition of an AR(1) precision matrix, which forms the building block of our Matérn-like precision structure. For a one-dimensional AR(1) process with parameter</w:t>
      </w:r>
      <w:r>
        <w:t xml:space="preserve"> </w:t>
      </w:r>
      <m:oMath>
        <m:r>
          <m:t>ρ</m:t>
        </m:r>
      </m:oMath>
      <w:r>
        <w:t xml:space="preserve">, the precision matrix</w:t>
      </w:r>
      <w:r>
        <w:t xml:space="preserve"> </w:t>
      </w:r>
      <m:oMath>
        <m:sSub>
          <m:e>
            <m:r>
              <m:t>Q</m:t>
            </m:r>
          </m:e>
          <m:sub>
            <m:r>
              <m:t>1</m:t>
            </m:r>
          </m:sub>
        </m:sSub>
      </m:oMath>
      <w:r>
        <w:t xml:space="preserve"> </w:t>
      </w:r>
      <w:r>
        <w:t xml:space="preserve">has a tridiagonal structure:</w:t>
      </w:r>
    </w:p>
    <w:p>
      <w:pPr>
        <w:pStyle w:val="BodyText"/>
      </w:pPr>
      <m:oMathPara>
        <m:oMathParaPr>
          <m:jc m:val="center"/>
        </m:oMathParaPr>
        <m:oMath>
          <m:r>
            <m:t>Q</m:t>
          </m:r>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r>
                      <m:rPr>
                        <m:sty m:val="p"/>
                      </m:rPr>
                      <m:t>+</m:t>
                    </m:r>
                    <m:sSup>
                      <m:e>
                        <m:r>
                          <m:t>ρ</m:t>
                        </m:r>
                      </m:e>
                      <m:sup>
                        <m:r>
                          <m:t>2</m:t>
                        </m:r>
                      </m:sup>
                    </m:sSup>
                  </m:e>
                  <m:e>
                    <m:r>
                      <m:rPr>
                        <m:sty m:val="p"/>
                      </m:rPr>
                      <m:t>−</m:t>
                    </m:r>
                    <m:r>
                      <m:t>ρ</m:t>
                    </m:r>
                  </m:e>
                </m:mr>
                <m:mr>
                  <m:e>
                    <m:r>
                      <m:t>0</m:t>
                    </m:r>
                  </m:e>
                  <m:e>
                    <m:r>
                      <m:t>0</m:t>
                    </m:r>
                  </m:e>
                  <m:e>
                    <m:r>
                      <m:t>0</m:t>
                    </m:r>
                  </m:e>
                  <m:e>
                    <m:r>
                      <m:rPr>
                        <m:sty m:val="p"/>
                      </m:rPr>
                      <m:t>⋯</m:t>
                    </m:r>
                  </m:e>
                  <m:e>
                    <m:r>
                      <m:rPr>
                        <m:sty m:val="p"/>
                      </m:rPr>
                      <m:t>−</m:t>
                    </m:r>
                    <m:r>
                      <m:t>ρ</m:t>
                    </m:r>
                  </m:e>
                  <m:e>
                    <m:r>
                      <m:t>1</m:t>
                    </m:r>
                  </m:e>
                </m:mr>
                <m:mr>
                  <m:e/>
                </m:mr>
              </m:m>
            </m:e>
          </m:d>
        </m:oMath>
      </m:oMathPara>
    </w:p>
    <w:bookmarkEnd w:id="23"/>
    <w:bookmarkStart w:id="24" w:name="matérn-like-precision-matrix"/>
    <w:p>
      <w:pPr>
        <w:pStyle w:val="Heading2"/>
      </w:pPr>
      <w:r>
        <w:t xml:space="preserve">Matérn-like Precision Matrix</w:t>
      </w:r>
    </w:p>
    <w:p>
      <w:pPr>
        <w:pStyle w:val="FirstParagraph"/>
      </w:pPr>
      <w:r>
        <w:t xml:space="preserve">For two-dimensional spatial fields, we construct a Matérn-like precision matrix</w:t>
      </w:r>
      <w:r>
        <w:t xml:space="preserve"> </w:t>
      </w:r>
      <m:oMath>
        <m:r>
          <m:t>Q</m:t>
        </m:r>
      </m:oMath>
      <w:r>
        <w:t xml:space="preserve"> </w:t>
      </w:r>
      <w:r>
        <w:t xml:space="preserve">using Kronecker products:</w:t>
      </w:r>
    </w:p>
    <w:p>
      <w:pPr>
        <w:pStyle w:val="BodyText"/>
      </w:pPr>
      <m:oMathPara>
        <m:oMathParaPr>
          <m:jc m:val="center"/>
        </m:oMathParaPr>
        <m:oMath>
          <m:r>
            <m:t>Q</m:t>
          </m:r>
          <m:r>
            <m:rPr>
              <m:sty m:val="p"/>
            </m:rPr>
            <m:t>=</m:t>
          </m:r>
          <m:sSub>
            <m:e>
              <m:r>
                <m:t>Q</m:t>
              </m:r>
            </m:e>
            <m:sub>
              <m:r>
                <m:t>1</m:t>
              </m:r>
            </m:sub>
          </m:sSub>
          <m:r>
            <m:rPr>
              <m:sty m:val="p"/>
            </m:rPr>
            <m:t>⊗</m:t>
          </m:r>
          <m:r>
            <m:t>I</m:t>
          </m:r>
          <m:r>
            <m:rPr>
              <m:sty m:val="p"/>
            </m:rPr>
            <m:t>+</m:t>
          </m:r>
          <m:r>
            <m:t>I</m:t>
          </m:r>
          <m:r>
            <m:rPr>
              <m:sty m:val="p"/>
            </m:rPr>
            <m:t>⊗</m:t>
          </m:r>
          <m:sSub>
            <m:e>
              <m:r>
                <m:t>Q</m:t>
              </m:r>
            </m:e>
            <m:sub>
              <m:r>
                <m:t>1</m:t>
              </m:r>
            </m:sub>
          </m:sSub>
        </m:oMath>
      </m:oMathPara>
    </w:p>
    <w:p>
      <w:pPr>
        <w:pStyle w:val="FirstParagraph"/>
      </w:pPr>
      <w:r>
        <w:t xml:space="preserve">where</w:t>
      </w:r>
      <w:r>
        <w:t xml:space="preserve"> </w:t>
      </w:r>
      <m:oMath>
        <m:r>
          <m:t>I</m:t>
        </m:r>
      </m:oMath>
      <w:r>
        <w:t xml:space="preserve"> </w:t>
      </w:r>
      <w:r>
        <w:t xml:space="preserve">is the identity matrix and</w:t>
      </w:r>
      <w:r>
        <w:t xml:space="preserve"> </w:t>
      </w:r>
      <m:oMath>
        <m:r>
          <m:rPr>
            <m:sty m:val="p"/>
          </m:rPr>
          <m:t>⊗</m:t>
        </m:r>
      </m:oMath>
      <w:r>
        <w:t xml:space="preserve"> </w:t>
      </w:r>
      <w:r>
        <w:t xml:space="preserve">denotes the Kronecker product The eigenvalues</w:t>
      </w:r>
      <w:r>
        <w:t xml:space="preserve"> </w:t>
      </w:r>
      <m:oMath>
        <m:d>
          <m:dPr>
            <m:begChr m:val="("/>
            <m:endChr m:val=")"/>
            <m:sepChr m:val=""/>
            <m:grow/>
          </m:dPr>
          <m:e>
            <m:sSub>
              <m:e>
                <m:r>
                  <m:t>λ</m:t>
                </m:r>
              </m:e>
              <m:sub>
                <m:r>
                  <m:t>k</m:t>
                </m:r>
              </m:sub>
            </m:sSub>
          </m:e>
        </m:d>
      </m:oMath>
      <w:r>
        <w:t xml:space="preserve"> </w:t>
      </w:r>
      <w:r>
        <w:t xml:space="preserve">and eigenvectors</w:t>
      </w:r>
      <w:r>
        <w:t xml:space="preserve"> </w:t>
      </w:r>
      <m:oMath>
        <m:d>
          <m:dPr>
            <m:begChr m:val="("/>
            <m:endChr m:val=")"/>
            <m:sepChr m:val=""/>
            <m:grow/>
          </m:dPr>
          <m:e>
            <m:sSub>
              <m:e>
                <m:r>
                  <m:t>v</m:t>
                </m:r>
              </m:e>
              <m:sub>
                <m:r>
                  <m:t>k</m:t>
                </m:r>
              </m:sub>
            </m:sSub>
          </m:e>
        </m:d>
      </m:oMath>
      <w:r>
        <w:t xml:space="preserve"> </w:t>
      </w:r>
      <w:r>
        <w:t xml:space="preserve">of</w:t>
      </w:r>
      <w:r>
        <w:t xml:space="preserve"> </w:t>
      </w:r>
      <m:oMath>
        <m:sSub>
          <m:e>
            <m:r>
              <m:t>Q</m:t>
            </m:r>
          </m:e>
          <m:sub>
            <m:r>
              <m:t>1</m:t>
            </m:r>
          </m:sub>
        </m:sSub>
      </m:oMath>
      <w:r>
        <w:t xml:space="preserve"> </w:t>
      </w:r>
      <w:r>
        <w:t xml:space="preserve">can be calculated numerically and used to evaluate the multivariate Gaussian density, letting us skip out on forming</w:t>
      </w:r>
      <w:r>
        <w:t xml:space="preserve"> </w:t>
      </w:r>
      <m:oMath>
        <m:r>
          <m:t>Q</m:t>
        </m:r>
      </m:oMath>
      <w:r>
        <w:t xml:space="preserve"> </w:t>
      </w:r>
      <w:r>
        <w:t xml:space="preserve">entirely. This is due to the following theorem:</w:t>
      </w:r>
    </w:p>
    <w:bookmarkEnd w:id="24"/>
    <w:bookmarkStart w:id="27" w:name="eigendecomposition-of-kronecker-sums"/>
    <w:p>
      <w:pPr>
        <w:pStyle w:val="Heading2"/>
      </w:pPr>
      <w:r>
        <w:t xml:space="preserve">Eigendecomposition of Kronecker Sums</w:t>
      </w:r>
    </w:p>
    <w:bookmarkStart w:id="25" w:name="theorem"/>
    <w:p>
      <w:pPr>
        <w:pStyle w:val="Heading3"/>
      </w:pPr>
      <w:r>
        <w:t xml:space="preserve">Theorem</w:t>
      </w:r>
    </w:p>
    <w:p>
      <w:pPr>
        <w:pStyle w:val="FirstParagraph"/>
      </w:pPr>
      <w:r>
        <w:t xml:space="preserve">Let</w:t>
      </w:r>
      <w:r>
        <w:t xml:space="preserve"> </w:t>
      </w:r>
      <m:oMath>
        <m:r>
          <m:t>A</m:t>
        </m:r>
        <m:r>
          <m:rPr>
            <m:sty m:val="p"/>
          </m:rPr>
          <m:t>∈</m:t>
        </m:r>
        <m:sSup>
          <m:e>
            <m:r>
              <m:rPr>
                <m:sty m:val="p"/>
                <m:scr m:val="double-struck"/>
              </m:rPr>
              <m:t>R</m:t>
            </m:r>
          </m:e>
          <m:sup>
            <m:r>
              <m:t>n</m:t>
            </m:r>
            <m:r>
              <m:rPr>
                <m:sty m:val="p"/>
              </m:rPr>
              <m:t>×</m:t>
            </m:r>
            <m:r>
              <m:t>n</m:t>
            </m:r>
          </m:sup>
        </m:sSup>
      </m:oMath>
      <w:r>
        <w:t xml:space="preserve"> </w:t>
      </w:r>
      <w:r>
        <w:t xml:space="preserve">have eigenvalues</w:t>
      </w:r>
      <w:r>
        <w:t xml:space="preserve"> </w:t>
      </w:r>
      <m:oMath>
        <m:sSub>
          <m:e>
            <m:r>
              <m:t>λ</m:t>
            </m:r>
          </m:e>
          <m:sub>
            <m:r>
              <m:t>i</m:t>
            </m:r>
          </m:sub>
        </m:sSub>
      </m:oMath>
      <w:r>
        <w:t xml:space="preserve">,</w:t>
      </w:r>
      <w:r>
        <w:t xml:space="preserve"> </w:t>
      </w:r>
      <m:oMath>
        <m:r>
          <m:t>i</m:t>
        </m:r>
        <m:r>
          <m:rPr>
            <m:sty m:val="p"/>
          </m:rPr>
          <m:t>∈</m:t>
        </m:r>
        <m:r>
          <m:rPr>
            <m:sty m:val="p"/>
          </m:rPr>
          <m:t>{</m:t>
        </m:r>
        <m:r>
          <m:t>1</m:t>
        </m:r>
        <m:r>
          <m:rPr>
            <m:sty m:val="p"/>
          </m:rPr>
          <m:t>,</m:t>
        </m:r>
        <m:r>
          <m:rPr>
            <m:sty m:val="p"/>
          </m:rPr>
          <m:t>…</m:t>
        </m:r>
        <m:r>
          <m:rPr>
            <m:sty m:val="p"/>
          </m:rPr>
          <m:t>,</m:t>
        </m:r>
        <m:r>
          <m:t>n</m:t>
        </m:r>
        <m:r>
          <m:rPr>
            <m:sty m:val="p"/>
          </m:rPr>
          <m:t>}</m:t>
        </m:r>
      </m:oMath>
      <w:r>
        <w:t xml:space="preserve">, and let</w:t>
      </w:r>
      <w:r>
        <w:t xml:space="preserve"> </w:t>
      </w:r>
      <m:oMath>
        <m:r>
          <m:t>B</m:t>
        </m:r>
        <m:r>
          <m:rPr>
            <m:sty m:val="p"/>
          </m:rPr>
          <m:t>∈</m:t>
        </m:r>
        <m:sSup>
          <m:e>
            <m:r>
              <m:rPr>
                <m:sty m:val="p"/>
                <m:scr m:val="double-struck"/>
              </m:rPr>
              <m:t>R</m:t>
            </m:r>
          </m:e>
          <m:sup>
            <m:r>
              <m:t>m</m:t>
            </m:r>
            <m:r>
              <m:rPr>
                <m:sty m:val="p"/>
              </m:rPr>
              <m:t>×</m:t>
            </m:r>
            <m:r>
              <m:t>m</m:t>
            </m:r>
          </m:sup>
        </m:sSup>
      </m:oMath>
      <w:r>
        <w:t xml:space="preserve"> </w:t>
      </w:r>
      <w:r>
        <w:t xml:space="preserve">have eigenvalues</w:t>
      </w:r>
      <w:r>
        <w:t xml:space="preserve"> </w:t>
      </w:r>
      <m:oMath>
        <m:sSub>
          <m:e>
            <m:r>
              <m:t>μ</m:t>
            </m:r>
          </m:e>
          <m:sub>
            <m:r>
              <m:t>j</m:t>
            </m:r>
          </m:sub>
        </m:sSub>
      </m:oMath>
      <w:r>
        <w:t xml:space="preserve">,</w:t>
      </w:r>
      <w:r>
        <w:t xml:space="preserve"> </w:t>
      </w:r>
      <m:oMath>
        <m:r>
          <m:t>j</m:t>
        </m:r>
        <m:r>
          <m:rPr>
            <m:sty m:val="p"/>
          </m:rPr>
          <m:t>∈</m:t>
        </m:r>
        <m:r>
          <m:rPr>
            <m:sty m:val="p"/>
          </m:rPr>
          <m:t>{</m:t>
        </m:r>
        <m:r>
          <m:t>1</m:t>
        </m:r>
        <m:r>
          <m:rPr>
            <m:sty m:val="p"/>
          </m:rPr>
          <m:t>,</m:t>
        </m:r>
        <m:r>
          <m:rPr>
            <m:sty m:val="p"/>
          </m:rPr>
          <m:t>…</m:t>
        </m:r>
        <m:r>
          <m:rPr>
            <m:sty m:val="p"/>
          </m:rPr>
          <m:t>,</m:t>
        </m:r>
        <m:r>
          <m:t>m</m:t>
        </m:r>
        <m:r>
          <m:rPr>
            <m:sty m:val="p"/>
          </m:rPr>
          <m:t>}</m:t>
        </m:r>
      </m:oMath>
      <w:r>
        <w:t xml:space="preserve">. Then the Kronecker sum</w:t>
      </w:r>
      <w:r>
        <w:t xml:space="preserve"> </w:t>
      </w:r>
      <m:oMath>
        <m:r>
          <m:t>A</m:t>
        </m:r>
        <m:r>
          <m:rPr>
            <m:sty m:val="p"/>
          </m:rPr>
          <m:t>⊕</m:t>
        </m:r>
        <m:r>
          <m:t>B</m:t>
        </m:r>
        <m:r>
          <m:rPr>
            <m:sty m:val="p"/>
          </m:rPr>
          <m:t>=</m:t>
        </m:r>
        <m:d>
          <m:dPr>
            <m:begChr m:val="("/>
            <m:endChr m:val=")"/>
            <m:sepChr m:val=""/>
            <m:grow/>
          </m:dPr>
          <m:e>
            <m:sSub>
              <m:e>
                <m:r>
                  <m:t>I</m:t>
                </m:r>
              </m:e>
              <m:sub>
                <m:r>
                  <m:t>m</m:t>
                </m:r>
              </m:sub>
            </m:sSub>
            <m:r>
              <m:rPr>
                <m:sty m:val="p"/>
              </m:rPr>
              <m:t>⊗</m:t>
            </m:r>
            <m:r>
              <m:t>A</m:t>
            </m:r>
          </m:e>
        </m:d>
        <m:r>
          <m:rPr>
            <m:sty m:val="p"/>
          </m:rPr>
          <m:t>+</m:t>
        </m:r>
        <m:d>
          <m:dPr>
            <m:begChr m:val="("/>
            <m:endChr m:val=")"/>
            <m:sepChr m:val=""/>
            <m:grow/>
          </m:dPr>
          <m:e>
            <m:r>
              <m:t>B</m:t>
            </m:r>
            <m:r>
              <m:rPr>
                <m:sty m:val="p"/>
              </m:rPr>
              <m:t>⊗</m:t>
            </m:r>
            <m:sSub>
              <m:e>
                <m:r>
                  <m:t>I</m:t>
                </m:r>
              </m:e>
              <m:sub>
                <m:r>
                  <m:t>n</m:t>
                </m:r>
              </m:sub>
            </m:sSub>
          </m:e>
        </m:d>
      </m:oMath>
      <w:r>
        <w:t xml:space="preserve"> </w:t>
      </w:r>
      <w:r>
        <w:t xml:space="preserve">has eigenvalues</w:t>
      </w:r>
      <w:r>
        <w:t xml:space="preserve"> </w:t>
      </w:r>
      <m:oMath>
        <m:sSub>
          <m:e>
            <m:r>
              <m:t>λ</m:t>
            </m:r>
          </m:e>
          <m:sub>
            <m:r>
              <m:t>i</m:t>
            </m:r>
          </m:sub>
        </m:sSub>
        <m:r>
          <m:rPr>
            <m:sty m:val="p"/>
          </m:rPr>
          <m:t>+</m:t>
        </m:r>
        <m:sSub>
          <m:e>
            <m:r>
              <m:t>μ</m:t>
            </m:r>
          </m:e>
          <m:sub>
            <m:r>
              <m:t>j</m:t>
            </m:r>
          </m:sub>
        </m:sSub>
      </m:oMath>
      <w:r>
        <w:t xml:space="preserve">,</w:t>
      </w:r>
      <w:r>
        <w:t xml:space="preserve"> </w:t>
      </w:r>
      <m:oMath>
        <m:r>
          <m:t>i</m:t>
        </m:r>
        <m:r>
          <m:rPr>
            <m:sty m:val="p"/>
          </m:rPr>
          <m:t>∈</m:t>
        </m:r>
        <m:r>
          <m:rPr>
            <m:sty m:val="p"/>
          </m:rPr>
          <m:t>{</m:t>
        </m:r>
        <m:r>
          <m:t>1</m:t>
        </m:r>
        <m:r>
          <m:rPr>
            <m:sty m:val="p"/>
          </m:rPr>
          <m:t>,</m:t>
        </m:r>
        <m:r>
          <m:rPr>
            <m:sty m:val="p"/>
          </m:rPr>
          <m:t>…</m:t>
        </m:r>
        <m:r>
          <m:rPr>
            <m:sty m:val="p"/>
          </m:rPr>
          <m:t>,</m:t>
        </m:r>
        <m:r>
          <m:t>n</m:t>
        </m:r>
        <m:r>
          <m:rPr>
            <m:sty m:val="p"/>
          </m:rPr>
          <m:t>}</m:t>
        </m:r>
        <m:r>
          <m:rPr>
            <m:sty m:val="p"/>
          </m:rPr>
          <m:t>,</m:t>
        </m:r>
        <m:r>
          <m:t>j</m:t>
        </m:r>
        <m:r>
          <m:rPr>
            <m:sty m:val="p"/>
          </m:rPr>
          <m:t>∈</m:t>
        </m:r>
        <m:r>
          <m:rPr>
            <m:sty m:val="p"/>
          </m:rPr>
          <m:t>{</m:t>
        </m:r>
        <m:r>
          <m:t>1</m:t>
        </m:r>
        <m:r>
          <m:rPr>
            <m:sty m:val="p"/>
          </m:rPr>
          <m:t>,</m:t>
        </m:r>
        <m:r>
          <m:rPr>
            <m:sty m:val="p"/>
          </m:rPr>
          <m:t>…</m:t>
        </m:r>
        <m:r>
          <m:rPr>
            <m:sty m:val="p"/>
          </m:rPr>
          <m:t>,</m:t>
        </m:r>
        <m:r>
          <m:t>m</m:t>
        </m:r>
        <m:r>
          <m:rPr>
            <m:sty m:val="p"/>
          </m:rPr>
          <m:t>}</m:t>
        </m:r>
      </m:oMath>
      <w:r>
        <w:t xml:space="preserve">.</w:t>
      </w:r>
    </w:p>
    <w:p>
      <w:pPr>
        <w:pStyle w:val="BodyText"/>
      </w:pPr>
      <w:r>
        <w:t xml:space="preserve">Moreover, if</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are linearly independent right eigenvectors of</w:t>
      </w:r>
      <w:r>
        <w:t xml:space="preserve"> </w:t>
      </w:r>
      <m:oMath>
        <m:r>
          <m:t>A</m:t>
        </m:r>
      </m:oMath>
      <w:r>
        <w:t xml:space="preserve"> </w:t>
      </w:r>
      <w:r>
        <w:t xml:space="preserve">corresponding to</w:t>
      </w:r>
      <w:r>
        <w:t xml:space="preserve"> </w:t>
      </w:r>
      <m:oMath>
        <m:sSub>
          <m:e>
            <m:r>
              <m:t>λ</m:t>
            </m:r>
          </m:e>
          <m:sub>
            <m:r>
              <m:t>1</m:t>
            </m:r>
          </m:sub>
        </m:sSub>
        <m:r>
          <m:rPr>
            <m:sty m:val="p"/>
          </m:rPr>
          <m:t>,</m:t>
        </m:r>
        <m:r>
          <m:rPr>
            <m:sty m:val="p"/>
          </m:rPr>
          <m:t>…</m:t>
        </m:r>
        <m:r>
          <m:rPr>
            <m:sty m:val="p"/>
          </m:rPr>
          <m:t>,</m:t>
        </m:r>
        <m:sSub>
          <m:e>
            <m:r>
              <m:t>λ</m:t>
            </m:r>
          </m:e>
          <m:sub>
            <m:r>
              <m:t>p</m:t>
            </m:r>
          </m:sub>
        </m:sSub>
      </m:oMath>
      <w:r>
        <w:t xml:space="preserve"> </w:t>
      </w:r>
      <w:r>
        <w:t xml:space="preserve">(</w:t>
      </w:r>
      <m:oMath>
        <m:r>
          <m:t>p</m:t>
        </m:r>
        <m:r>
          <m:rPr>
            <m:sty m:val="p"/>
          </m:rPr>
          <m:t>≤</m:t>
        </m:r>
        <m:r>
          <m:t>n</m:t>
        </m:r>
      </m:oMath>
      <w:r>
        <w:t xml:space="preserve">), and</w:t>
      </w:r>
      <w:r>
        <w:t xml:space="preserve"> </w:t>
      </w:r>
      <m:oMath>
        <m:sSub>
          <m:e>
            <m:r>
              <m:t>z</m:t>
            </m:r>
          </m:e>
          <m:sub>
            <m:r>
              <m:t>1</m:t>
            </m:r>
          </m:sub>
        </m:sSub>
        <m:r>
          <m:rPr>
            <m:sty m:val="p"/>
          </m:rPr>
          <m:t>,</m:t>
        </m:r>
        <m:r>
          <m:rPr>
            <m:sty m:val="p"/>
          </m:rPr>
          <m:t>…</m:t>
        </m:r>
        <m:r>
          <m:rPr>
            <m:sty m:val="p"/>
          </m:rPr>
          <m:t>,</m:t>
        </m:r>
        <m:sSub>
          <m:e>
            <m:r>
              <m:t>z</m:t>
            </m:r>
          </m:e>
          <m:sub>
            <m:r>
              <m:t>q</m:t>
            </m:r>
          </m:sub>
        </m:sSub>
      </m:oMath>
      <w:r>
        <w:t xml:space="preserve"> </w:t>
      </w:r>
      <w:r>
        <w:t xml:space="preserve">are linearly independent right eigenvectors of</w:t>
      </w:r>
      <w:r>
        <w:t xml:space="preserve"> </w:t>
      </w:r>
      <m:oMath>
        <m:r>
          <m:t>B</m:t>
        </m:r>
      </m:oMath>
      <w:r>
        <w:t xml:space="preserve"> </w:t>
      </w:r>
      <w:r>
        <w:t xml:space="preserve">corresponding to</w:t>
      </w:r>
      <w:r>
        <w:t xml:space="preserve"> </w:t>
      </w:r>
      <m:oMath>
        <m:sSub>
          <m:e>
            <m:r>
              <m:t>μ</m:t>
            </m:r>
          </m:e>
          <m:sub>
            <m:r>
              <m:t>1</m:t>
            </m:r>
          </m:sub>
        </m:sSub>
        <m:r>
          <m:rPr>
            <m:sty m:val="p"/>
          </m:rPr>
          <m:t>,</m:t>
        </m:r>
        <m:r>
          <m:rPr>
            <m:sty m:val="p"/>
          </m:rPr>
          <m:t>…</m:t>
        </m:r>
        <m:r>
          <m:rPr>
            <m:sty m:val="p"/>
          </m:rPr>
          <m:t>,</m:t>
        </m:r>
        <m:sSub>
          <m:e>
            <m:r>
              <m:t>μ</m:t>
            </m:r>
          </m:e>
          <m:sub>
            <m:r>
              <m:t>q</m:t>
            </m:r>
          </m:sub>
        </m:sSub>
      </m:oMath>
      <w:r>
        <w:t xml:space="preserve"> </w:t>
      </w:r>
      <w:r>
        <w:t xml:space="preserve">(</w:t>
      </w:r>
      <m:oMath>
        <m:r>
          <m:t>q</m:t>
        </m:r>
        <m:r>
          <m:rPr>
            <m:sty m:val="p"/>
          </m:rPr>
          <m:t>≤</m:t>
        </m:r>
        <m:r>
          <m:t>m</m:t>
        </m:r>
      </m:oMath>
      <w:r>
        <w:t xml:space="preserve">), then</w:t>
      </w:r>
      <w:r>
        <w:t xml:space="preserve"> </w:t>
      </w:r>
      <m:oMath>
        <m:sSub>
          <m:e>
            <m:r>
              <m:t>z</m:t>
            </m:r>
          </m:e>
          <m:sub>
            <m:r>
              <m:t>j</m:t>
            </m:r>
          </m:sub>
        </m:sSub>
        <m:r>
          <m:rPr>
            <m:sty m:val="p"/>
          </m:rPr>
          <m:t>⊗</m:t>
        </m:r>
        <m:sSub>
          <m:e>
            <m:r>
              <m:t>x</m:t>
            </m:r>
          </m:e>
          <m:sub>
            <m:r>
              <m:t>i</m:t>
            </m:r>
          </m:sub>
        </m:sSub>
        <m:r>
          <m:rPr>
            <m:sty m:val="p"/>
          </m:rPr>
          <m:t>∈</m:t>
        </m:r>
        <m:sSup>
          <m:e>
            <m:r>
              <m:rPr>
                <m:sty m:val="p"/>
                <m:scr m:val="double-struck"/>
              </m:rPr>
              <m:t>R</m:t>
            </m:r>
          </m:e>
          <m:sup>
            <m:r>
              <m:t>m</m:t>
            </m:r>
            <m:r>
              <m:t>n</m:t>
            </m:r>
          </m:sup>
        </m:sSup>
      </m:oMath>
      <w:r>
        <w:t xml:space="preserve"> </w:t>
      </w:r>
      <w:r>
        <w:t xml:space="preserve">are linearly independent right eigenvectors of</w:t>
      </w:r>
      <w:r>
        <w:t xml:space="preserve"> </w:t>
      </w:r>
      <m:oMath>
        <m:r>
          <m:t>A</m:t>
        </m:r>
        <m:r>
          <m:rPr>
            <m:sty m:val="p"/>
          </m:rPr>
          <m:t>⊕</m:t>
        </m:r>
        <m:r>
          <m:t>B</m:t>
        </m:r>
      </m:oMath>
      <w:r>
        <w:t xml:space="preserve"> </w:t>
      </w:r>
      <w:r>
        <w:t xml:space="preserve">corresponding to</w:t>
      </w:r>
      <w:r>
        <w:t xml:space="preserve"> </w:t>
      </w:r>
      <m:oMath>
        <m:sSub>
          <m:e>
            <m:r>
              <m:t>λ</m:t>
            </m:r>
          </m:e>
          <m:sub>
            <m:r>
              <m:t>i</m:t>
            </m:r>
          </m:sub>
        </m:sSub>
        <m:r>
          <m:rPr>
            <m:sty m:val="p"/>
          </m:rPr>
          <m:t>+</m:t>
        </m:r>
        <m:sSub>
          <m:e>
            <m:r>
              <m:t>μ</m:t>
            </m:r>
          </m:e>
          <m:sub>
            <m:r>
              <m:t>j</m:t>
            </m:r>
          </m:sub>
        </m:sSub>
      </m:oMath>
      <w:r>
        <w:t xml:space="preserve">,</w:t>
      </w:r>
      <w:r>
        <w:t xml:space="preserve"> </w:t>
      </w:r>
      <m:oMath>
        <m:r>
          <m:t>i</m:t>
        </m:r>
        <m:r>
          <m:rPr>
            <m:sty m:val="p"/>
          </m:rPr>
          <m:t>∈</m:t>
        </m:r>
        <m:r>
          <m:rPr>
            <m:sty m:val="p"/>
          </m:rPr>
          <m:t>{</m:t>
        </m:r>
        <m:r>
          <m:t>1</m:t>
        </m:r>
        <m:r>
          <m:rPr>
            <m:sty m:val="p"/>
          </m:rPr>
          <m:t>,</m:t>
        </m:r>
        <m:r>
          <m:rPr>
            <m:sty m:val="p"/>
          </m:rPr>
          <m:t>…</m:t>
        </m:r>
        <m:r>
          <m:rPr>
            <m:sty m:val="p"/>
          </m:rPr>
          <m:t>,</m:t>
        </m:r>
        <m:r>
          <m:t>p</m:t>
        </m:r>
        <m:r>
          <m:rPr>
            <m:sty m:val="p"/>
          </m:rPr>
          <m:t>}</m:t>
        </m:r>
        <m:r>
          <m:rPr>
            <m:sty m:val="p"/>
          </m:rPr>
          <m:t>,</m:t>
        </m:r>
        <m:r>
          <m:t>j</m:t>
        </m:r>
        <m:r>
          <m:rPr>
            <m:sty m:val="p"/>
          </m:rPr>
          <m:t>∈</m:t>
        </m:r>
        <m:r>
          <m:rPr>
            <m:sty m:val="p"/>
          </m:rPr>
          <m:t>{</m:t>
        </m:r>
        <m:r>
          <m:t>1</m:t>
        </m:r>
        <m:r>
          <m:rPr>
            <m:sty m:val="p"/>
          </m:rPr>
          <m:t>,</m:t>
        </m:r>
        <m:r>
          <m:rPr>
            <m:sty m:val="p"/>
          </m:rPr>
          <m:t>…</m:t>
        </m:r>
        <m:r>
          <m:rPr>
            <m:sty m:val="p"/>
          </m:rPr>
          <m:t>,</m:t>
        </m:r>
        <m:r>
          <m:t>q</m:t>
        </m:r>
        <m:r>
          <m:rPr>
            <m:sty m:val="p"/>
          </m:rPr>
          <m:t>}</m:t>
        </m:r>
      </m:oMath>
      <w:r>
        <w:t xml:space="preserve">.</w:t>
      </w:r>
    </w:p>
    <w:bookmarkEnd w:id="25"/>
    <w:bookmarkStart w:id="26" w:name="discussion"/>
    <w:p>
      <w:pPr>
        <w:pStyle w:val="Heading3"/>
      </w:pPr>
      <w:r>
        <w:t xml:space="preserve">Discussion</w:t>
      </w:r>
    </w:p>
    <w:p>
      <w:pPr>
        <w:pStyle w:val="FirstParagraph"/>
      </w:pPr>
      <w:r>
        <w:t xml:space="preserve">This theorem provides a crucial insight that allows us to efficiently construct the eigendecomposition of the full precision matrix</w:t>
      </w:r>
      <w:r>
        <w:t xml:space="preserve"> </w:t>
      </w:r>
      <m:oMath>
        <m:r>
          <m:t>Q</m:t>
        </m:r>
      </m:oMath>
      <w:r>
        <w:t xml:space="preserve"> </w:t>
      </w:r>
      <w:r>
        <w:t xml:space="preserve">for two-dimensional spatial fields by leveraging the eigendecomposition of the one-dimensional precision matrix</w:t>
      </w:r>
      <w:r>
        <w:t xml:space="preserve"> </w:t>
      </w:r>
      <m:oMath>
        <m:sSub>
          <m:e>
            <m:r>
              <m:t>Q</m:t>
            </m:r>
          </m:e>
          <m:sub>
            <m:r>
              <m:t>1</m:t>
            </m:r>
          </m:sub>
        </m:sSub>
      </m:oMath>
      <w:r>
        <w:t xml:space="preserve">, avoiding the computationally intensive process of explicitly forming and inverting the large matrix</w:t>
      </w:r>
      <w:r>
        <w:t xml:space="preserve"> </w:t>
      </w:r>
      <m:oMath>
        <m:r>
          <m:t>Q</m:t>
        </m:r>
      </m:oMath>
      <w:r>
        <w:t xml:space="preserve">.</w:t>
      </w:r>
    </w:p>
    <w:p>
      <w:pPr>
        <w:pStyle w:val="BodyText"/>
      </w:pPr>
      <w:r>
        <w:t xml:space="preserve">Furthermore, we can compute the log-density of an observation x directly by using just the eigenvalues and eigenvectors og</w:t>
      </w:r>
      <w:r>
        <w:t xml:space="preserve"> </w:t>
      </w:r>
      <m:oMath>
        <m:sSub>
          <m:e>
            <m:r>
              <m:t>Q</m:t>
            </m:r>
          </m:e>
          <m:sub>
            <m:r>
              <m:t>1</m:t>
            </m:r>
          </m:sub>
        </m:sSub>
      </m:oMath>
      <w:r>
        <w:t xml:space="preserve">, thereby enabling efficient computation of the log-density of the multivariate normal distribution even for large spatial fields.</w:t>
      </w:r>
    </w:p>
    <w:bookmarkEnd w:id="26"/>
    <w:bookmarkEnd w:id="27"/>
    <w:bookmarkStart w:id="30" w:name="X629bd870bd332df1574f19634362db859bc787d"/>
    <w:p>
      <w:pPr>
        <w:pStyle w:val="Heading2"/>
      </w:pPr>
      <w:r>
        <w:t xml:space="preserve">Example: Calculating Eigenvalues and Eigenvectors for</w:t>
      </w:r>
      <w:r>
        <w:t xml:space="preserve"> </w:t>
      </w:r>
      <m:oMath>
        <m:r>
          <m:t>Q</m:t>
        </m:r>
      </m:oMath>
      <w:r>
        <w:t xml:space="preserve"> </w:t>
      </w:r>
      <w:r>
        <w:t xml:space="preserve">Using</w:t>
      </w:r>
      <w:r>
        <w:t xml:space="preserve"> </w:t>
      </w:r>
      <m:oMath>
        <m:sSub>
          <m:e>
            <m:r>
              <m:t>Q</m:t>
            </m:r>
          </m:e>
          <m:sub>
            <m:r>
              <m:t>1</m:t>
            </m:r>
          </m:sub>
        </m:sSub>
      </m:oMath>
    </w:p>
    <w:p>
      <w:pPr>
        <w:pStyle w:val="FirstParagraph"/>
      </w:pPr>
      <w:r>
        <w:t xml:space="preserve">To illustrate the application of Theorem 13.16, consider the one-dimensional precision matrix</w:t>
      </w:r>
      <w:r>
        <w:t xml:space="preserve"> </w:t>
      </w:r>
      <m:oMath>
        <m:sSub>
          <m:e>
            <m:r>
              <m:t>Q</m:t>
            </m:r>
          </m:e>
          <m:sub>
            <m:r>
              <m:t>1</m:t>
            </m:r>
          </m:sub>
        </m:sSub>
      </m:oMath>
      <w:r>
        <w:t xml:space="preserve"> </w:t>
      </w:r>
      <w:r>
        <w:t xml:space="preserve">with known eigendecomposition. Suppose</w:t>
      </w:r>
      <w:r>
        <w:t xml:space="preserve"> </w:t>
      </w:r>
      <m:oMath>
        <m:sSub>
          <m:e>
            <m:r>
              <m:t>Q</m:t>
            </m:r>
          </m:e>
          <m:sub>
            <m:r>
              <m:t>1</m:t>
            </m:r>
          </m:sub>
        </m:sSub>
      </m:oMath>
      <w:r>
        <w:t xml:space="preserve"> </w:t>
      </w:r>
      <w:r>
        <w:t xml:space="preserve">has eigenvalues</w:t>
      </w:r>
      <w:r>
        <w:t xml:space="preserve"> </w:t>
      </w:r>
      <m:oMath>
        <m:sSub>
          <m:e>
            <m:r>
              <m:t>λ</m:t>
            </m:r>
          </m:e>
          <m:sub>
            <m:r>
              <m:t>i</m:t>
            </m:r>
          </m:sub>
        </m:sSub>
      </m:oMath>
      <w:r>
        <w:t xml:space="preserve"> </w:t>
      </w:r>
      <w:r>
        <w:t xml:space="preserve">and corresponding eigenvectors</w:t>
      </w:r>
      <w:r>
        <w:t xml:space="preserve"> </w:t>
      </w:r>
      <m:oMath>
        <m:sSub>
          <m:e>
            <m:r>
              <m:t>v</m:t>
            </m:r>
          </m:e>
          <m:sub>
            <m:r>
              <m:t>i</m:t>
            </m:r>
          </m:sub>
        </m:sSub>
      </m:oMath>
      <w:r>
        <w:t xml:space="preserve">. For a two-dimensional spatial field, we construct the Matérn-like precision matrix</w:t>
      </w:r>
      <w:r>
        <w:t xml:space="preserve"> </w:t>
      </w:r>
      <m:oMath>
        <m:r>
          <m:t>Q</m:t>
        </m:r>
      </m:oMath>
      <w:r>
        <w:t xml:space="preserve"> </w:t>
      </w:r>
      <w:r>
        <w:t xml:space="preserve">using Kronecker products as follows:</w:t>
      </w:r>
    </w:p>
    <w:p>
      <w:pPr>
        <w:pStyle w:val="BodyText"/>
      </w:pPr>
      <m:oMathPara>
        <m:oMathParaPr>
          <m:jc m:val="center"/>
        </m:oMathParaPr>
        <m:oMath>
          <m:r>
            <m:t>Q</m:t>
          </m:r>
          <m:r>
            <m:rPr>
              <m:sty m:val="p"/>
            </m:rPr>
            <m:t>=</m:t>
          </m:r>
          <m:sSub>
            <m:e>
              <m:r>
                <m:t>Q</m:t>
              </m:r>
            </m:e>
            <m:sub>
              <m:r>
                <m:t>1</m:t>
              </m:r>
            </m:sub>
          </m:sSub>
          <m:r>
            <m:rPr>
              <m:sty m:val="p"/>
            </m:rPr>
            <m:t>⊗</m:t>
          </m:r>
          <m:r>
            <m:t>I</m:t>
          </m:r>
          <m:r>
            <m:rPr>
              <m:sty m:val="p"/>
            </m:rPr>
            <m:t>+</m:t>
          </m:r>
          <m:r>
            <m:t>I</m:t>
          </m:r>
          <m:r>
            <m:rPr>
              <m:sty m:val="p"/>
            </m:rPr>
            <m:t>⊗</m:t>
          </m:r>
          <m:sSub>
            <m:e>
              <m:r>
                <m:t>Q</m:t>
              </m:r>
            </m:e>
            <m:sub>
              <m:r>
                <m:t>1</m:t>
              </m:r>
            </m:sub>
          </m:sSub>
          <m:r>
            <m:rPr>
              <m:sty m:val="p"/>
            </m:rPr>
            <m:t>,</m:t>
          </m:r>
        </m:oMath>
      </m:oMathPara>
    </w:p>
    <w:p>
      <w:pPr>
        <w:pStyle w:val="FirstParagraph"/>
      </w:pPr>
      <w:r>
        <w:t xml:space="preserve">where</w:t>
      </w:r>
      <w:r>
        <w:t xml:space="preserve"> </w:t>
      </w:r>
      <m:oMath>
        <m:r>
          <m:t>I</m:t>
        </m:r>
      </m:oMath>
      <w:r>
        <w:t xml:space="preserve"> </w:t>
      </w:r>
      <w:r>
        <w:t xml:space="preserve">is the identity matrix and</w:t>
      </w:r>
      <w:r>
        <w:t xml:space="preserve"> </w:t>
      </w:r>
      <m:oMath>
        <m:r>
          <m:rPr>
            <m:sty m:val="p"/>
          </m:rPr>
          <m:t>⊗</m:t>
        </m:r>
      </m:oMath>
      <w:r>
        <w:t xml:space="preserve"> </w:t>
      </w:r>
      <w:r>
        <w:t xml:space="preserve">denotes the Kronecker product.</w:t>
      </w:r>
    </w:p>
    <w:bookmarkStart w:id="28" w:name="eigenvalues"/>
    <w:p>
      <w:pPr>
        <w:pStyle w:val="Heading3"/>
      </w:pPr>
      <w:r>
        <w:t xml:space="preserve">Eigenvalues</w:t>
      </w:r>
    </w:p>
    <w:p>
      <w:pPr>
        <w:pStyle w:val="FirstParagraph"/>
      </w:pPr>
      <w:r>
        <w:t xml:space="preserve">The eigenvalues of</w:t>
      </w:r>
      <w:r>
        <w:t xml:space="preserve"> </w:t>
      </w:r>
      <m:oMath>
        <m:r>
          <m:t>Q</m:t>
        </m:r>
      </m:oMath>
      <w:r>
        <w:t xml:space="preserve"> </w:t>
      </w:r>
      <w:r>
        <w:t xml:space="preserve">can be determined from the eigenvalues of</w:t>
      </w:r>
      <w:r>
        <w:t xml:space="preserve"> </w:t>
      </w:r>
      <m:oMath>
        <m:sSub>
          <m:e>
            <m:r>
              <m:t>Q</m:t>
            </m:r>
          </m:e>
          <m:sub>
            <m:r>
              <m:t>1</m:t>
            </m:r>
          </m:sub>
        </m:sSub>
      </m:oMath>
      <w:r>
        <w:t xml:space="preserve">. If</w:t>
      </w:r>
      <w:r>
        <w:t xml:space="preserve"> </w:t>
      </w:r>
      <m:oMath>
        <m:sSub>
          <m:e>
            <m:r>
              <m:t>Q</m:t>
            </m:r>
          </m:e>
          <m:sub>
            <m:r>
              <m:t>1</m:t>
            </m:r>
          </m:sub>
        </m:sSub>
      </m:oMath>
      <w:r>
        <w:t xml:space="preserve"> </w:t>
      </w:r>
      <w:r>
        <w:t xml:space="preserve">has eigenvalues</w:t>
      </w:r>
      <w:r>
        <w:t xml:space="preserve"> </w:t>
      </w:r>
      <m:oMath>
        <m:sSub>
          <m:e>
            <m:r>
              <m:t>λ</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then the eigenvalues of</w:t>
      </w:r>
      <w:r>
        <w:t xml:space="preserve"> </w:t>
      </w:r>
      <m:oMath>
        <m:r>
          <m:t>Q</m:t>
        </m:r>
      </m:oMath>
      <w:r>
        <w:t xml:space="preserve"> </w:t>
      </w:r>
      <w:r>
        <w:t xml:space="preserve">are given by:</w:t>
      </w:r>
    </w:p>
    <w:p>
      <w:pPr>
        <w:pStyle w:val="BodyText"/>
      </w:pPr>
      <m:oMathPara>
        <m:oMathParaPr>
          <m:jc m:val="center"/>
        </m:oMathParaPr>
        <m:oMath>
          <m:sSub>
            <m:e>
              <m:r>
                <m:t>λ</m:t>
              </m:r>
            </m:e>
            <m:sub>
              <m:r>
                <m:t>i</m:t>
              </m:r>
              <m:r>
                <m:t>j</m:t>
              </m:r>
            </m:sub>
          </m:sSub>
          <m:r>
            <m:rPr>
              <m:sty m:val="p"/>
            </m:rPr>
            <m:t>=</m:t>
          </m:r>
          <m:sSub>
            <m:e>
              <m:r>
                <m:t>λ</m:t>
              </m:r>
            </m:e>
            <m:sub>
              <m:r>
                <m:t>i</m:t>
              </m:r>
            </m:sub>
          </m:sSub>
          <m:r>
            <m:rPr>
              <m:sty m:val="p"/>
            </m:rPr>
            <m:t>+</m:t>
          </m:r>
          <m:sSub>
            <m:e>
              <m:r>
                <m:t>λ</m:t>
              </m:r>
            </m:e>
            <m:sub>
              <m:r>
                <m:t>j</m:t>
              </m:r>
            </m:sub>
          </m:sSub>
          <m:r>
            <m:t> </m:t>
          </m:r>
          <m:r>
            <m:rPr>
              <m:nor/>
              <m:sty m:val="p"/>
            </m:rPr>
            <m:t>for</m:t>
          </m:r>
          <m:r>
            <m:t> </m:t>
          </m:r>
          <m:r>
            <m:t>i</m:t>
          </m:r>
          <m:r>
            <m:rPr>
              <m:sty m:val="p"/>
            </m:rPr>
            <m:t>,</m:t>
          </m:r>
          <m:r>
            <m:t>j</m:t>
          </m:r>
          <m:r>
            <m:rPr>
              <m:sty m:val="p"/>
            </m:rPr>
            <m:t>=</m:t>
          </m:r>
          <m:r>
            <m:t>1</m:t>
          </m:r>
          <m:r>
            <m:rPr>
              <m:sty m:val="p"/>
            </m:rPr>
            <m:t>,</m:t>
          </m:r>
          <m:r>
            <m:t>2</m:t>
          </m:r>
          <m:r>
            <m:rPr>
              <m:sty m:val="p"/>
            </m:rPr>
            <m:t>,</m:t>
          </m:r>
          <m:r>
            <m:rPr>
              <m:sty m:val="p"/>
            </m:rPr>
            <m:t>…</m:t>
          </m:r>
          <m:r>
            <m:rPr>
              <m:sty m:val="p"/>
            </m:rPr>
            <m:t>,</m:t>
          </m:r>
          <m:r>
            <m:t>n</m:t>
          </m:r>
          <m:r>
            <m:rPr>
              <m:sty m:val="p"/>
            </m:rPr>
            <m:t>.</m:t>
          </m:r>
        </m:oMath>
      </m:oMathPara>
    </w:p>
    <w:bookmarkEnd w:id="28"/>
    <w:bookmarkStart w:id="29" w:name="eigenvectors"/>
    <w:p>
      <w:pPr>
        <w:pStyle w:val="Heading3"/>
      </w:pPr>
      <w:r>
        <w:t xml:space="preserve">Eigenvectors</w:t>
      </w:r>
    </w:p>
    <w:p>
      <w:pPr>
        <w:pStyle w:val="FirstParagraph"/>
      </w:pPr>
      <w:r>
        <w:t xml:space="preserve">Similarly, the eigenvectors of</w:t>
      </w:r>
      <w:r>
        <w:t xml:space="preserve"> </w:t>
      </w:r>
      <m:oMath>
        <m:r>
          <m:t>Q</m:t>
        </m:r>
      </m:oMath>
      <w:r>
        <w:t xml:space="preserve"> </w:t>
      </w:r>
      <w:r>
        <w:t xml:space="preserve">can be constructed from the eigenvectors of</w:t>
      </w:r>
      <w:r>
        <w:t xml:space="preserve"> </w:t>
      </w:r>
      <m:oMath>
        <m:sSub>
          <m:e>
            <m:r>
              <m:t>Q</m:t>
            </m:r>
          </m:e>
          <m:sub>
            <m:r>
              <m:t>1</m:t>
            </m:r>
          </m:sub>
        </m:sSub>
      </m:oMath>
      <w:r>
        <w:t xml:space="preserve">. If</w:t>
      </w:r>
      <w:r>
        <w:t xml:space="preserve"> </w:t>
      </w:r>
      <m:oMath>
        <m:sSub>
          <m:e>
            <m:r>
              <m:t>v</m:t>
            </m:r>
          </m:e>
          <m:sub>
            <m:r>
              <m:t>i</m:t>
            </m:r>
          </m:sub>
        </m:sSub>
      </m:oMath>
      <w:r>
        <w:t xml:space="preserve"> </w:t>
      </w:r>
      <w:r>
        <w:t xml:space="preserve">and</w:t>
      </w:r>
      <w:r>
        <w:t xml:space="preserve"> </w:t>
      </w:r>
      <m:oMath>
        <m:sSub>
          <m:e>
            <m:r>
              <m:t>v</m:t>
            </m:r>
          </m:e>
          <m:sub>
            <m:r>
              <m:t>j</m:t>
            </m:r>
          </m:sub>
        </m:sSub>
      </m:oMath>
      <w:r>
        <w:t xml:space="preserve"> </w:t>
      </w:r>
      <w:r>
        <w:t xml:space="preserve">are eigenvectors of</w:t>
      </w:r>
      <w:r>
        <w:t xml:space="preserve"> </w:t>
      </w:r>
      <m:oMath>
        <m:sSub>
          <m:e>
            <m:r>
              <m:t>Q</m:t>
            </m:r>
          </m:e>
          <m:sub>
            <m:r>
              <m:t>1</m:t>
            </m:r>
          </m:sub>
        </m:sSub>
      </m:oMath>
      <w:r>
        <w:t xml:space="preserve"> </w:t>
      </w:r>
      <w:r>
        <w:t xml:space="preserve">corresponding to eigenvalues</w:t>
      </w:r>
      <w:r>
        <w:t xml:space="preserve"> </w:t>
      </w:r>
      <m:oMath>
        <m:sSub>
          <m:e>
            <m:r>
              <m:t>λ</m:t>
            </m:r>
          </m:e>
          <m:sub>
            <m:r>
              <m:t>i</m:t>
            </m:r>
          </m:sub>
        </m:sSub>
      </m:oMath>
      <w:r>
        <w:t xml:space="preserve"> </w:t>
      </w:r>
      <w:r>
        <w:t xml:space="preserve">and</w:t>
      </w:r>
      <w:r>
        <w:t xml:space="preserve"> </w:t>
      </w:r>
      <m:oMath>
        <m:sSub>
          <m:e>
            <m:r>
              <m:t>λ</m:t>
            </m:r>
          </m:e>
          <m:sub>
            <m:r>
              <m:t>j</m:t>
            </m:r>
          </m:sub>
        </m:sSub>
      </m:oMath>
      <w:r>
        <w:t xml:space="preserve"> </w:t>
      </w:r>
      <w:r>
        <w:t xml:space="preserve">respectively, then the eigenvectors of</w:t>
      </w:r>
      <w:r>
        <w:t xml:space="preserve"> </w:t>
      </w:r>
      <m:oMath>
        <m:r>
          <m:t>Q</m:t>
        </m:r>
      </m:oMath>
      <w:r>
        <w:t xml:space="preserve"> </w:t>
      </w:r>
      <w:r>
        <w:t xml:space="preserve">are given by:</w:t>
      </w:r>
    </w:p>
    <w:p>
      <w:pPr>
        <w:pStyle w:val="BodyText"/>
      </w:pPr>
      <m:oMathPara>
        <m:oMathParaPr>
          <m:jc m:val="center"/>
        </m:oMathParaPr>
        <m:oMath>
          <m:sSub>
            <m:e>
              <m:r>
                <m:t>v</m:t>
              </m:r>
            </m:e>
            <m:sub>
              <m:r>
                <m:t>i</m:t>
              </m:r>
              <m:r>
                <m:t>j</m:t>
              </m:r>
            </m:sub>
          </m:sSub>
          <m:r>
            <m:rPr>
              <m:sty m:val="p"/>
            </m:rPr>
            <m:t>=</m:t>
          </m:r>
          <m:sSub>
            <m:e>
              <m:r>
                <m:t>v</m:t>
              </m:r>
            </m:e>
            <m:sub>
              <m:r>
                <m:t>i</m:t>
              </m:r>
            </m:sub>
          </m:sSub>
          <m:r>
            <m:rPr>
              <m:sty m:val="p"/>
            </m:rPr>
            <m:t>⊗</m:t>
          </m:r>
          <m:sSub>
            <m:e>
              <m:r>
                <m:t>v</m:t>
              </m:r>
            </m:e>
            <m:sub>
              <m:r>
                <m:t>j</m:t>
              </m:r>
            </m:sub>
          </m:sSub>
          <m:r>
            <m:t> </m:t>
          </m:r>
          <m:r>
            <m:rPr>
              <m:nor/>
              <m:sty m:val="p"/>
            </m:rPr>
            <m:t>for</m:t>
          </m:r>
          <m:r>
            <m:t> </m:t>
          </m:r>
          <m:r>
            <m:t>i</m:t>
          </m:r>
          <m:r>
            <m:rPr>
              <m:sty m:val="p"/>
            </m:rPr>
            <m:t>,</m:t>
          </m:r>
          <m:r>
            <m:t>j</m:t>
          </m:r>
          <m:r>
            <m:rPr>
              <m:sty m:val="p"/>
            </m:rPr>
            <m:t>=</m:t>
          </m:r>
          <m:r>
            <m:t>1</m:t>
          </m:r>
          <m:r>
            <m:rPr>
              <m:sty m:val="p"/>
            </m:rPr>
            <m:t>,</m:t>
          </m:r>
          <m:r>
            <m:t>2</m:t>
          </m:r>
          <m:r>
            <m:rPr>
              <m:sty m:val="p"/>
            </m:rPr>
            <m:t>,</m:t>
          </m:r>
          <m:r>
            <m:rPr>
              <m:sty m:val="p"/>
            </m:rPr>
            <m:t>…</m:t>
          </m:r>
          <m:r>
            <m:rPr>
              <m:sty m:val="p"/>
            </m:rPr>
            <m:t>,</m:t>
          </m:r>
          <m:r>
            <m:t>n</m:t>
          </m:r>
          <m:r>
            <m:rPr>
              <m:sty m:val="p"/>
            </m:rPr>
            <m:t>.</m:t>
          </m:r>
        </m:oMath>
      </m:oMathPara>
    </w:p>
    <w:p>
      <w:pPr>
        <w:pStyle w:val="FirstParagraph"/>
      </w:pPr>
      <w:r>
        <w:t xml:space="preserve">Here,</w:t>
      </w:r>
      <w:r>
        <w:t xml:space="preserve"> </w:t>
      </w:r>
      <m:oMath>
        <m:sSub>
          <m:e>
            <m:r>
              <m:t>v</m:t>
            </m:r>
          </m:e>
          <m:sub>
            <m:r>
              <m:t>i</m:t>
            </m:r>
            <m:r>
              <m:t>j</m:t>
            </m:r>
          </m:sub>
        </m:sSub>
      </m:oMath>
      <w:r>
        <w:t xml:space="preserve"> </w:t>
      </w:r>
      <w:r>
        <w:t xml:space="preserve">is the Kronecker product of</w:t>
      </w:r>
      <w:r>
        <w:t xml:space="preserve"> </w:t>
      </w:r>
      <m:oMath>
        <m:sSub>
          <m:e>
            <m:r>
              <m:t>v</m:t>
            </m:r>
          </m:e>
          <m:sub>
            <m:r>
              <m:t>i</m:t>
            </m:r>
          </m:sub>
        </m:sSub>
      </m:oMath>
      <w:r>
        <w:t xml:space="preserve"> </w:t>
      </w:r>
      <w:r>
        <w:t xml:space="preserve">and</w:t>
      </w:r>
      <w:r>
        <w:t xml:space="preserve"> </w:t>
      </w:r>
      <m:oMath>
        <m:sSub>
          <m:e>
            <m:r>
              <m:t>v</m:t>
            </m:r>
          </m:e>
          <m:sub>
            <m:r>
              <m:t>j</m:t>
            </m:r>
          </m:sub>
        </m:sSub>
      </m:oMath>
      <w:r>
        <w:t xml:space="preserve">.</w:t>
      </w:r>
    </w:p>
    <w:p>
      <w:pPr>
        <w:pStyle w:val="BodyText"/>
      </w:pPr>
      <w:r>
        <w:t xml:space="preserve">These relationships allow us to efficiently compute the eigendecomposition of the full precision matrix</w:t>
      </w:r>
      <w:r>
        <w:t xml:space="preserve"> </w:t>
      </w:r>
      <m:oMath>
        <m:r>
          <m:t>Q</m:t>
        </m:r>
      </m:oMath>
      <w:r>
        <w:t xml:space="preserve"> </w:t>
      </w:r>
      <w:r>
        <w:t xml:space="preserve">using the eigendecomposition of the smaller matrix</w:t>
      </w:r>
      <w:r>
        <w:t xml:space="preserve"> </w:t>
      </w:r>
      <m:oMath>
        <m:sSub>
          <m:e>
            <m:r>
              <m:t>Q</m:t>
            </m:r>
          </m:e>
          <m:sub>
            <m:r>
              <m:t>1</m:t>
            </m:r>
          </m:sub>
        </m:sSub>
      </m:oMath>
      <w:r>
        <w:t xml:space="preserve">, significantly reducing the computational complexity.</w:t>
      </w:r>
    </w:p>
    <w:bookmarkEnd w:id="29"/>
    <w:bookmarkEnd w:id="30"/>
    <w:bookmarkStart w:id="34" w:name="Xa0a24c36daa7fafd714d8f0923f4d0a405a7c95"/>
    <w:p>
      <w:pPr>
        <w:pStyle w:val="Heading2"/>
      </w:pPr>
      <w:r>
        <w:t xml:space="preserve">Efficient Density Calculation Using Eigendecomposition</w:t>
      </w:r>
    </w:p>
    <w:p>
      <w:pPr>
        <w:pStyle w:val="FirstParagraph"/>
      </w:pPr>
      <w:r>
        <w:t xml:space="preserve">Given the eigendecomposition of Q1, we can efficiently compute the multivariate normal density with respect to the precision matrix Q. Let</w:t>
      </w:r>
      <w:r>
        <w:t xml:space="preserve"> </w:t>
      </w:r>
      <m:oMath>
        <m:sSub>
          <m:e>
            <m:r>
              <m:t>λ</m:t>
            </m:r>
          </m:e>
          <m:sub>
            <m:r>
              <m:t>i</m:t>
            </m:r>
          </m:sub>
        </m:sSub>
      </m:oMath>
      <w:r>
        <w:t xml:space="preserve"> </w:t>
      </w:r>
      <w:r>
        <w:t xml:space="preserve">and</w:t>
      </w:r>
      <w:r>
        <w:t xml:space="preserve"> </w:t>
      </w:r>
      <m:oMath>
        <m:sSub>
          <m:e>
            <m:r>
              <m:t>v</m:t>
            </m:r>
          </m:e>
          <m:sub>
            <m:r>
              <m:t>i</m:t>
            </m:r>
          </m:sub>
        </m:sSub>
      </m:oMath>
      <w:r>
        <w:t xml:space="preserve"> </w:t>
      </w:r>
      <w:r>
        <w:t xml:space="preserve">be the eigenvalues and eigenvectors of Q1, respectively.</w:t>
      </w:r>
    </w:p>
    <w:p>
      <w:pPr>
        <w:pStyle w:val="BodyText"/>
      </w:pPr>
      <w:r>
        <w:t xml:space="preserve">The log-density of a multivariate normal distribution with precision matrix Q is given by:</w:t>
      </w:r>
    </w:p>
    <w:p>
      <w:pPr>
        <w:pStyle w:val="BodyText"/>
      </w:pPr>
      <m:oMathPara>
        <m:oMathParaPr>
          <m:jc m:val="center"/>
        </m:oMathParaP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n</m:t>
              </m:r>
              <m:r>
                <m:rPr>
                  <m:sty m:val="p"/>
                </m:rPr>
                <m:t>log</m:t>
              </m:r>
              <m:d>
                <m:dPr>
                  <m:begChr m:val="("/>
                  <m:endChr m:val=")"/>
                  <m:sepChr m:val=""/>
                  <m:grow/>
                </m:dPr>
                <m:e>
                  <m:r>
                    <m:t>2</m:t>
                  </m:r>
                  <m:r>
                    <m:t>π</m:t>
                  </m:r>
                </m:e>
              </m:d>
              <m:r>
                <m:rPr>
                  <m:sty m:val="p"/>
                </m:rPr>
                <m:t>−</m:t>
              </m:r>
              <m:r>
                <m:rPr>
                  <m:sty m:val="p"/>
                </m:rPr>
                <m:t>log</m:t>
              </m:r>
              <m:d>
                <m:dPr>
                  <m:begChr m:val="|"/>
                  <m:endChr m:val="|"/>
                  <m:sepChr m:val=""/>
                  <m:grow/>
                </m:dPr>
                <m:e>
                  <m:r>
                    <m:t>Q</m:t>
                  </m:r>
                </m:e>
              </m:d>
              <m:r>
                <m:rPr>
                  <m:sty m:val="p"/>
                </m:rPr>
                <m:t>+</m:t>
              </m:r>
              <m:sSup>
                <m:e>
                  <m:r>
                    <m:t>x</m:t>
                  </m:r>
                </m:e>
                <m:sup>
                  <m:r>
                    <m:t>T</m:t>
                  </m:r>
                </m:sup>
              </m:sSup>
              <m:r>
                <m:t>Q</m:t>
              </m:r>
              <m:r>
                <m:t>x</m:t>
              </m:r>
            </m:e>
          </m:d>
        </m:oMath>
      </m:oMathPara>
    </w:p>
    <w:p>
      <w:pPr>
        <w:pStyle w:val="FirstParagraph"/>
      </w:pPr>
      <w:r>
        <w:t xml:space="preserve">where</w:t>
      </w:r>
      <w:r>
        <w:t xml:space="preserve"> </w:t>
      </w:r>
      <m:oMath>
        <m:r>
          <m:t>n</m:t>
        </m:r>
      </m:oMath>
      <w:r>
        <w:t xml:space="preserve"> </w:t>
      </w:r>
      <w:r>
        <w:t xml:space="preserve">is the dimension of</w:t>
      </w:r>
      <w:r>
        <w:t xml:space="preserve"> </w:t>
      </w:r>
      <m:oMath>
        <m:r>
          <m:t>x</m:t>
        </m:r>
      </m:oMath>
      <w:r>
        <w:t xml:space="preserve">,</w:t>
      </w:r>
      <w:r>
        <w:t xml:space="preserve"> </w:t>
      </w:r>
      <m:oMath>
        <m:d>
          <m:dPr>
            <m:begChr m:val="|"/>
            <m:endChr m:val="|"/>
            <m:sepChr m:val=""/>
            <m:grow/>
          </m:dPr>
          <m:e>
            <m:r>
              <m:t>Q</m:t>
            </m:r>
          </m:e>
        </m:d>
      </m:oMath>
      <w:r>
        <w:t xml:space="preserve"> </w:t>
      </w:r>
      <w:r>
        <w:t xml:space="preserve">is the determinant of Q, and</w:t>
      </w:r>
      <w:r>
        <w:t xml:space="preserve"> </w:t>
      </w:r>
      <m:oMath>
        <m:sSup>
          <m:e>
            <m:r>
              <m:t>x</m:t>
            </m:r>
          </m:e>
          <m:sup>
            <m:r>
              <m:t>T</m:t>
            </m:r>
          </m:sup>
        </m:sSup>
        <m:r>
          <m:t>Q</m:t>
        </m:r>
        <m:r>
          <m:t>x</m:t>
        </m:r>
      </m:oMath>
      <w:r>
        <w:t xml:space="preserve"> </w:t>
      </w:r>
      <w:r>
        <w:t xml:space="preserve">is the quadratic form.</w:t>
      </w:r>
    </w:p>
    <w:bookmarkStart w:id="31" w:name="log-determinant-calculation"/>
    <w:p>
      <w:pPr>
        <w:pStyle w:val="Heading3"/>
      </w:pPr>
      <w:r>
        <w:t xml:space="preserve">Log-Determinant Calculation</w:t>
      </w:r>
    </w:p>
    <w:p>
      <w:pPr>
        <w:pStyle w:val="FirstParagraph"/>
      </w:pPr>
      <w:r>
        <w:t xml:space="preserve">The log-determinant of Q can be computed efficiently using the eigenvalues of Q1:</w:t>
      </w:r>
    </w:p>
    <w:p>
      <w:pPr>
        <w:pStyle w:val="BodyText"/>
      </w:pPr>
      <m:oMathPara>
        <m:oMathParaPr>
          <m:jc m:val="center"/>
        </m:oMathParaPr>
        <m:oMath>
          <m:r>
            <m:rPr>
              <m:sty m:val="p"/>
            </m:rPr>
            <m:t>log</m:t>
          </m:r>
          <m:d>
            <m:dPr>
              <m:begChr m:val="|"/>
              <m:endChr m:val="|"/>
              <m:sepChr m:val=""/>
              <m:grow/>
            </m:dPr>
            <m:e>
              <m:r>
                <m:t>Q</m:t>
              </m:r>
            </m:e>
          </m:d>
          <m:r>
            <m:rPr>
              <m:sty m:val="p"/>
            </m:rPr>
            <m:t>=</m:t>
          </m:r>
          <m:nary>
            <m:naryPr>
              <m:chr m:val="∑"/>
              <m:limLoc m:val="undOvr"/>
              <m:subHide m:val="off"/>
              <m:supHide m:val="off"/>
            </m:naryPr>
            <m:sub>
              <m:r>
                <m:t>i</m:t>
              </m:r>
              <m:r>
                <m:rPr>
                  <m:sty m:val="p"/>
                </m:rPr>
                <m:t>=</m:t>
              </m:r>
              <m:r>
                <m:t>1</m:t>
              </m:r>
            </m:sub>
            <m:sup>
              <m:r>
                <m:t>d</m:t>
              </m:r>
            </m:sup>
            <m:e>
              <m:nary>
                <m:naryPr>
                  <m:chr m:val="∑"/>
                  <m:limLoc m:val="undOvr"/>
                  <m:subHide m:val="off"/>
                  <m:supHide m:val="off"/>
                </m:naryPr>
                <m:sub>
                  <m:r>
                    <m:t>j</m:t>
                  </m:r>
                  <m:r>
                    <m:rPr>
                      <m:sty m:val="p"/>
                    </m:rPr>
                    <m:t>=</m:t>
                  </m:r>
                  <m:r>
                    <m:t>1</m:t>
                  </m:r>
                </m:sub>
                <m:sup>
                  <m:r>
                    <m:t>d</m:t>
                  </m:r>
                </m:sup>
                <m:e>
                  <m:r>
                    <m:rPr>
                      <m:sty m:val="p"/>
                    </m:rPr>
                    <m:t>log</m:t>
                  </m:r>
                </m:e>
              </m:nary>
            </m:e>
          </m:nary>
          <m:d>
            <m:dPr>
              <m:begChr m:val="("/>
              <m:endChr m:val=")"/>
              <m:sepChr m:val=""/>
              <m:grow/>
            </m:dPr>
            <m:e>
              <m:sSub>
                <m:e>
                  <m:r>
                    <m:t>λ</m:t>
                  </m:r>
                </m:e>
                <m:sub>
                  <m:r>
                    <m:t>i</m:t>
                  </m:r>
                </m:sub>
              </m:sSub>
              <m:r>
                <m:rPr>
                  <m:sty m:val="p"/>
                </m:rPr>
                <m:t>+</m:t>
              </m:r>
              <m:sSub>
                <m:e>
                  <m:r>
                    <m:t>λ</m:t>
                  </m:r>
                </m:e>
                <m:sub>
                  <m:r>
                    <m:t>j</m:t>
                  </m:r>
                </m:sub>
              </m:sSub>
            </m:e>
          </m:d>
        </m:oMath>
      </m:oMathPara>
    </w:p>
    <w:p>
      <w:pPr>
        <w:pStyle w:val="FirstParagraph"/>
      </w:pPr>
      <w:r>
        <w:t xml:space="preserve">where</w:t>
      </w:r>
      <w:r>
        <w:t xml:space="preserve"> </w:t>
      </w:r>
      <m:oMath>
        <m:r>
          <m:t>d</m:t>
        </m:r>
      </m:oMath>
      <w:r>
        <w:t xml:space="preserve"> </w:t>
      </w:r>
      <w:r>
        <w:t xml:space="preserve">is the dimension of Q1.</w:t>
      </w:r>
    </w:p>
    <w:bookmarkEnd w:id="31"/>
    <w:bookmarkStart w:id="32" w:name="quadratic-form-calculation"/>
    <w:p>
      <w:pPr>
        <w:pStyle w:val="Heading3"/>
      </w:pPr>
      <w:r>
        <w:t xml:space="preserve">Quadratic Form Calculation</w:t>
      </w:r>
    </w:p>
    <w:p>
      <w:pPr>
        <w:pStyle w:val="FirstParagraph"/>
      </w:pPr>
      <w:r>
        <w:t xml:space="preserve">First, we define the product of the eigenvector and the data vector</w:t>
      </w:r>
      <w:r>
        <w:t xml:space="preserve"> </w:t>
      </w:r>
      <m:oMath>
        <m:r>
          <m:t>x</m:t>
        </m:r>
      </m:oMath>
      <w:r>
        <w:t xml:space="preserve"> </w:t>
      </w:r>
      <w:r>
        <w:t xml:space="preserve">as:</w:t>
      </w:r>
    </w:p>
    <w:p>
      <w:pPr>
        <w:pStyle w:val="BodyText"/>
      </w:pPr>
      <m:oMathPara>
        <m:oMathParaPr>
          <m:jc m:val="center"/>
        </m:oMathParaPr>
        <m:oMath>
          <m:sSub>
            <m:e>
              <m:r>
                <m:t>y</m:t>
              </m:r>
            </m:e>
            <m:sub>
              <m:r>
                <m:t>i</m:t>
              </m:r>
              <m:r>
                <m:t>j</m:t>
              </m:r>
            </m:sub>
          </m:sSub>
          <m:r>
            <m:rPr>
              <m:sty m:val="p"/>
            </m:rPr>
            <m:t>=</m:t>
          </m:r>
          <m:sSup>
            <m:e>
              <m:d>
                <m:dPr>
                  <m:begChr m:val="("/>
                  <m:endChr m:val=")"/>
                  <m:sepChr m:val=""/>
                  <m:grow/>
                </m:dPr>
                <m:e>
                  <m:sSub>
                    <m:e>
                      <m:r>
                        <m:t>v</m:t>
                      </m:r>
                    </m:e>
                    <m:sub>
                      <m:r>
                        <m:t>i</m:t>
                      </m:r>
                    </m:sub>
                  </m:sSub>
                  <m:r>
                    <m:rPr>
                      <m:sty m:val="p"/>
                    </m:rPr>
                    <m:t>⊗</m:t>
                  </m:r>
                  <m:sSub>
                    <m:e>
                      <m:r>
                        <m:t>v</m:t>
                      </m:r>
                    </m:e>
                    <m:sub>
                      <m:r>
                        <m:t>j</m:t>
                      </m:r>
                    </m:sub>
                  </m:sSub>
                </m:e>
              </m:d>
            </m:e>
            <m:sup>
              <m:r>
                <m:t>T</m:t>
              </m:r>
            </m:sup>
          </m:sSup>
          <m:r>
            <m:t>x</m:t>
          </m:r>
          <m:r>
            <m:rPr>
              <m:sty m:val="p"/>
            </m:rPr>
            <m:t>,</m:t>
          </m:r>
        </m:oMath>
      </m:oMathPara>
    </w:p>
    <w:p>
      <w:pPr>
        <w:pStyle w:val="FirstParagraph"/>
      </w:pPr>
      <w:r>
        <w:t xml:space="preserve">where</w:t>
      </w:r>
      <w:r>
        <w:t xml:space="preserve"> </w:t>
      </w:r>
      <m:oMath>
        <m:sSub>
          <m:e>
            <m:r>
              <m:t>v</m:t>
            </m:r>
          </m:e>
          <m:sub>
            <m:r>
              <m:t>i</m:t>
            </m:r>
          </m:sub>
        </m:sSub>
      </m:oMath>
      <w:r>
        <w:t xml:space="preserve"> </w:t>
      </w:r>
      <w:r>
        <w:t xml:space="preserve">and</w:t>
      </w:r>
      <w:r>
        <w:t xml:space="preserve"> </w:t>
      </w:r>
      <m:oMath>
        <m:sSub>
          <m:e>
            <m:r>
              <m:t>v</m:t>
            </m:r>
          </m:e>
          <m:sub>
            <m:r>
              <m:t>j</m:t>
            </m:r>
          </m:sub>
        </m:sSub>
      </m:oMath>
      <w:r>
        <w:t xml:space="preserve"> </w:t>
      </w:r>
      <w:r>
        <w:t xml:space="preserve">are the eigenvectors of</w:t>
      </w:r>
      <w:r>
        <w:t xml:space="preserve"> </w:t>
      </w:r>
      <m:oMath>
        <m:sSub>
          <m:e>
            <m:r>
              <m:t>Q</m:t>
            </m:r>
          </m:e>
          <m:sub>
            <m:r>
              <m:t>1</m:t>
            </m:r>
          </m:sub>
        </m:sSub>
      </m:oMath>
      <w:r>
        <w:t xml:space="preserve"> </w:t>
      </w:r>
      <w:r>
        <w:t xml:space="preserve">and</w:t>
      </w:r>
      <w:r>
        <w:t xml:space="preserve"> </w:t>
      </w:r>
      <m:oMath>
        <m:r>
          <m:rPr>
            <m:sty m:val="p"/>
          </m:rPr>
          <m:t>⊗</m:t>
        </m:r>
      </m:oMath>
      <w:r>
        <w:t xml:space="preserve"> </w:t>
      </w:r>
      <w:r>
        <w:t xml:space="preserve">denotes the Kronecker product.</w:t>
      </w:r>
    </w:p>
    <w:p>
      <w:pPr>
        <w:pStyle w:val="BodyText"/>
      </w:pPr>
      <w:r>
        <w:t xml:space="preserve">Next, we define the eigenvalue sum as:</w:t>
      </w:r>
    </w:p>
    <w:p>
      <w:pPr>
        <w:pStyle w:val="BodyText"/>
      </w:pPr>
      <m:oMathPara>
        <m:oMathParaPr>
          <m:jc m:val="center"/>
        </m:oMathParaPr>
        <m:oMath>
          <m:sSub>
            <m:e>
              <m:r>
                <m:t>μ</m:t>
              </m:r>
            </m:e>
            <m:sub>
              <m:r>
                <m:t>i</m:t>
              </m:r>
              <m:r>
                <m:t>j</m:t>
              </m:r>
            </m:sub>
          </m:sSub>
          <m:r>
            <m:rPr>
              <m:sty m:val="p"/>
            </m:rPr>
            <m:t>=</m:t>
          </m:r>
          <m:sSub>
            <m:e>
              <m:r>
                <m:t>λ</m:t>
              </m:r>
            </m:e>
            <m:sub>
              <m:r>
                <m:t>i</m:t>
              </m:r>
            </m:sub>
          </m:sSub>
          <m:r>
            <m:rPr>
              <m:sty m:val="p"/>
            </m:rPr>
            <m:t>+</m:t>
          </m:r>
          <m:sSub>
            <m:e>
              <m:r>
                <m:t>λ</m:t>
              </m:r>
            </m:e>
            <m:sub>
              <m:r>
                <m:t>j</m:t>
              </m:r>
            </m:sub>
          </m:sSub>
          <m:r>
            <m:rPr>
              <m:sty m:val="p"/>
            </m:rPr>
            <m:t>,</m:t>
          </m:r>
        </m:oMath>
      </m:oMathPara>
    </w:p>
    <w:p>
      <w:pPr>
        <w:pStyle w:val="FirstParagraph"/>
      </w:pPr>
      <w:r>
        <w:t xml:space="preserve">where</w:t>
      </w:r>
      <w:r>
        <w:t xml:space="preserve"> </w:t>
      </w:r>
      <m:oMath>
        <m:sSub>
          <m:e>
            <m:r>
              <m:t>λ</m:t>
            </m:r>
          </m:e>
          <m:sub>
            <m:r>
              <m:t>i</m:t>
            </m:r>
          </m:sub>
        </m:sSub>
      </m:oMath>
      <w:r>
        <w:t xml:space="preserve"> </w:t>
      </w:r>
      <w:r>
        <w:t xml:space="preserve">and</w:t>
      </w:r>
      <w:r>
        <w:t xml:space="preserve"> </w:t>
      </w:r>
      <m:oMath>
        <m:sSub>
          <m:e>
            <m:r>
              <m:t>λ</m:t>
            </m:r>
          </m:e>
          <m:sub>
            <m:r>
              <m:t>j</m:t>
            </m:r>
          </m:sub>
        </m:sSub>
      </m:oMath>
      <w:r>
        <w:t xml:space="preserve"> </w:t>
      </w:r>
      <w:r>
        <w:t xml:space="preserve">are the eigenvalues of</w:t>
      </w:r>
      <w:r>
        <w:t xml:space="preserve"> </w:t>
      </w:r>
      <m:oMath>
        <m:sSub>
          <m:e>
            <m:r>
              <m:t>Q</m:t>
            </m:r>
          </m:e>
          <m:sub>
            <m:r>
              <m:t>1</m:t>
            </m:r>
          </m:sub>
        </m:sSub>
      </m:oMath>
      <w:r>
        <w:t xml:space="preserve">. Using these definitions, the quadratic form can be expressed as:</w:t>
      </w:r>
    </w:p>
    <w:p>
      <w:pPr>
        <w:pStyle w:val="BodyText"/>
      </w:pPr>
      <m:oMathPara>
        <m:oMathParaPr>
          <m:jc m:val="center"/>
        </m:oMathParaPr>
        <m:oMath>
          <m:sSup>
            <m:e>
              <m:r>
                <m:t>x</m:t>
              </m:r>
            </m:e>
            <m:sup>
              <m:r>
                <m:t>T</m:t>
              </m:r>
            </m:sup>
          </m:sSup>
          <m:r>
            <m:t>Q</m:t>
          </m:r>
          <m:r>
            <m:t>x</m:t>
          </m:r>
          <m:r>
            <m:rPr>
              <m:sty m:val="p"/>
            </m:rPr>
            <m:t>=</m:t>
          </m:r>
          <m:nary>
            <m:naryPr>
              <m:chr m:val="∑"/>
              <m:limLoc m:val="undOvr"/>
              <m:subHide m:val="off"/>
              <m:supHide m:val="off"/>
            </m:naryPr>
            <m:sub>
              <m:r>
                <m:t>i</m:t>
              </m:r>
              <m:r>
                <m:rPr>
                  <m:sty m:val="p"/>
                </m:rPr>
                <m:t>=</m:t>
              </m:r>
              <m:r>
                <m:t>1</m:t>
              </m:r>
            </m:sub>
            <m:sup>
              <m:r>
                <m:t>d</m:t>
              </m:r>
            </m:sup>
            <m:e>
              <m:nary>
                <m:naryPr>
                  <m:chr m:val="∑"/>
                  <m:limLoc m:val="undOvr"/>
                  <m:subHide m:val="off"/>
                  <m:supHide m:val="off"/>
                </m:naryPr>
                <m:sub>
                  <m:r>
                    <m:t>j</m:t>
                  </m:r>
                  <m:r>
                    <m:rPr>
                      <m:sty m:val="p"/>
                    </m:rPr>
                    <m:t>=</m:t>
                  </m:r>
                  <m:r>
                    <m:t>1</m:t>
                  </m:r>
                </m:sub>
                <m:sup>
                  <m:r>
                    <m:t>d</m:t>
                  </m:r>
                </m:sup>
                <m:e>
                  <m:sSub>
                    <m:e>
                      <m:r>
                        <m:t>μ</m:t>
                      </m:r>
                    </m:e>
                    <m:sub>
                      <m:r>
                        <m:t>i</m:t>
                      </m:r>
                      <m:r>
                        <m:t>j</m:t>
                      </m:r>
                    </m:sub>
                  </m:sSub>
                </m:e>
              </m:nary>
            </m:e>
          </m:nary>
          <m:sSubSup>
            <m:e>
              <m:r>
                <m:t>y</m:t>
              </m:r>
            </m:e>
            <m:sub>
              <m:r>
                <m:t>i</m:t>
              </m:r>
              <m:r>
                <m:t>j</m:t>
              </m:r>
            </m:sub>
            <m:sup>
              <m:r>
                <m:t>2</m:t>
              </m:r>
            </m:sup>
          </m:sSubSup>
          <m:r>
            <m:rPr>
              <m:sty m:val="p"/>
            </m:rPr>
            <m:t>.</m:t>
          </m:r>
        </m:oMath>
      </m:oMathPara>
    </w:p>
    <w:p>
      <w:pPr>
        <w:pStyle w:val="FirstParagraph"/>
      </w:pPr>
      <w:r>
        <w:t xml:space="preserve">In this way, we calculate the quadratic form without having to form the matrix Q or its full set of eigenvectors or values.</w:t>
      </w:r>
    </w:p>
    <w:bookmarkEnd w:id="32"/>
    <w:bookmarkStart w:id="33" w:name="scaling-the-input-x"/>
    <w:p>
      <w:pPr>
        <w:pStyle w:val="Heading3"/>
      </w:pPr>
      <w:r>
        <w:t xml:space="preserve">Scaling the Input x</w:t>
      </w:r>
    </w:p>
    <w:p>
      <w:pPr>
        <w:pStyle w:val="FirstParagraph"/>
      </w:pPr>
      <w:r>
        <w:t xml:space="preserve">The input vector</w:t>
      </w:r>
      <w:r>
        <w:t xml:space="preserve"> </w:t>
      </w:r>
      <m:oMath>
        <m:r>
          <m:t>x</m:t>
        </m:r>
        <m:r>
          <m:rPr>
            <m:sty m:val="p"/>
          </m:rPr>
          <m:t>=</m:t>
        </m:r>
        <m:sSup>
          <m:e>
            <m:r>
              <m:t>Φ</m:t>
            </m:r>
          </m:e>
          <m:sup>
            <m:r>
              <m:rPr>
                <m:sty m:val="p"/>
              </m:rPr>
              <m:t>−</m:t>
            </m:r>
            <m:r>
              <m:t>1</m:t>
            </m:r>
          </m:sup>
        </m:sSup>
        <m:d>
          <m:dPr>
            <m:begChr m:val="("/>
            <m:endChr m:val=")"/>
            <m:sepChr m:val=""/>
            <m:grow/>
          </m:dPr>
          <m:e>
            <m:r>
              <m:t>u</m:t>
            </m:r>
          </m:e>
        </m:d>
      </m:oMath>
      <w:r>
        <w:t xml:space="preserve"> </w:t>
      </w:r>
      <w:r>
        <w:t xml:space="preserve">has zero mean and unit marginal variance. Instead of scaling the precision matrix to have</w:t>
      </w:r>
      <w:r>
        <w:t xml:space="preserve"> </w:t>
      </w:r>
      <m:oMath>
        <m:sSub>
          <m:e>
            <m:d>
              <m:dPr>
                <m:begChr m:val="("/>
                <m:endChr m:val=")"/>
                <m:sepChr m:val=""/>
                <m:grow/>
              </m:dPr>
              <m:e>
                <m:sSup>
                  <m:e>
                    <m:r>
                      <m:t>Q</m:t>
                    </m:r>
                  </m:e>
                  <m:sup>
                    <m:r>
                      <m:rPr>
                        <m:sty m:val="p"/>
                      </m:rPr>
                      <m:t>−</m:t>
                    </m:r>
                    <m:r>
                      <m:t>1</m:t>
                    </m:r>
                  </m:sup>
                </m:sSup>
              </m:e>
            </m:d>
          </m:e>
          <m:sub>
            <m:r>
              <m:t>i</m:t>
            </m:r>
            <m:r>
              <m:t>i</m:t>
            </m:r>
          </m:sub>
        </m:sSub>
        <m:r>
          <m:rPr>
            <m:sty m:val="p"/>
          </m:rPr>
          <m:t>=</m:t>
        </m:r>
        <m:r>
          <m:t>1</m:t>
        </m:r>
      </m:oMath>
      <w:r>
        <w:t xml:space="preserve">, we calculate the marginal standard deviations,</w:t>
      </w:r>
      <w:r>
        <w:t xml:space="preserve"> </w:t>
      </w:r>
      <m:oMath>
        <m:sSub>
          <m:e>
            <m:r>
              <m:t>σ</m:t>
            </m:r>
          </m:e>
          <m:sub>
            <m:r>
              <m:t>k</m:t>
            </m:r>
          </m:sub>
        </m:sSub>
      </m:oMath>
      <w:r>
        <w:t xml:space="preserve">, implied by</w:t>
      </w:r>
      <w:r>
        <w:t xml:space="preserve"> </w:t>
      </w:r>
      <m:oMath>
        <m:r>
          <m:t>Q</m:t>
        </m:r>
      </m:oMath>
      <w:r>
        <w:t xml:space="preserve"> </w:t>
      </w:r>
      <w:r>
        <w:t xml:space="preserve">using the eigenstructure of</w:t>
      </w:r>
      <w:r>
        <w:t xml:space="preserve"> </w:t>
      </w:r>
      <m:oMath>
        <m:sSub>
          <m:e>
            <m:r>
              <m:t>Q</m:t>
            </m:r>
          </m:e>
          <m:sub>
            <m:r>
              <m:t>1</m:t>
            </m:r>
          </m:sub>
        </m:sSub>
      </m:oMath>
      <w:r>
        <w:t xml:space="preserve">, then scale the input vector</w:t>
      </w:r>
      <w:r>
        <w:t xml:space="preserve"> </w:t>
      </w:r>
      <m:oMath>
        <m:r>
          <m:t>x</m:t>
        </m:r>
      </m:oMath>
      <w:r>
        <w:t xml:space="preserve"> </w:t>
      </w:r>
      <w:r>
        <w:t xml:space="preserve">using those standard deviations. First we compute the marginal standard deviations:</w:t>
      </w:r>
    </w:p>
    <w:p>
      <w:pPr>
        <w:pStyle w:val="BodyText"/>
      </w:pPr>
      <m:oMathPara>
        <m:oMathParaPr>
          <m:jc m:val="center"/>
        </m:oMathParaPr>
        <m:oMath>
          <m:sSub>
            <m:e>
              <m:r>
                <m:t>σ</m:t>
              </m:r>
            </m:e>
            <m:sub>
              <m:r>
                <m:t>k</m:t>
              </m:r>
            </m:sub>
          </m:sSub>
          <m:r>
            <m:rPr>
              <m:sty m:val="p"/>
            </m:rPr>
            <m:t>=</m:t>
          </m:r>
          <m:rad>
            <m:radPr>
              <m:degHide m:val="on"/>
            </m:radPr>
            <m:deg/>
            <m:e>
              <m:nary>
                <m:naryPr>
                  <m:chr m:val="∑"/>
                  <m:limLoc m:val="undOvr"/>
                  <m:subHide m:val="off"/>
                  <m:supHide m:val="off"/>
                </m:naryPr>
                <m:sub>
                  <m:r>
                    <m:t>i</m:t>
                  </m:r>
                  <m:r>
                    <m:rPr>
                      <m:sty m:val="p"/>
                    </m:rPr>
                    <m:t>=</m:t>
                  </m:r>
                  <m:r>
                    <m:t>1</m:t>
                  </m:r>
                </m:sub>
                <m:sup>
                  <m:r>
                    <m:t>d</m:t>
                  </m:r>
                </m:sup>
                <m:e>
                  <m:nary>
                    <m:naryPr>
                      <m:chr m:val="∑"/>
                      <m:limLoc m:val="undOvr"/>
                      <m:subHide m:val="off"/>
                      <m:supHide m:val="off"/>
                    </m:naryPr>
                    <m:sub>
                      <m:r>
                        <m:t>j</m:t>
                      </m:r>
                      <m:r>
                        <m:rPr>
                          <m:sty m:val="p"/>
                        </m:rPr>
                        <m:t>=</m:t>
                      </m:r>
                      <m:r>
                        <m:t>1</m:t>
                      </m:r>
                    </m:sub>
                    <m:sup>
                      <m:r>
                        <m:t>d</m:t>
                      </m:r>
                    </m:sup>
                    <m:e>
                      <m:f>
                        <m:fPr>
                          <m:type m:val="bar"/>
                        </m:fPr>
                        <m:num>
                          <m:sSubSup>
                            <m:e>
                              <m:d>
                                <m:dPr>
                                  <m:begChr m:val="("/>
                                  <m:endChr m:val=")"/>
                                  <m:sepChr m:val=""/>
                                  <m:grow/>
                                </m:dPr>
                                <m:e>
                                  <m:sSub>
                                    <m:e>
                                      <m:r>
                                        <m:t>v</m:t>
                                      </m:r>
                                    </m:e>
                                    <m:sub>
                                      <m:r>
                                        <m:t>i</m:t>
                                      </m:r>
                                    </m:sub>
                                  </m:sSub>
                                  <m:r>
                                    <m:rPr>
                                      <m:sty m:val="p"/>
                                    </m:rPr>
                                    <m:t>⊗</m:t>
                                  </m:r>
                                  <m:sSub>
                                    <m:e>
                                      <m:r>
                                        <m:t>v</m:t>
                                      </m:r>
                                    </m:e>
                                    <m:sub>
                                      <m:r>
                                        <m:t>j</m:t>
                                      </m:r>
                                    </m:sub>
                                  </m:sSub>
                                </m:e>
                              </m:d>
                            </m:e>
                            <m:sub>
                              <m:r>
                                <m:t>k</m:t>
                              </m:r>
                            </m:sub>
                            <m:sup>
                              <m:r>
                                <m:t>2</m:t>
                              </m:r>
                            </m:sup>
                          </m:sSubSup>
                        </m:num>
                        <m:den>
                          <m:sSub>
                            <m:e>
                              <m:r>
                                <m:t>λ</m:t>
                              </m:r>
                            </m:e>
                            <m:sub>
                              <m:r>
                                <m:t>i</m:t>
                              </m:r>
                            </m:sub>
                          </m:sSub>
                          <m:r>
                            <m:rPr>
                              <m:sty m:val="p"/>
                            </m:rPr>
                            <m:t>+</m:t>
                          </m:r>
                          <m:sSub>
                            <m:e>
                              <m:r>
                                <m:t>λ</m:t>
                              </m:r>
                            </m:e>
                            <m:sub>
                              <m:r>
                                <m:t>j</m:t>
                              </m:r>
                            </m:sub>
                          </m:sSub>
                        </m:den>
                      </m:f>
                    </m:e>
                  </m:nary>
                </m:e>
              </m:nary>
            </m:e>
          </m:rad>
        </m:oMath>
      </m:oMathPara>
    </w:p>
    <w:p>
      <w:pPr>
        <w:pStyle w:val="FirstParagraph"/>
      </w:pPr>
      <w:r>
        <w:t xml:space="preserve">where</w:t>
      </w:r>
      <w:r>
        <w:t xml:space="preserve"> </w:t>
      </w:r>
      <m:oMath>
        <m:sSub>
          <m:e>
            <m:d>
              <m:dPr>
                <m:begChr m:val="("/>
                <m:endChr m:val=")"/>
                <m:sepChr m:val=""/>
                <m:grow/>
              </m:dPr>
              <m:e>
                <m:sSub>
                  <m:e>
                    <m:r>
                      <m:t>v</m:t>
                    </m:r>
                  </m:e>
                  <m:sub>
                    <m:r>
                      <m:t>i</m:t>
                    </m:r>
                  </m:sub>
                </m:sSub>
                <m:r>
                  <m:rPr>
                    <m:sty m:val="p"/>
                  </m:rPr>
                  <m:t>⊗</m:t>
                </m:r>
                <m:sSub>
                  <m:e>
                    <m:r>
                      <m:t>v</m:t>
                    </m:r>
                  </m:e>
                  <m:sub>
                    <m:r>
                      <m:t>j</m:t>
                    </m:r>
                  </m:sub>
                </m:sSub>
              </m:e>
            </m:d>
          </m:e>
          <m:sub>
            <m:r>
              <m:t>k</m:t>
            </m:r>
          </m:sub>
        </m:sSub>
      </m:oMath>
      <w:r>
        <w:t xml:space="preserve"> </w:t>
      </w:r>
      <w:r>
        <w:t xml:space="preserve">is the</w:t>
      </w:r>
      <w:r>
        <w:t xml:space="preserve"> </w:t>
      </w:r>
      <m:oMath>
        <m:r>
          <m:t>k</m:t>
        </m:r>
      </m:oMath>
      <w:r>
        <w:t xml:space="preserve">-th element of the Kronecker product</w:t>
      </w:r>
      <w:r>
        <w:t xml:space="preserve"> </w:t>
      </w:r>
      <m:oMath>
        <m:sSub>
          <m:e>
            <m:r>
              <m:t>v</m:t>
            </m:r>
          </m:e>
          <m:sub>
            <m:r>
              <m:t>i</m:t>
            </m:r>
          </m:sub>
        </m:sSub>
        <m:r>
          <m:rPr>
            <m:sty m:val="p"/>
          </m:rPr>
          <m:t>⊗</m:t>
        </m:r>
        <m:sSub>
          <m:e>
            <m:r>
              <m:t>v</m:t>
            </m:r>
          </m:e>
          <m:sub>
            <m:r>
              <m:t>j</m:t>
            </m:r>
          </m:sub>
        </m:sSub>
      </m:oMath>
      <w:r>
        <w:t xml:space="preserve">.</w:t>
      </w:r>
    </w:p>
    <w:bookmarkEnd w:id="33"/>
    <w:bookmarkEnd w:id="34"/>
    <w:bookmarkStart w:id="35" w:name="algorithm-implementation"/>
    <w:p>
      <w:pPr>
        <w:pStyle w:val="Heading2"/>
      </w:pPr>
      <w:r>
        <w:t xml:space="preserve">Algorithm Implementation</w:t>
      </w:r>
    </w:p>
    <w:p>
      <w:pPr>
        <w:pStyle w:val="FirstParagraph"/>
      </w:pPr>
      <w:r>
        <w:t xml:space="preserve">The density calculation is implemented as follows:</w:t>
      </w:r>
    </w:p>
    <w:p>
      <w:pPr>
        <w:pStyle w:val="Compact"/>
        <w:numPr>
          <w:ilvl w:val="0"/>
          <w:numId w:val="1001"/>
        </w:numPr>
      </w:pPr>
      <w:r>
        <w:t xml:space="preserve">Compute the eigendecomposition of</w:t>
      </w:r>
      <w:r>
        <w:t xml:space="preserve"> </w:t>
      </w:r>
      <m:oMath>
        <m:sSub>
          <m:e>
            <m:r>
              <m:t>Q</m:t>
            </m:r>
          </m:e>
          <m:sub>
            <m:r>
              <m:t>1</m:t>
            </m:r>
          </m:sub>
        </m:sSub>
      </m:oMath>
      <w:r>
        <w:t xml:space="preserve">.</w:t>
      </w:r>
    </w:p>
    <w:p>
      <w:pPr>
        <w:pStyle w:val="Compact"/>
        <w:numPr>
          <w:ilvl w:val="0"/>
          <w:numId w:val="1001"/>
        </w:numPr>
      </w:pPr>
      <w:r>
        <w:t xml:space="preserve">Calculate the marginal standard deviations</w:t>
      </w:r>
      <w:r>
        <w:t xml:space="preserve"> </w:t>
      </w:r>
      <m:oMath>
        <m:sSub>
          <m:e>
            <m:r>
              <m:t>σ</m:t>
            </m:r>
          </m:e>
          <m:sub>
            <m:r>
              <m:t>k</m:t>
            </m:r>
          </m:sub>
        </m:sSub>
      </m:oMath>
      <w:r>
        <w:t xml:space="preserve">.</w:t>
      </w:r>
    </w:p>
    <w:p>
      <w:pPr>
        <w:pStyle w:val="Compact"/>
        <w:numPr>
          <w:ilvl w:val="0"/>
          <w:numId w:val="1001"/>
        </w:numPr>
      </w:pPr>
      <w:r>
        <w:t xml:space="preserve">For each observation</w:t>
      </w:r>
      <w:r>
        <w:t xml:space="preserve"> </w:t>
      </w:r>
      <m:oMath>
        <m:r>
          <m:t>x</m:t>
        </m:r>
      </m:oMath>
      <w:r>
        <w:t xml:space="preserve">:</w:t>
      </w:r>
    </w:p>
    <w:p>
      <w:pPr>
        <w:pStyle w:val="Compact"/>
        <w:numPr>
          <w:ilvl w:val="1"/>
          <w:numId w:val="1002"/>
        </w:numPr>
      </w:pPr>
      <w:r>
        <w:t xml:space="preserve">Standardize</w:t>
      </w:r>
      <w:r>
        <w:t xml:space="preserve"> </w:t>
      </w:r>
      <m:oMath>
        <m:r>
          <m:t>x</m:t>
        </m:r>
      </m:oMath>
      <w:r>
        <w:t xml:space="preserve"> </w:t>
      </w:r>
      <w:r>
        <w:t xml:space="preserve">by element-wise multiplication with</w:t>
      </w:r>
      <w:r>
        <w:t xml:space="preserve"> </w:t>
      </w:r>
      <m:oMath>
        <m:sSub>
          <m:e>
            <m:r>
              <m:t>σ</m:t>
            </m:r>
          </m:e>
          <m:sub>
            <m:r>
              <m:t>k</m:t>
            </m:r>
          </m:sub>
        </m:sSub>
      </m:oMath>
      <w:r>
        <w:t xml:space="preserve">.</w:t>
      </w:r>
    </w:p>
    <w:p>
      <w:pPr>
        <w:pStyle w:val="Compact"/>
        <w:numPr>
          <w:ilvl w:val="1"/>
          <w:numId w:val="1002"/>
        </w:numPr>
      </w:pPr>
      <w:r>
        <w:t xml:space="preserve">Compute the log-determinant and quadratic form using the formulas above.</w:t>
      </w:r>
    </w:p>
    <w:p>
      <w:pPr>
        <w:pStyle w:val="Compact"/>
        <w:numPr>
          <w:ilvl w:val="1"/>
          <w:numId w:val="1002"/>
        </w:numPr>
      </w:pPr>
      <w:r>
        <w:t xml:space="preserve">Combine the terms to get the log-density.</w:t>
      </w:r>
    </w:p>
    <w:p>
      <w:pPr>
        <w:pStyle w:val="FirstParagraph"/>
      </w:pPr>
      <w:r>
        <w:t xml:space="preserve">This approach avoids explicit formation and inversion of the full precision matrix Q, allowing for efficient computation even for large spatial fields. This method has been implemented in C++ code that can perform a full set of computations for a</w:t>
      </w:r>
      <w:r>
        <w:t xml:space="preserve"> </w:t>
      </w:r>
      <m:oMath>
        <m:r>
          <m:t>200</m:t>
        </m:r>
        <m:r>
          <m:rPr>
            <m:sty m:val="p"/>
          </m:rPr>
          <m:t>×</m:t>
        </m:r>
        <m:r>
          <m:t>200</m:t>
        </m:r>
      </m:oMath>
      <w:r>
        <w:t xml:space="preserve"> </w:t>
      </w:r>
      <w:r>
        <w:t xml:space="preserve">spatial grid (i.e. </w:t>
      </w:r>
      <m:oMath>
        <m:r>
          <m:t>Q</m:t>
        </m:r>
      </m:oMath>
      <w:r>
        <w:t xml:space="preserve"> </w:t>
      </w:r>
      <w:r>
        <w:t xml:space="preserve">would be</w:t>
      </w:r>
      <w:r>
        <w:t xml:space="preserve"> </w:t>
      </w:r>
      <m:oMath>
        <m:r>
          <m:t>40.000</m:t>
        </m:r>
        <m:r>
          <m:rPr>
            <m:sty m:val="p"/>
          </m:rPr>
          <m:t>×</m:t>
        </m:r>
        <m:r>
          <m:t>40.000</m:t>
        </m:r>
      </m:oMath>
      <w:r>
        <w:t xml:space="preserve">) in just over one second.</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Bridging Gaussian Markov Random Fields and Copulas: A Fast Algorithm for Efficient Gaussian Copula Density Computation with Matérn-like Precision Matrices</dc:title>
  <dc:creator>Brynjólfur Gauti Guðrúnar Jónsson</dc:creator>
  <cp:keywords/>
  <dcterms:created xsi:type="dcterms:W3CDTF">2024-08-09T08:45:05Z</dcterms:created>
  <dcterms:modified xsi:type="dcterms:W3CDTF">2024-08-09T08:45:05Z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Gaussian Markov Random Fields (GMRFs) have long been a powerful tool for modeling spatial and temporal dependencies in various fields. Similarly, copulas have proven invaluable for modeling complex dependency structures in multivariate data. However, the combination of these two approaches - using GMRFs within copula models - has historically been computationally inefficient, limiting their joint application to smaller datasets or simpler models. This work presents a novel algorithm that overcomes these limitations, allowing for fast and efficient computation of Gaussian Copula densities using GMRF precision structures. By bridging the gap between GMRFs and copulas, this method opens up new possibilities for analyzing large-scale, high-dimensional spatial and spatio-temporal data with complex dependency structures.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code-block-border-left">
    <vt:lpwstr>True</vt:lpwstr>
  </property>
  <property fmtid="{D5CDD505-2E9C-101B-9397-08002B2CF9AE}" pid="10" name="date">
    <vt:lpwstr>2024-07-24</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