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a circulant matrix</w:t>
      </w:r>
      <w:r>
        <w:t xml:space="preserve"> </w:t>
      </w:r>
      <m:oMath>
        <m:r>
          <m:t>C</m:t>
        </m:r>
      </m:oMath>
      <w:r>
        <w:t xml:space="preserve"> </w:t>
      </w:r>
      <w:r>
        <w:t xml:space="preserve">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60" w:name="appendix"/>
    <w:p>
      <w:pPr>
        <w:pStyle w:val="Heading1"/>
      </w:pPr>
      <w:r>
        <w:t xml:space="preserve">Appendix</w:t>
      </w:r>
    </w:p>
    <w:bookmarkStart w:id="59"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58"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57"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2024-08-22T21:20:40Z</dcterms:created>
  <dcterms:modified xsi:type="dcterms:W3CDTF">2024-08-22T21:20:40Z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code-block-border-left">
    <vt:lpwstr>True</vt:lpwstr>
  </property>
  <property fmtid="{D5CDD505-2E9C-101B-9397-08002B2CF9AE}" pid="9" name="date">
    <vt:lpwstr>2024-08-15</vt:lpwstr>
  </property>
  <property fmtid="{D5CDD505-2E9C-101B-9397-08002B2CF9AE}" pid="10" name="editor">
    <vt:lpwstr>source</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