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an</w:t>
      </w:r>
      <w:r>
        <w:t xml:space="preserve"> </w:t>
      </w:r>
      <w:r>
        <w:t xml:space="preserve">algorithm</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Gaussian</w:t>
      </w:r>
      <w:r>
        <w:t xml:space="preserve"> </w:t>
      </w:r>
      <w:r>
        <w:t xml:space="preserve">Markov</w:t>
      </w:r>
      <w:r>
        <w:t xml:space="preserve"> </w:t>
      </w:r>
      <w:r>
        <w:t xml:space="preserve">Random</w:t>
      </w:r>
      <w:r>
        <w:t xml:space="preserve"> </w:t>
      </w:r>
      <w:r>
        <w:t xml:space="preserve">Field</w:t>
      </w:r>
      <w:r>
        <w:t xml:space="preserve"> </w:t>
      </w:r>
      <w:r>
        <w:t xml:space="preserve">(GMRF)</w:t>
      </w:r>
      <w:r>
        <w:t xml:space="preserve"> </w:t>
      </w:r>
      <w:r>
        <w:t xml:space="preserve">precision</w:t>
      </w:r>
      <w:r>
        <w:t xml:space="preserve"> </w:t>
      </w:r>
      <w:r>
        <w:t xml:space="preserve">structures.</w:t>
      </w:r>
      <w:r>
        <w:t xml:space="preserve"> </w:t>
      </w:r>
      <w:r>
        <w:t xml:space="preserve">We</w:t>
      </w:r>
      <w:r>
        <w:t xml:space="preserve"> </w:t>
      </w:r>
      <w:r>
        <w:t xml:space="preserve">introduce</w:t>
      </w:r>
      <w:r>
        <w:t xml:space="preserve"> </w:t>
      </w:r>
      <w:r>
        <w:t xml:space="preserve">a</w:t>
      </w:r>
      <w:r>
        <w:t xml:space="preserve"> </w:t>
      </w:r>
      <w:r>
        <w:t xml:space="preserve">Matérn-like</w:t>
      </w:r>
      <w:r>
        <w:t xml:space="preserve"> </w:t>
      </w:r>
      <w:r>
        <w:t xml:space="preserve">precision</w:t>
      </w:r>
      <w:r>
        <w:t xml:space="preserve"> </w:t>
      </w:r>
      <w:r>
        <w:t xml:space="preserve">matrix</w:t>
      </w:r>
      <w:r>
        <w:t xml:space="preserve"> </w:t>
      </w:r>
      <w:r>
        <w:t xml:space="preserve">with</w:t>
      </w:r>
      <w:r>
        <w:t xml:space="preserve"> </w:t>
      </w:r>
      <w:r>
        <w:t xml:space="preserve">unit</w:t>
      </w:r>
      <w:r>
        <w:t xml:space="preserve"> </w:t>
      </w:r>
      <w:r>
        <w:t xml:space="preserve">marginal</w:t>
      </w:r>
      <w:r>
        <w:t xml:space="preserve"> </w:t>
      </w:r>
      <w:r>
        <w:t xml:space="preserve">variance,</w:t>
      </w:r>
      <w:r>
        <w:t xml:space="preserve"> </w:t>
      </w:r>
      <w:r>
        <w:t xml:space="preserve">leveraging</w:t>
      </w:r>
      <w:r>
        <w:t xml:space="preserve"> </w:t>
      </w:r>
      <w:r>
        <w:t xml:space="preserve">a</w:t>
      </w:r>
      <w:r>
        <w:t xml:space="preserve"> </w:t>
      </w:r>
      <w:r>
        <w:t xml:space="preserve">Kronecker</w:t>
      </w:r>
      <w:r>
        <w:t xml:space="preserve"> </w:t>
      </w:r>
      <w:r>
        <w:t xml:space="preserve">sum</w:t>
      </w:r>
      <w:r>
        <w:t xml:space="preserve"> </w:t>
      </w:r>
      <w:r>
        <w:t xml:space="preserve">structure</w:t>
      </w:r>
      <w:r>
        <w:t xml:space="preserve"> </w:t>
      </w:r>
      <w:r>
        <w:t xml:space="preserve">that</w:t>
      </w:r>
      <w:r>
        <w:t xml:space="preserve"> </w:t>
      </w:r>
      <w:r>
        <w:t xml:space="preserve">allows</w:t>
      </w:r>
      <w:r>
        <w:t xml:space="preserve"> </w:t>
      </w:r>
      <w:r>
        <w:t xml:space="preserve">for</w:t>
      </w:r>
      <w:r>
        <w:t xml:space="preserve"> </w:t>
      </w:r>
      <w:r>
        <w:t xml:space="preserve">fast</w:t>
      </w:r>
      <w:r>
        <w:t xml:space="preserve"> </w:t>
      </w:r>
      <w:r>
        <w:t xml:space="preserve">eigendecomposition.</w:t>
      </w:r>
      <w:r>
        <w:t xml:space="preserve"> </w:t>
      </w:r>
      <w:r>
        <w:t xml:space="preserve">The</w:t>
      </w:r>
      <w:r>
        <w:t xml:space="preserve"> </w:t>
      </w:r>
      <w:r>
        <w:t xml:space="preserve">method</w:t>
      </w:r>
      <w:r>
        <w:t xml:space="preserve"> </w:t>
      </w:r>
      <w:r>
        <w:t xml:space="preserve">avoids</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precision</w:t>
      </w:r>
      <w:r>
        <w:t xml:space="preserve"> </w:t>
      </w:r>
      <w:r>
        <w:t xml:space="preserve">matrices,</w:t>
      </w:r>
      <w:r>
        <w:t xml:space="preserve"> </w:t>
      </w:r>
      <w:r>
        <w:t xml:space="preserve">making</w:t>
      </w:r>
      <w:r>
        <w:t xml:space="preserve"> </w:t>
      </w:r>
      <w:r>
        <w:t xml:space="preserve">it</w:t>
      </w:r>
      <w:r>
        <w:t xml:space="preserve"> </w:t>
      </w:r>
      <w:r>
        <w:t xml:space="preserve">particularly</w:t>
      </w:r>
      <w:r>
        <w:t xml:space="preserve"> </w:t>
      </w:r>
      <w:r>
        <w:t xml:space="preserve">suitable</w:t>
      </w:r>
      <w:r>
        <w:t xml:space="preserve"> </w:t>
      </w:r>
      <w:r>
        <w:t xml:space="preserve">for</w:t>
      </w:r>
      <w:r>
        <w:t xml:space="preserve"> </w:t>
      </w:r>
      <w:r>
        <w:t xml:space="preserve">high-dimensional</w:t>
      </w:r>
      <w:r>
        <w:t xml:space="preserve"> </w:t>
      </w:r>
      <w:r>
        <w:t xml:space="preserve">spatial</w:t>
      </w:r>
      <w:r>
        <w:t xml:space="preserve"> </w:t>
      </w:r>
      <w:r>
        <w:t xml:space="preserve">data.</w:t>
      </w:r>
      <w:r>
        <w:t xml:space="preserve"> </w:t>
      </w:r>
      <w:r>
        <w:t xml:space="preserve">We</w:t>
      </w:r>
      <w:r>
        <w:t xml:space="preserve"> </w:t>
      </w:r>
      <w:r>
        <w:t xml:space="preserve">propose</w:t>
      </w:r>
      <w:r>
        <w:t xml:space="preserve"> </w:t>
      </w:r>
      <w:r>
        <w:t xml:space="preserve">two</w:t>
      </w:r>
      <w:r>
        <w:t xml:space="preserve"> </w:t>
      </w:r>
      <w:r>
        <w:t xml:space="preserve">approximation</w:t>
      </w:r>
      <w:r>
        <w:t xml:space="preserve"> </w:t>
      </w:r>
      <w:r>
        <w:t xml:space="preserve">methods:</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which</w:t>
      </w:r>
      <w:r>
        <w:t xml:space="preserve"> </w:t>
      </w:r>
      <w:r>
        <w:t xml:space="preserve">utilize</w:t>
      </w:r>
      <w:r>
        <w:t xml:space="preserve"> </w:t>
      </w:r>
      <w:r>
        <w:t xml:space="preserve">the</w:t>
      </w:r>
      <w:r>
        <w:t xml:space="preserve"> </w:t>
      </w:r>
      <w:r>
        <w:t xml:space="preserve">computational</w:t>
      </w:r>
      <w:r>
        <w:t xml:space="preserve"> </w:t>
      </w:r>
      <w:r>
        <w:t xml:space="preserve">efficiency</w:t>
      </w:r>
      <w:r>
        <w:t xml:space="preserve"> </w:t>
      </w:r>
      <w:r>
        <w:t xml:space="preserve">of</w:t>
      </w:r>
      <w:r>
        <w:t xml:space="preserve"> </w:t>
      </w:r>
      <w:r>
        <w:t xml:space="preserve">Fast</w:t>
      </w:r>
      <w:r>
        <w:t xml:space="preserve"> </w:t>
      </w:r>
      <w:r>
        <w:t xml:space="preserve">Fourier</w:t>
      </w:r>
      <w:r>
        <w:t xml:space="preserve"> </w:t>
      </w:r>
      <w:r>
        <w:t xml:space="preserve">Transforms</w:t>
      </w:r>
      <w:r>
        <w:t xml:space="preserve"> </w:t>
      </w:r>
      <w:r>
        <w:t xml:space="preserve">(FFTs).</w:t>
      </w:r>
      <w:r>
        <w:t xml:space="preserve"> </w:t>
      </w:r>
      <w:r>
        <w:t xml:space="preserve">The</w:t>
      </w:r>
      <w:r>
        <w:t xml:space="preserve"> </w:t>
      </w:r>
      <w:r>
        <w:t xml:space="preserve">circulant</w:t>
      </w:r>
      <w:r>
        <w:t xml:space="preserve"> </w:t>
      </w:r>
      <w:r>
        <w:t xml:space="preserve">approximation</w:t>
      </w:r>
      <w:r>
        <w:t xml:space="preserve"> </w:t>
      </w:r>
      <w:r>
        <w:t xml:space="preserve">treats</w:t>
      </w:r>
      <w:r>
        <w:t xml:space="preserve"> </w:t>
      </w:r>
      <w:r>
        <w:t xml:space="preserve">the</w:t>
      </w:r>
      <w:r>
        <w:t xml:space="preserve"> </w:t>
      </w:r>
      <w:r>
        <w:t xml:space="preserve">spatial</w:t>
      </w:r>
      <w:r>
        <w:t xml:space="preserve"> </w:t>
      </w:r>
      <w:r>
        <w:t xml:space="preserve">field</w:t>
      </w:r>
      <w:r>
        <w:t xml:space="preserve"> </w:t>
      </w:r>
      <w:r>
        <w:t xml:space="preserve">as</w:t>
      </w:r>
      <w:r>
        <w:t xml:space="preserve"> </w:t>
      </w:r>
      <w:r>
        <w:t xml:space="preserve">if</w:t>
      </w:r>
      <w:r>
        <w:t xml:space="preserve"> </w:t>
      </w:r>
      <w:r>
        <w:t xml:space="preserve">it</w:t>
      </w:r>
      <w:r>
        <w:t xml:space="preserve"> </w:t>
      </w:r>
      <w:r>
        <w:t xml:space="preserve">were</w:t>
      </w:r>
      <w:r>
        <w:t xml:space="preserve"> </w:t>
      </w:r>
      <w:r>
        <w:t xml:space="preserve">on</w:t>
      </w:r>
      <w:r>
        <w:t xml:space="preserve"> </w:t>
      </w:r>
      <w:r>
        <w:t xml:space="preserve">a</w:t>
      </w:r>
      <w:r>
        <w:t xml:space="preserve"> </w:t>
      </w:r>
      <w:r>
        <w:t xml:space="preserve">torus,</w:t>
      </w:r>
      <w:r>
        <w:t xml:space="preserve"> </w:t>
      </w:r>
      <w:r>
        <w:t xml:space="preserve">where</w:t>
      </w:r>
      <w:r>
        <w:t xml:space="preserve"> </w:t>
      </w:r>
      <w:r>
        <w:t xml:space="preserve">opposite</w:t>
      </w:r>
      <w:r>
        <w:t xml:space="preserve"> </w:t>
      </w:r>
      <w:r>
        <w:t xml:space="preserve">edges</w:t>
      </w:r>
      <w:r>
        <w:t xml:space="preserve"> </w:t>
      </w:r>
      <w:r>
        <w:t xml:space="preserve">are</w:t>
      </w:r>
      <w:r>
        <w:t xml:space="preserve"> </w:t>
      </w:r>
      <w:r>
        <w:t xml:space="preserve">connected.</w:t>
      </w:r>
      <w:r>
        <w:t xml:space="preserve"> </w:t>
      </w:r>
      <w:r>
        <w:t xml:space="preserve">The</w:t>
      </w:r>
      <w:r>
        <w:t xml:space="preserve"> </w:t>
      </w:r>
      <w:r>
        <w:t xml:space="preserve">folded</w:t>
      </w:r>
      <w:r>
        <w:t xml:space="preserve"> </w:t>
      </w:r>
      <w:r>
        <w:t xml:space="preserve">circulant</w:t>
      </w:r>
      <w:r>
        <w:t xml:space="preserve"> </w:t>
      </w:r>
      <w:r>
        <w:t xml:space="preserve">approximation,</w:t>
      </w:r>
      <w:r>
        <w:t xml:space="preserve"> </w:t>
      </w:r>
      <w:r>
        <w:t xml:space="preserve">however,</w:t>
      </w:r>
      <w:r>
        <w:t xml:space="preserve"> </w:t>
      </w:r>
      <w:r>
        <w:t xml:space="preserve">uses</w:t>
      </w:r>
      <w:r>
        <w:t xml:space="preserve"> </w:t>
      </w:r>
      <w:r>
        <w:t xml:space="preserve">a</w:t>
      </w:r>
      <w:r>
        <w:t xml:space="preserve"> </w:t>
      </w:r>
      <w:r>
        <w:t xml:space="preserve">reflection</w:t>
      </w:r>
      <w:r>
        <w:t xml:space="preserve"> </w:t>
      </w:r>
      <w:r>
        <w:t xml:space="preserve">boundary</w:t>
      </w:r>
      <w:r>
        <w:t xml:space="preserve"> </w:t>
      </w:r>
      <w:r>
        <w:t xml:space="preserve">condition,</w:t>
      </w:r>
      <w:r>
        <w:t xml:space="preserve"> </w:t>
      </w:r>
      <w:r>
        <w:t xml:space="preserve">effectively</w:t>
      </w:r>
      <w:r>
        <w:t xml:space="preserve"> </w:t>
      </w:r>
      <w:r>
        <w:t xml:space="preserve">doubling</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field</w:t>
      </w:r>
      <w:r>
        <w:t xml:space="preserve"> </w:t>
      </w:r>
      <w:r>
        <w:t xml:space="preserve">by</w:t>
      </w:r>
      <w:r>
        <w:t xml:space="preserve"> </w:t>
      </w:r>
      <w:r>
        <w:t xml:space="preserve">reflecting</w:t>
      </w:r>
      <w:r>
        <w:t xml:space="preserve"> </w:t>
      </w:r>
      <w:r>
        <w:t xml:space="preserve">the</w:t>
      </w:r>
      <w:r>
        <w:t xml:space="preserve"> </w:t>
      </w:r>
      <w:r>
        <w:t xml:space="preserve">data</w:t>
      </w:r>
      <w:r>
        <w:t xml:space="preserve"> </w:t>
      </w:r>
      <w:r>
        <w:t xml:space="preserve">along</w:t>
      </w:r>
      <w:r>
        <w:t xml:space="preserve"> </w:t>
      </w:r>
      <w:r>
        <w:t xml:space="preserve">each</w:t>
      </w:r>
      <w:r>
        <w:t xml:space="preserve"> </w:t>
      </w:r>
      <w:r>
        <w:t xml:space="preserve">coordinate</w:t>
      </w:r>
      <w:r>
        <w:t xml:space="preserve"> </w:t>
      </w:r>
      <w:r>
        <w:t xml:space="preserve">axis.</w:t>
      </w:r>
      <w:r>
        <w:t xml:space="preserve"> </w:t>
      </w:r>
      <w:r>
        <w:t xml:space="preserve">This</w:t>
      </w:r>
      <w:r>
        <w:t xml:space="preserve"> </w:t>
      </w:r>
      <w:r>
        <w:t xml:space="preserve">approach</w:t>
      </w:r>
      <w:r>
        <w:t xml:space="preserve"> </w:t>
      </w:r>
      <w:r>
        <w:t xml:space="preserve">potentially</w:t>
      </w:r>
      <w:r>
        <w:t xml:space="preserve"> </w:t>
      </w:r>
      <w:r>
        <w:t xml:space="preserve">offers</w:t>
      </w:r>
      <w:r>
        <w:t xml:space="preserve"> </w:t>
      </w:r>
      <w:r>
        <w:t xml:space="preserve">improved</w:t>
      </w:r>
      <w:r>
        <w:t xml:space="preserve"> </w:t>
      </w:r>
      <w:r>
        <w:t xml:space="preserve">accuracy</w:t>
      </w:r>
      <w:r>
        <w:t xml:space="preserve"> </w:t>
      </w:r>
      <w:r>
        <w:t xml:space="preserve">near</w:t>
      </w:r>
      <w:r>
        <w:t xml:space="preserve"> </w:t>
      </w:r>
      <w:r>
        <w:t xml:space="preserve">field</w:t>
      </w:r>
      <w:r>
        <w:t xml:space="preserve"> </w:t>
      </w:r>
      <w:r>
        <w:t xml:space="preserve">edges,</w:t>
      </w:r>
      <w:r>
        <w:t xml:space="preserve"> </w:t>
      </w:r>
      <w:r>
        <w:t xml:space="preserve">addressing</w:t>
      </w:r>
      <w:r>
        <w:t xml:space="preserve"> </w:t>
      </w:r>
      <w:r>
        <w:t xml:space="preserve">a</w:t>
      </w:r>
      <w:r>
        <w:t xml:space="preserve"> </w:t>
      </w:r>
      <w:r>
        <w:t xml:space="preserve">common</w:t>
      </w:r>
      <w:r>
        <w:t xml:space="preserve"> </w:t>
      </w:r>
      <w:r>
        <w:t xml:space="preserve">limitation</w:t>
      </w:r>
      <w:r>
        <w:t xml:space="preserve"> </w:t>
      </w:r>
      <w:r>
        <w:t xml:space="preserve">of</w:t>
      </w:r>
      <w:r>
        <w:t xml:space="preserve"> </w:t>
      </w:r>
      <w:r>
        <w:t xml:space="preserve">periodic</w:t>
      </w:r>
      <w:r>
        <w:t xml:space="preserve"> </w:t>
      </w:r>
      <w:r>
        <w:t xml:space="preserve">boundary</w:t>
      </w:r>
      <w:r>
        <w:t xml:space="preserve"> </w:t>
      </w:r>
      <w:r>
        <w:t xml:space="preserve">conditions.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r>
          <m:t>n</m:t>
        </m:r>
        <m:r>
          <m:rPr>
            <m:sty m:val="p"/>
          </m:rPr>
          <m:t>×</m:t>
        </m:r>
        <m:r>
          <m:t>2</m:t>
        </m:r>
        <m:r>
          <m:t>n</m:t>
        </m:r>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bookmarkStart w:id="62" w:name="appendix"/>
    <w:p>
      <w:pPr>
        <w:pStyle w:val="Heading1"/>
      </w:pPr>
      <w:r>
        <w:t xml:space="preserve">Appendix</w:t>
      </w:r>
    </w:p>
    <w:bookmarkStart w:id="61"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3"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cholesky-decomposition"/>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0"/>
    <w:bookmarkStart w:id="51"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The key insight is that we can efficiently compute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We make use of the facts that</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p>
      <w:pPr>
        <w:pStyle w:val="FirstParagraph"/>
      </w:pPr>
      <w:r>
        <w:t xml:space="preserve">to efficiently calculate the quadratic form using only the Cholesky factor of</w:t>
      </w:r>
      <w:r>
        <w:t xml:space="preserve"> </w:t>
      </w:r>
      <m:oMath>
        <m:r>
          <m:t>Q</m:t>
        </m:r>
      </m:oMath>
      <w:r>
        <w:t xml:space="preserve"> </w:t>
      </w:r>
      <w:r>
        <w:t xml:space="preserve">instead of forming the matrix</w:t>
      </w:r>
      <w:r>
        <w:t xml:space="preserve"> </w:t>
      </w:r>
      <m:oMath>
        <m:sSup>
          <m:e>
            <m:r>
              <m:t>Q</m:t>
            </m:r>
          </m:e>
          <m:sup>
            <m:r>
              <m:t>ν</m:t>
            </m:r>
          </m:sup>
        </m:sSup>
      </m:oMath>
      <w:r>
        <w:t xml:space="preserve">.</w:t>
      </w:r>
    </w:p>
    <w:bookmarkEnd w:id="51"/>
    <w:bookmarkStart w:id="52" w:name="algorithm"/>
    <w:p>
      <w:pPr>
        <w:pStyle w:val="Heading4"/>
      </w:pPr>
      <w:r>
        <w:t xml:space="preserve">Algorithm</w:t>
      </w:r>
    </w:p>
    <w:p>
      <w:pPr>
        <w:pStyle w:val="Compact"/>
        <w:numPr>
          <w:ilvl w:val="0"/>
          <w:numId w:val="100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9"/>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9"/>
        </w:numPr>
      </w:pPr>
      <w:r>
        <w:t xml:space="preserve">For each observation</w:t>
      </w:r>
      <w:r>
        <w:t xml:space="preserve"> </w:t>
      </w:r>
      <m:oMath>
        <m:r>
          <m:t>x</m:t>
        </m:r>
      </m:oMath>
      <w:r>
        <w:t xml:space="preserve">:</w:t>
      </w:r>
    </w:p>
    <w:p>
      <w:pPr>
        <w:pStyle w:val="Compact"/>
        <w:numPr>
          <w:ilvl w:val="1"/>
          <w:numId w:val="1010"/>
        </w:numPr>
      </w:pPr>
      <w:r>
        <w:t xml:space="preserve">Initialize</w:t>
      </w:r>
      <w:r>
        <w:t xml:space="preserve"> </w:t>
      </w:r>
      <m:oMath>
        <m:r>
          <m:t>y</m:t>
        </m:r>
        <m:r>
          <m:rPr>
            <m:sty m:val="p"/>
          </m:rPr>
          <m:t>=</m:t>
        </m:r>
        <m:r>
          <m:t>x</m:t>
        </m:r>
      </m:oMath>
    </w:p>
    <w:p>
      <w:pPr>
        <w:pStyle w:val="Compact"/>
        <w:numPr>
          <w:ilvl w:val="1"/>
          <w:numId w:val="1010"/>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11"/>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11"/>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10"/>
        </w:numPr>
      </w:pPr>
      <w:r>
        <w:t xml:space="preserve">Compute quadratic form</w:t>
      </w:r>
      <w:r>
        <w:t xml:space="preserve"> </w:t>
      </w:r>
      <m:oMath>
        <m:r>
          <m:t>q</m:t>
        </m:r>
        <m:r>
          <m:rPr>
            <m:sty m:val="p"/>
          </m:rPr>
          <m:t>=</m:t>
        </m:r>
        <m:sSup>
          <m:e>
            <m:r>
              <m:t>y</m:t>
            </m:r>
          </m:e>
          <m:sup>
            <m:r>
              <m:t>T</m:t>
            </m:r>
          </m:sup>
        </m:sSup>
        <m:r>
          <m:t>y</m:t>
        </m:r>
      </m:oMath>
    </w:p>
    <w:p>
      <w:pPr>
        <w:pStyle w:val="Compact"/>
        <w:numPr>
          <w:ilvl w:val="0"/>
          <w:numId w:val="1009"/>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2"/>
    <w:bookmarkEnd w:id="53"/>
    <w:bookmarkStart w:id="60" w:name="scaled-precision-matrix"/>
    <w:p>
      <w:pPr>
        <w:pStyle w:val="Heading3"/>
      </w:pPr>
      <w:r>
        <w:t xml:space="preserve">Scaled Precision Matrix</w:t>
      </w:r>
    </w:p>
    <w:bookmarkStart w:id="54"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4"/>
    <w:bookmarkStart w:id="55" w:name="cholesky-decomposition-1"/>
    <w:p>
      <w:pPr>
        <w:pStyle w:val="Heading4"/>
      </w:pPr>
      <w:r>
        <w:t xml:space="preserve">Cholesky Decomposition</w:t>
      </w:r>
    </w:p>
    <w:p>
      <w:pPr>
        <w:pStyle w:val="FirstParagraph"/>
      </w:pPr>
      <w:r>
        <w:t xml:space="preserve">We compute the Cholesky decomposition of</w:t>
      </w:r>
      <w:r>
        <w:t xml:space="preserve"> </w:t>
      </w:r>
      <m:oMath>
        <m:r>
          <m:t>Q</m:t>
        </m:r>
      </m:oMath>
      <w:r>
        <w:t xml:space="preserve">:</w:t>
      </w:r>
    </w:p>
    <w:p>
      <w:pPr>
        <w:pStyle w:val="BodyText"/>
      </w:pPr>
      <m:oMathPara>
        <m:oMathParaPr>
          <m:jc m:val="center"/>
        </m:oMathParaPr>
        <m:oMath>
          <m:r>
            <m:t>Q</m:t>
          </m:r>
          <m:r>
            <m:rPr>
              <m:sty m:val="p"/>
            </m:rPr>
            <m:t>=</m:t>
          </m:r>
          <m:r>
            <m:t>L</m:t>
          </m:r>
          <m:sSup>
            <m:e>
              <m:r>
                <m:t>L</m:t>
              </m:r>
            </m:e>
            <m:sup>
              <m:r>
                <m:t>T</m:t>
              </m:r>
            </m:sup>
          </m:sSup>
        </m:oMath>
      </m:oMathPara>
    </w:p>
    <w:p>
      <w:pPr>
        <w:pStyle w:val="FirstParagraph"/>
      </w:pPr>
      <w:r>
        <w:t xml:space="preserve">where L is a lower triangular matrix.</w:t>
      </w:r>
    </w:p>
    <w:bookmarkEnd w:id="55"/>
    <w:bookmarkStart w:id="56" w:name="Xc93962c61ba1b99e9299dd86269107a651e35ba"/>
    <w:p>
      <w:pPr>
        <w:pStyle w:val="Heading4"/>
      </w:pPr>
      <w:r>
        <w:t xml:space="preserve">Efficient Computation of Scaling Matrix D</w:t>
      </w:r>
    </w:p>
    <w:p>
      <w:pPr>
        <w:pStyle w:val="FirstParagraph"/>
      </w:pPr>
      <w:r>
        <w:t xml:space="preserve">Computing</w:t>
      </w:r>
      <w:r>
        <w:t xml:space="preserve"> </w:t>
      </w:r>
      <m:oMath>
        <m:r>
          <m:t>D</m:t>
        </m:r>
      </m:oMath>
      <w:r>
        <w:t xml:space="preserve"> </w:t>
      </w:r>
      <w:r>
        <w:t xml:space="preserve">directly would require inverting</w:t>
      </w:r>
      <w:r>
        <w:t xml:space="preserve"> </w:t>
      </w:r>
      <m:oMath>
        <m:sSup>
          <m:e>
            <m:r>
              <m:t>Q</m:t>
            </m:r>
          </m:e>
          <m:sup>
            <m:r>
              <m:t>ν</m:t>
            </m:r>
            <m:r>
              <m:rPr>
                <m:sty m:val="p"/>
              </m:rPr>
              <m:t>+</m:t>
            </m:r>
            <m:r>
              <m:t>1</m:t>
            </m:r>
          </m:sup>
        </m:sSup>
      </m:oMath>
      <w:r>
        <w:t xml:space="preserve">, which is computationally expensive. Instead, we can efficiently compute</w:t>
      </w:r>
      <w:r>
        <w:t xml:space="preserve"> </w:t>
      </w:r>
      <m:oMath>
        <m:r>
          <m:t>D</m:t>
        </m:r>
      </m:oMath>
      <w:r>
        <w:t xml:space="preserve"> </w:t>
      </w:r>
      <w:r>
        <w:t xml:space="preserve">using the following steps:</w:t>
      </w:r>
    </w:p>
    <w:p>
      <w:pPr>
        <w:pStyle w:val="Compact"/>
        <w:numPr>
          <w:ilvl w:val="0"/>
          <w:numId w:val="1012"/>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2"/>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2"/>
        </w:numPr>
      </w:pPr>
      <w:r>
        <w:t xml:space="preserve">We then calculate the entries in</w:t>
      </w:r>
      <w:r>
        <w:t xml:space="preserve"> </w:t>
      </w:r>
      <m:oMath>
        <m:r>
          <m:t>D</m:t>
        </m:r>
      </m:oMath>
      <w:r>
        <w:t xml:space="preserve"> </w:t>
      </w:r>
      <w:r>
        <w:t xml:space="preserve">using the following steps:</w:t>
      </w:r>
    </w:p>
    <w:p>
      <w:pPr>
        <w:pStyle w:val="Compact"/>
        <w:numPr>
          <w:ilvl w:val="1"/>
          <w:numId w:val="1013"/>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3"/>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3"/>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p>
      <w:pPr>
        <w:pStyle w:val="FirstParagraph"/>
      </w:pPr>
      <w:r>
        <w:t xml:space="preserve">This gives us the matrix D without having to explicitly invert the matrix Q.</w:t>
      </w:r>
    </w:p>
    <w:bookmarkEnd w:id="56"/>
    <w:bookmarkStart w:id="57" w:name="log-determinant"/>
    <w:p>
      <w:pPr>
        <w:pStyle w:val="Heading4"/>
      </w:pPr>
      <w:r>
        <w:t xml:space="preserve">Log determinant</w:t>
      </w:r>
    </w:p>
    <w:p>
      <w:pPr>
        <w:pStyle w:val="FirstParagraph"/>
      </w:pPr>
      <w:r>
        <w:t xml:space="preserve">The log determinant of the scaled precision matrix</w:t>
      </w:r>
      <w:r>
        <w:t xml:space="preserve"> </w:t>
      </w:r>
      <m:oMath>
        <m:acc>
          <m:accPr>
            <m:chr m:val="̃"/>
          </m:accPr>
          <m:e>
            <m:r>
              <m:t>Q</m:t>
            </m:r>
          </m:e>
        </m:acc>
        <m:r>
          <m:rPr>
            <m:sty m:val="p"/>
          </m:rPr>
          <m:t>=</m:t>
        </m:r>
        <m:r>
          <m:t>D</m:t>
        </m:r>
        <m:sSup>
          <m:e>
            <m:r>
              <m:t>Q</m:t>
            </m:r>
          </m:e>
          <m:sup>
            <m:r>
              <m:t>ν</m:t>
            </m:r>
            <m:r>
              <m:rPr>
                <m:sty m:val="p"/>
              </m:rPr>
              <m:t>+</m:t>
            </m:r>
            <m:r>
              <m:t>1</m:t>
            </m:r>
          </m:sup>
        </m:sSup>
        <m:r>
          <m:t>D</m:t>
        </m:r>
      </m:oMath>
      <w:r>
        <w:t xml:space="preserve"> </w:t>
      </w:r>
      <w:r>
        <w:t xml:space="preserve">can be computed efficiently using the following steps:</w:t>
      </w:r>
    </w:p>
    <w:p>
      <w:pPr>
        <w:pStyle w:val="Compact"/>
        <w:numPr>
          <w:ilvl w:val="0"/>
          <w:numId w:val="1014"/>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4"/>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4"/>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FirstParagraph"/>
      </w:pPr>
      <w:r>
        <w:t xml:space="preserve">This allows us to compute the log determinant efficiently without explicitly forming</w:t>
      </w:r>
      <w:r>
        <w:t xml:space="preserve"> </w:t>
      </w:r>
      <m:oMath>
        <m:sSup>
          <m:e>
            <m:r>
              <m:t>Q</m:t>
            </m:r>
          </m:e>
          <m:sup>
            <m:r>
              <m:t>ν</m:t>
            </m:r>
            <m:r>
              <m:rPr>
                <m:sty m:val="p"/>
              </m:rPr>
              <m:t>+</m:t>
            </m:r>
            <m:r>
              <m:t>1</m:t>
            </m:r>
          </m:sup>
        </m:sSup>
      </m:oMath>
      <w:r>
        <w:t xml:space="preserve"> </w:t>
      </w:r>
      <w:r>
        <w:t xml:space="preserve">or its inverse.</w:t>
      </w:r>
    </w:p>
    <w:bookmarkEnd w:id="57"/>
    <w:bookmarkStart w:id="58" w:name="quadratic-form"/>
    <w:p>
      <w:pPr>
        <w:pStyle w:val="Heading4"/>
      </w:pPr>
      <w:r>
        <w:t xml:space="preserve">Quadratic Form</w:t>
      </w:r>
    </w:p>
    <w:p>
      <w:pPr>
        <w:pStyle w:val="FirstParagraph"/>
      </w:pPr>
      <w:r>
        <w:t xml:space="preserve">For the quadratic form</w:t>
      </w:r>
      <w:r>
        <w:t xml:space="preserve"> </w:t>
      </w:r>
      <m:oMath>
        <m:sSup>
          <m:e>
            <m:r>
              <m:t>z</m:t>
            </m:r>
          </m:e>
          <m:sup>
            <m:r>
              <m:t>T</m:t>
            </m:r>
          </m:sup>
        </m:sSup>
        <m:acc>
          <m:accPr>
            <m:chr m:val="̃"/>
          </m:accPr>
          <m:e>
            <m:r>
              <m:t>Q</m:t>
            </m:r>
          </m:e>
        </m:acc>
        <m:r>
          <m:t>z</m:t>
        </m:r>
      </m:oMath>
      <w:r>
        <w:t xml:space="preserve">, where</w:t>
      </w:r>
      <w:r>
        <w:t xml:space="preserve"> </w:t>
      </w:r>
      <m:oMath>
        <m:r>
          <m:t>z</m:t>
        </m:r>
        <m:r>
          <m:rPr>
            <m:sty m:val="p"/>
          </m:rPr>
          <m:t>=</m:t>
        </m:r>
        <m:sSup>
          <m:e>
            <m:r>
              <m:t>Φ</m:t>
            </m:r>
          </m:e>
          <m:sup>
            <m:r>
              <m:rPr>
                <m:sty m:val="p"/>
              </m:rPr>
              <m:t>−</m:t>
            </m:r>
            <m:r>
              <m:t>1</m:t>
            </m:r>
          </m:sup>
        </m:sSup>
        <m:d>
          <m:dPr>
            <m:begChr m:val="("/>
            <m:endChr m:val=")"/>
            <m:sepChr m:val=""/>
            <m:grow/>
          </m:dPr>
          <m:e>
            <m:r>
              <m:t>u</m:t>
            </m:r>
          </m:e>
        </m:d>
      </m:oMath>
      <w:r>
        <w:t xml:space="preserve">, we can use the following steps:</w:t>
      </w:r>
    </w:p>
    <w:p>
      <w:pPr>
        <w:pStyle w:val="Compact"/>
        <w:numPr>
          <w:ilvl w:val="0"/>
          <w:numId w:val="1015"/>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5"/>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5"/>
        </w:numPr>
      </w:pPr>
      <w:r>
        <w:t xml:space="preserve">Now we need to compute</w:t>
      </w:r>
      <w:r>
        <w:t xml:space="preserve"> </w:t>
      </w:r>
      <m:oMath>
        <m:sSup>
          <m:e>
            <m:r>
              <m:t>y</m:t>
            </m:r>
          </m:e>
          <m:sup>
            <m:r>
              <m:t>T</m:t>
            </m:r>
          </m:sup>
        </m:sSup>
        <m:sSup>
          <m:e>
            <m:r>
              <m:t>Q</m:t>
            </m:r>
          </m:e>
          <m:sup>
            <m:r>
              <m:t>ν</m:t>
            </m:r>
            <m:r>
              <m:rPr>
                <m:sty m:val="p"/>
              </m:rPr>
              <m:t>+</m:t>
            </m:r>
            <m:r>
              <m:t>1</m:t>
            </m:r>
          </m:sup>
        </m:sSup>
        <m:r>
          <m:t>y</m:t>
        </m:r>
      </m:oMath>
      <w:r>
        <w:t xml:space="preserve">. We can do this efficiently using the Cholesky factor L:</w:t>
      </w:r>
    </w:p>
    <w:p>
      <w:pPr>
        <w:pStyle w:val="Compact"/>
        <w:numPr>
          <w:ilvl w:val="1"/>
          <w:numId w:val="1016"/>
        </w:numPr>
      </w:pPr>
      <w:r>
        <w:t xml:space="preserve">For</w:t>
      </w:r>
      <w:r>
        <w:t xml:space="preserve"> </w:t>
      </w:r>
      <m:oMath>
        <m:r>
          <m:t>ν</m:t>
        </m:r>
        <m:r>
          <m:rPr>
            <m:sty m:val="p"/>
          </m:rPr>
          <m:t>=</m:t>
        </m:r>
        <m:r>
          <m:t>0</m:t>
        </m:r>
      </m:oMath>
      <w:r>
        <w:t xml:space="preserve">:</w:t>
      </w:r>
      <w:r>
        <w:t xml:space="preserve"> </w:t>
      </w:r>
      <m:oMath>
        <m:sSup>
          <m:e>
            <m:r>
              <m:t>y</m:t>
            </m:r>
          </m:e>
          <m:sup>
            <m:r>
              <m:t>T</m:t>
            </m:r>
          </m:sup>
        </m:sSup>
        <m:r>
          <m:t>Q</m:t>
        </m:r>
        <m:r>
          <m:t>y</m:t>
        </m:r>
        <m:r>
          <m:rPr>
            <m:sty m:val="p"/>
          </m:rPr>
          <m:t>=</m:t>
        </m:r>
        <m:d>
          <m:dPr>
            <m:begChr m:val="|"/>
            <m:endChr m:val="|"/>
            <m:sepChr m:val=""/>
            <m:grow/>
          </m:dPr>
          <m:e/>
        </m:d>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1</m:t>
        </m:r>
      </m:oMath>
      <w:r>
        <w:t xml:space="preserve">:</w:t>
      </w:r>
      <w:r>
        <w:t xml:space="preserve"> </w:t>
      </w:r>
      <m:oMath>
        <m:sSup>
          <m:e>
            <m:r>
              <m:t>y</m:t>
            </m:r>
          </m:e>
          <m:sup>
            <m:r>
              <m:t>T</m:t>
            </m:r>
          </m:sup>
        </m:sSup>
        <m:sSup>
          <m:e>
            <m:r>
              <m:t>Q</m:t>
            </m:r>
          </m:e>
          <m:sup>
            <m:r>
              <m:t>2</m:t>
            </m:r>
          </m:sup>
        </m:sSup>
        <m:r>
          <m:t>y</m:t>
        </m:r>
        <m:r>
          <m:rPr>
            <m:sty m:val="p"/>
          </m:rPr>
          <m:t>=</m:t>
        </m:r>
        <m:d>
          <m:dPr>
            <m:begChr m:val="|"/>
            <m:endChr m:val="|"/>
            <m:sepChr m:val=""/>
            <m:grow/>
          </m:dPr>
          <m:e/>
        </m:d>
        <m:r>
          <m:t>L</m:t>
        </m:r>
        <m:sSup>
          <m:e>
            <m:r>
              <m:t>L</m:t>
            </m:r>
          </m:e>
          <m:sup>
            <m:r>
              <m:t>T</m:t>
            </m:r>
          </m:sup>
        </m:sSup>
        <m:r>
          <m:t>y</m:t>
        </m:r>
        <m:sSubSup>
          <m:e>
            <m:d>
              <m:dPr>
                <m:begChr m:val="|"/>
                <m:endChr m:val="|"/>
                <m:sepChr m:val=""/>
                <m:grow/>
              </m:dPr>
              <m:e/>
            </m:d>
          </m:e>
          <m:sub>
            <m:r>
              <m:t>2</m:t>
            </m:r>
          </m:sub>
          <m:sup>
            <m:r>
              <m:t>2</m:t>
            </m:r>
          </m:sup>
        </m:sSubSup>
      </m:oMath>
    </w:p>
    <w:p>
      <w:pPr>
        <w:pStyle w:val="Compact"/>
        <w:numPr>
          <w:ilvl w:val="1"/>
          <w:numId w:val="1016"/>
        </w:numPr>
      </w:pPr>
      <w:r>
        <w:t xml:space="preserve">For</w:t>
      </w:r>
      <w:r>
        <w:t xml:space="preserve"> </w:t>
      </w:r>
      <m:oMath>
        <m:r>
          <m:t>ν</m:t>
        </m:r>
        <m:r>
          <m:rPr>
            <m:sty m:val="p"/>
          </m:rPr>
          <m:t>=</m:t>
        </m:r>
        <m:r>
          <m:t>2</m:t>
        </m:r>
      </m:oMath>
      <w:r>
        <w:t xml:space="preserve">:</w:t>
      </w:r>
      <w:r>
        <w:t xml:space="preserve"> </w:t>
      </w:r>
      <m:oMath>
        <m:sSup>
          <m:e>
            <m:r>
              <m:t>y</m:t>
            </m:r>
          </m:e>
          <m:sup>
            <m:r>
              <m:t>T</m:t>
            </m:r>
          </m:sup>
        </m:sSup>
        <m:sSup>
          <m:e>
            <m:r>
              <m:t>Q</m:t>
            </m:r>
          </m:e>
          <m:sup>
            <m:r>
              <m:t>3</m:t>
            </m:r>
          </m:sup>
        </m:sSup>
        <m:r>
          <m:t>y</m:t>
        </m:r>
        <m:r>
          <m:rPr>
            <m:sty m:val="p"/>
          </m:rPr>
          <m:t>=</m:t>
        </m:r>
        <m:d>
          <m:dPr>
            <m:begChr m:val="|"/>
            <m:endChr m:val="|"/>
            <m:sepChr m:val=""/>
            <m:grow/>
          </m:dPr>
          <m:e/>
        </m:d>
        <m:sSup>
          <m:e>
            <m:r>
              <m:t>L</m:t>
            </m:r>
          </m:e>
          <m:sup>
            <m:r>
              <m:t>T</m:t>
            </m:r>
          </m:sup>
        </m:sSup>
        <m:r>
          <m:t>L</m:t>
        </m:r>
        <m:sSup>
          <m:e>
            <m:r>
              <m:t>L</m:t>
            </m:r>
          </m:e>
          <m:sup>
            <m:r>
              <m:t>T</m:t>
            </m:r>
          </m:sup>
        </m:sSup>
        <m:r>
          <m:t>y</m:t>
        </m:r>
        <m:sSubSup>
          <m:e>
            <m:d>
              <m:dPr>
                <m:begChr m:val="|"/>
                <m:endChr m:val="|"/>
                <m:sepChr m:val=""/>
                <m:grow/>
              </m:dPr>
              <m:e/>
            </m:d>
          </m:e>
          <m:sub>
            <m:r>
              <m:t>2</m:t>
            </m:r>
          </m:sub>
          <m:sup>
            <m:r>
              <m:t>2</m:t>
            </m:r>
          </m:sup>
        </m:sSubSup>
      </m:oMath>
    </w:p>
    <w:p>
      <w:pPr>
        <w:pStyle w:val="Compact"/>
        <w:numPr>
          <w:ilvl w:val="0"/>
          <w:numId w:val="1015"/>
        </w:numPr>
      </w:pPr>
      <w:r>
        <w:t xml:space="preserve">In general, we can compute this as follows:</w:t>
      </w:r>
    </w:p>
    <w:p>
      <w:pPr>
        <w:pStyle w:val="Compact"/>
        <w:numPr>
          <w:ilvl w:val="1"/>
          <w:numId w:val="1017"/>
        </w:numPr>
      </w:pPr>
      <w:r>
        <w:t xml:space="preserve">Initialize</w:t>
      </w:r>
      <w:r>
        <w:t xml:space="preserve"> </w:t>
      </w:r>
      <m:oMath>
        <m:r>
          <m:t>y</m:t>
        </m:r>
        <m:r>
          <m:rPr>
            <m:sty m:val="p"/>
          </m:rPr>
          <m:t>=</m:t>
        </m:r>
        <m:r>
          <m:t>D</m:t>
        </m:r>
        <m:r>
          <m:t>z</m:t>
        </m:r>
      </m:oMath>
    </w:p>
    <w:p>
      <w:pPr>
        <w:pStyle w:val="Compact"/>
        <w:numPr>
          <w:ilvl w:val="1"/>
          <w:numId w:val="1017"/>
        </w:numPr>
      </w:pPr>
      <w:r>
        <w:t xml:space="preserve">For j from 0 to</w:t>
      </w:r>
      <w:r>
        <w:t xml:space="preserve"> </w:t>
      </w:r>
      <m:oMath>
        <m:r>
          <m:t>ν</m:t>
        </m:r>
      </m:oMath>
      <w:r>
        <w:t xml:space="preserve">:</w:t>
      </w:r>
    </w:p>
    <w:p>
      <w:pPr>
        <w:pStyle w:val="Compact"/>
        <w:numPr>
          <w:ilvl w:val="2"/>
          <w:numId w:val="1018"/>
        </w:numPr>
      </w:pPr>
      <w:r>
        <w:t xml:space="preserve">If j is even:</w:t>
      </w:r>
      <w:r>
        <w:t xml:space="preserve"> </w:t>
      </w:r>
      <m:oMath>
        <m:r>
          <m:t>y</m:t>
        </m:r>
        <m:r>
          <m:rPr>
            <m:sty m:val="p"/>
          </m:rPr>
          <m:t>=</m:t>
        </m:r>
        <m:sSup>
          <m:e>
            <m:r>
              <m:t>L</m:t>
            </m:r>
          </m:e>
          <m:sup>
            <m:r>
              <m:t>T</m:t>
            </m:r>
          </m:sup>
        </m:sSup>
        <m:r>
          <m:t>y</m:t>
        </m:r>
      </m:oMath>
    </w:p>
    <w:p>
      <w:pPr>
        <w:pStyle w:val="Compact"/>
        <w:numPr>
          <w:ilvl w:val="2"/>
          <w:numId w:val="1018"/>
        </w:numPr>
      </w:pPr>
      <w:r>
        <w:t xml:space="preserve">If j is odd:</w:t>
      </w:r>
      <w:r>
        <w:t xml:space="preserve"> </w:t>
      </w:r>
      <m:oMath>
        <m:r>
          <m:t>y</m:t>
        </m:r>
        <m:r>
          <m:rPr>
            <m:sty m:val="p"/>
          </m:rPr>
          <m:t>=</m:t>
        </m:r>
        <m:r>
          <m:t>L</m:t>
        </m:r>
        <m:r>
          <m:t>y</m:t>
        </m:r>
      </m:oMath>
    </w:p>
    <w:p>
      <w:pPr>
        <w:pStyle w:val="Compact"/>
        <w:numPr>
          <w:ilvl w:val="1"/>
          <w:numId w:val="1017"/>
        </w:numPr>
      </w:pPr>
      <w:r>
        <w:t xml:space="preserve">Compute quadratic form</w:t>
      </w:r>
      <w:r>
        <w:t xml:space="preserve"> </w:t>
      </w:r>
      <m:oMath>
        <m:r>
          <m:t>q</m:t>
        </m:r>
        <m:r>
          <m:rPr>
            <m:sty m:val="p"/>
          </m:rPr>
          <m:t>=</m:t>
        </m:r>
        <m:sSup>
          <m:e>
            <m:r>
              <m:t>y</m:t>
            </m:r>
          </m:e>
          <m:sup>
            <m:r>
              <m:t>T</m:t>
            </m:r>
          </m:sup>
        </m:sSup>
        <m:r>
          <m:t>y</m:t>
        </m:r>
      </m:oMath>
    </w:p>
    <w:p>
      <w:pPr>
        <w:pStyle w:val="FirstParagraph"/>
      </w:pPr>
      <w:r>
        <w:t xml:space="preserve">This approach allows us to compute the quadratic form efficiently without explicitly forming</w:t>
      </w:r>
      <w:r>
        <w:t xml:space="preserve"> </w:t>
      </w:r>
      <m:oMath>
        <m:sSup>
          <m:e>
            <m:r>
              <m:t>Q</m:t>
            </m:r>
          </m:e>
          <m:sup>
            <m:r>
              <m:t>ν</m:t>
            </m:r>
            <m:r>
              <m:rPr>
                <m:sty m:val="p"/>
              </m:rPr>
              <m:t>+</m:t>
            </m:r>
            <m:r>
              <m:t>1</m:t>
            </m:r>
          </m:sup>
        </m:sSup>
      </m:oMath>
      <w:r>
        <w:t xml:space="preserve">.</w:t>
      </w:r>
    </w:p>
    <w:bookmarkEnd w:id="58"/>
    <w:bookmarkStart w:id="59"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9"/>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9"/>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9"/>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20"/>
        </w:numPr>
      </w:pPr>
      <w:r>
        <w:t xml:space="preserve">Compute</w:t>
      </w:r>
      <w:r>
        <w:t xml:space="preserve"> </w:t>
      </w:r>
      <m:oMath>
        <m:r>
          <m:t>y</m:t>
        </m:r>
        <m:r>
          <m:rPr>
            <m:sty m:val="p"/>
          </m:rPr>
          <m:t>=</m:t>
        </m:r>
        <m:r>
          <m:t>D</m:t>
        </m:r>
        <m:r>
          <m:t>z</m:t>
        </m:r>
      </m:oMath>
    </w:p>
    <w:p>
      <w:pPr>
        <w:pStyle w:val="Compact"/>
        <w:numPr>
          <w:ilvl w:val="1"/>
          <w:numId w:val="1020"/>
        </w:numPr>
      </w:pPr>
      <w:r>
        <w:t xml:space="preserve">For j from 0 to</w:t>
      </w:r>
      <w:r>
        <w:t xml:space="preserve"> </w:t>
      </w:r>
      <m:oMath>
        <m:r>
          <m:t>ν</m:t>
        </m:r>
      </m:oMath>
      <w:r>
        <w:t xml:space="preserve">:</w:t>
      </w:r>
    </w:p>
    <w:p>
      <w:pPr>
        <w:pStyle w:val="Compact"/>
        <w:numPr>
          <w:ilvl w:val="2"/>
          <w:numId w:val="1021"/>
        </w:numPr>
      </w:pPr>
      <w:r>
        <w:t xml:space="preserve">If j is even:</w:t>
      </w:r>
      <w:r>
        <w:t xml:space="preserve"> </w:t>
      </w:r>
      <m:oMath>
        <m:r>
          <m:t>y</m:t>
        </m:r>
        <m:r>
          <m:rPr>
            <m:sty m:val="p"/>
          </m:rPr>
          <m:t>=</m:t>
        </m:r>
        <m:sSup>
          <m:e>
            <m:r>
              <m:t>L</m:t>
            </m:r>
          </m:e>
          <m:sup>
            <m:r>
              <m:t>T</m:t>
            </m:r>
          </m:sup>
        </m:sSup>
        <m:r>
          <m:t>y</m:t>
        </m:r>
      </m:oMath>
    </w:p>
    <w:p>
      <w:pPr>
        <w:pStyle w:val="Compact"/>
        <w:numPr>
          <w:ilvl w:val="2"/>
          <w:numId w:val="1021"/>
        </w:numPr>
      </w:pPr>
      <w:r>
        <w:t xml:space="preserve">If j is odd:</w:t>
      </w:r>
      <w:r>
        <w:t xml:space="preserve"> </w:t>
      </w:r>
      <m:oMath>
        <m:r>
          <m:t>y</m:t>
        </m:r>
        <m:r>
          <m:rPr>
            <m:sty m:val="p"/>
          </m:rPr>
          <m:t>=</m:t>
        </m:r>
        <m:r>
          <m:t>L</m:t>
        </m:r>
        <m:r>
          <m:t>y</m:t>
        </m:r>
      </m:oMath>
    </w:p>
    <w:p>
      <w:pPr>
        <w:pStyle w:val="Compact"/>
        <w:numPr>
          <w:ilvl w:val="1"/>
          <w:numId w:val="1020"/>
        </w:numPr>
      </w:pPr>
      <w:r>
        <w:t xml:space="preserve">Compute quadratic form</w:t>
      </w:r>
      <w:r>
        <w:t xml:space="preserve"> </w:t>
      </w:r>
      <m:oMath>
        <m:r>
          <m:t>q</m:t>
        </m:r>
        <m:r>
          <m:rPr>
            <m:sty m:val="p"/>
          </m:rPr>
          <m:t>=</m:t>
        </m:r>
        <m:sSup>
          <m:e>
            <m:r>
              <m:t>y</m:t>
            </m:r>
          </m:e>
          <m:sup>
            <m:r>
              <m:t>T</m:t>
            </m:r>
          </m:sup>
        </m:sSup>
        <m:r>
          <m:t>y</m:t>
        </m:r>
      </m:oMath>
    </w:p>
    <w:p>
      <w:pPr>
        <w:pStyle w:val="Compact"/>
        <w:numPr>
          <w:ilvl w:val="0"/>
          <w:numId w:val="1019"/>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p>
      <w:pPr>
        <w:pStyle w:val="FirstParagraph"/>
      </w:pPr>
      <w:r>
        <w:t xml:space="preserve">This algorithm computes the Gaussian copula density using the scaled precision matrix, avoiding explicit formation or inversion of</w:t>
      </w:r>
      <w:r>
        <w:t xml:space="preserve"> </w:t>
      </w:r>
      <m:oMath>
        <m:acc>
          <m:accPr>
            <m:chr m:val="̃"/>
          </m:accPr>
          <m:e>
            <m:r>
              <m:t>Q</m:t>
            </m:r>
          </m:e>
        </m:acc>
        <m:r>
          <m:rPr>
            <m:sty m:val="p"/>
          </m:rPr>
          <m:t>=</m:t>
        </m:r>
        <m:r>
          <m:t>D</m:t>
        </m:r>
        <m:sSup>
          <m:e>
            <m:r>
              <m:t>Q</m:t>
            </m:r>
          </m:e>
          <m:sup>
            <m:r>
              <m:t>ν</m:t>
            </m:r>
            <m:r>
              <m:rPr>
                <m:sty m:val="p"/>
              </m:rPr>
              <m:t>+</m:t>
            </m:r>
            <m:r>
              <m:t>1</m:t>
            </m:r>
          </m:sup>
        </m:sSup>
        <m:r>
          <m:t>D</m:t>
        </m:r>
      </m:oMath>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2024-08-15T15:04:30Z</dcterms:created>
  <dcterms:modified xsi:type="dcterms:W3CDTF">2024-08-15T15:04:30Z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an algorithm for efficient computation of Gaussian copula densities using Gaussian Markov Random Field (GMRF) precision structures. We introduce a Matérn-like precision matrix with unit marginal variance, leveraging a Kronecker sum structure that allows for fast eigendecomposition. The method avoids explicit formation and inversion of large precision matrices, making it particularly suitable for high-dimensional spatial data. We propose two approximation methods: circulant and folded circulant, which utilize the computational efficiency of Fast Fourier Transforms (FFTs). The circulant approximation treats the spatial field as if it were on a torus, where opposite edges are connected. The folded circulant approximation, however, uses a reflection boundary condition, effectively doubling the size of the field by reflecting the data along each coordinate axis. This approach potentially offers improved accuracy near field edges, addressing a common limitation of periodic boundary conditions.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2024-08-15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