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FD876">
      <w:pPr>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2</w:t>
      </w:r>
    </w:p>
    <w:tbl>
      <w:tblPr>
        <w:tblStyle w:val="2"/>
        <w:tblW w:w="8627" w:type="dxa"/>
        <w:jc w:val="center"/>
        <w:tblBorders>
          <w:top w:val="single" w:color="auto" w:sz="8" w:space="0"/>
          <w:left w:val="single" w:color="auto" w:sz="8" w:space="0"/>
          <w:bottom w:val="single" w:color="auto" w:sz="8" w:space="0"/>
          <w:right w:val="single" w:color="auto" w:sz="8" w:space="0"/>
          <w:insideH w:val="none" w:color="auto" w:sz="0" w:space="0"/>
          <w:insideV w:val="single" w:color="auto" w:sz="8" w:space="0"/>
        </w:tblBorders>
        <w:tblLayout w:type="fixed"/>
        <w:tblCellMar>
          <w:top w:w="0" w:type="dxa"/>
          <w:left w:w="108" w:type="dxa"/>
          <w:bottom w:w="0" w:type="dxa"/>
          <w:right w:w="108" w:type="dxa"/>
        </w:tblCellMar>
      </w:tblPr>
      <w:tblGrid>
        <w:gridCol w:w="1087"/>
        <w:gridCol w:w="1327"/>
        <w:gridCol w:w="913"/>
        <w:gridCol w:w="2397"/>
        <w:gridCol w:w="1128"/>
        <w:gridCol w:w="1775"/>
      </w:tblGrid>
      <w:tr w14:paraId="573CF674">
        <w:tblPrEx>
          <w:tblBorders>
            <w:top w:val="single" w:color="auto" w:sz="8" w:space="0"/>
            <w:left w:val="single" w:color="auto" w:sz="8" w:space="0"/>
            <w:bottom w:val="single" w:color="auto" w:sz="8" w:space="0"/>
            <w:right w:val="single" w:color="auto" w:sz="8" w:space="0"/>
            <w:insideH w:val="none" w:color="auto" w:sz="0" w:space="0"/>
            <w:insideV w:val="single" w:color="auto" w:sz="8" w:space="0"/>
          </w:tblBorders>
          <w:tblCellMar>
            <w:top w:w="0" w:type="dxa"/>
            <w:left w:w="108" w:type="dxa"/>
            <w:bottom w:w="0" w:type="dxa"/>
            <w:right w:w="108" w:type="dxa"/>
          </w:tblCellMar>
        </w:tblPrEx>
        <w:trPr>
          <w:trHeight w:val="604" w:hRule="atLeast"/>
          <w:jc w:val="center"/>
        </w:trPr>
        <w:tc>
          <w:tcPr>
            <w:tcW w:w="1087" w:type="dxa"/>
            <w:tcBorders>
              <w:top w:val="single" w:color="auto" w:sz="8" w:space="0"/>
              <w:left w:val="single" w:color="auto" w:sz="8" w:space="0"/>
              <w:bottom w:val="single" w:color="auto" w:sz="8" w:space="0"/>
              <w:right w:val="single" w:color="auto" w:sz="8" w:space="0"/>
            </w:tcBorders>
            <w:vAlign w:val="center"/>
          </w:tcPr>
          <w:p w14:paraId="3FF3BE6F">
            <w:pPr>
              <w:jc w:val="center"/>
              <w:rPr>
                <w:rFonts w:ascii="等线" w:hAnsi="等线" w:eastAsia="等线"/>
                <w:color w:val="auto"/>
                <w:szCs w:val="24"/>
              </w:rPr>
            </w:pPr>
            <w:r>
              <w:rPr>
                <w:rFonts w:hint="eastAsia" w:ascii="等线" w:hAnsi="等线" w:eastAsia="等线"/>
                <w:color w:val="auto"/>
                <w:szCs w:val="24"/>
              </w:rPr>
              <w:t>年度</w:t>
            </w:r>
          </w:p>
        </w:tc>
        <w:tc>
          <w:tcPr>
            <w:tcW w:w="1327" w:type="dxa"/>
            <w:tcBorders>
              <w:top w:val="single" w:color="auto" w:sz="8" w:space="0"/>
              <w:left w:val="single" w:color="auto" w:sz="8" w:space="0"/>
              <w:bottom w:val="single" w:color="auto" w:sz="8" w:space="0"/>
              <w:right w:val="single" w:color="auto" w:sz="8" w:space="0"/>
            </w:tcBorders>
            <w:vAlign w:val="center"/>
          </w:tcPr>
          <w:p w14:paraId="207E79C9">
            <w:pPr>
              <w:rPr>
                <w:rFonts w:ascii="黑体" w:hAnsi="等线" w:eastAsia="黑体"/>
                <w:color w:val="auto"/>
                <w:sz w:val="32"/>
                <w:szCs w:val="32"/>
              </w:rPr>
            </w:pPr>
            <w:r>
              <w:rPr>
                <w:rFonts w:ascii="黑体" w:hAnsi="等线" w:eastAsia="黑体"/>
                <w:color w:val="auto"/>
                <w:sz w:val="32"/>
                <w:szCs w:val="32"/>
              </w:rPr>
              <w:t>202</w:t>
            </w:r>
            <w:r>
              <w:rPr>
                <w:rFonts w:hint="eastAsia" w:ascii="黑体" w:hAnsi="等线" w:eastAsia="黑体"/>
                <w:color w:val="auto"/>
                <w:sz w:val="32"/>
                <w:szCs w:val="32"/>
                <w:lang w:val="en-US" w:eastAsia="zh-CN"/>
              </w:rPr>
              <w:t>6</w:t>
            </w:r>
            <w:r>
              <w:rPr>
                <w:rFonts w:hint="eastAsia" w:ascii="黑体" w:hAnsi="等线" w:eastAsia="黑体"/>
                <w:color w:val="auto"/>
                <w:sz w:val="32"/>
                <w:szCs w:val="32"/>
              </w:rPr>
              <w:t>年</w:t>
            </w:r>
          </w:p>
        </w:tc>
        <w:tc>
          <w:tcPr>
            <w:tcW w:w="913" w:type="dxa"/>
            <w:tcBorders>
              <w:top w:val="single" w:color="auto" w:sz="8" w:space="0"/>
              <w:left w:val="single" w:color="auto" w:sz="8" w:space="0"/>
              <w:bottom w:val="single" w:color="auto" w:sz="8" w:space="0"/>
              <w:right w:val="single" w:color="auto" w:sz="8" w:space="0"/>
            </w:tcBorders>
            <w:vAlign w:val="center"/>
          </w:tcPr>
          <w:p w14:paraId="605AA940">
            <w:pPr>
              <w:jc w:val="center"/>
              <w:rPr>
                <w:rFonts w:ascii="等线" w:hAnsi="等线" w:eastAsia="等线"/>
                <w:szCs w:val="24"/>
              </w:rPr>
            </w:pPr>
            <w:r>
              <w:rPr>
                <w:rFonts w:hint="eastAsia" w:ascii="等线" w:hAnsi="等线" w:eastAsia="等线"/>
                <w:szCs w:val="24"/>
              </w:rPr>
              <w:t>编号</w:t>
            </w:r>
          </w:p>
        </w:tc>
        <w:tc>
          <w:tcPr>
            <w:tcW w:w="2397" w:type="dxa"/>
            <w:tcBorders>
              <w:top w:val="single" w:color="auto" w:sz="8" w:space="0"/>
              <w:left w:val="single" w:color="auto" w:sz="8" w:space="0"/>
              <w:bottom w:val="single" w:color="auto" w:sz="8" w:space="0"/>
              <w:right w:val="single" w:color="auto" w:sz="8" w:space="0"/>
            </w:tcBorders>
            <w:vAlign w:val="center"/>
          </w:tcPr>
          <w:p w14:paraId="2499C574">
            <w:pPr>
              <w:jc w:val="center"/>
              <w:rPr>
                <w:rFonts w:ascii="等线" w:hAnsi="等线" w:eastAsia="等线"/>
                <w:szCs w:val="24"/>
              </w:rPr>
            </w:pPr>
          </w:p>
        </w:tc>
        <w:tc>
          <w:tcPr>
            <w:tcW w:w="1128" w:type="dxa"/>
            <w:tcBorders>
              <w:top w:val="single" w:color="auto" w:sz="8" w:space="0"/>
              <w:left w:val="single" w:color="auto" w:sz="8" w:space="0"/>
              <w:bottom w:val="single" w:color="auto" w:sz="8" w:space="0"/>
              <w:right w:val="single" w:color="000000" w:sz="8" w:space="0"/>
            </w:tcBorders>
            <w:vAlign w:val="center"/>
          </w:tcPr>
          <w:p w14:paraId="61619305">
            <w:pPr>
              <w:jc w:val="center"/>
              <w:rPr>
                <w:rFonts w:ascii="等线" w:hAnsi="等线" w:eastAsia="等线"/>
                <w:szCs w:val="24"/>
              </w:rPr>
            </w:pPr>
            <w:r>
              <w:rPr>
                <w:rFonts w:hint="eastAsia" w:ascii="等线" w:hAnsi="等线" w:eastAsia="等线"/>
                <w:szCs w:val="24"/>
              </w:rPr>
              <w:t>评审得分</w:t>
            </w:r>
          </w:p>
        </w:tc>
        <w:tc>
          <w:tcPr>
            <w:tcW w:w="1775" w:type="dxa"/>
            <w:tcBorders>
              <w:top w:val="single" w:color="auto" w:sz="8" w:space="0"/>
              <w:left w:val="single" w:color="000000" w:sz="8" w:space="0"/>
              <w:bottom w:val="single" w:color="auto" w:sz="8" w:space="0"/>
              <w:right w:val="single" w:color="auto" w:sz="8" w:space="0"/>
            </w:tcBorders>
            <w:vAlign w:val="center"/>
          </w:tcPr>
          <w:p w14:paraId="3BED4B32">
            <w:pPr>
              <w:jc w:val="center"/>
              <w:rPr>
                <w:rFonts w:ascii="等线" w:hAnsi="等线" w:eastAsia="等线"/>
                <w:szCs w:val="24"/>
              </w:rPr>
            </w:pPr>
          </w:p>
        </w:tc>
      </w:tr>
    </w:tbl>
    <w:p w14:paraId="46096E51">
      <w:pPr>
        <w:jc w:val="center"/>
        <w:rPr>
          <w:rFonts w:ascii="等线" w:hAnsi="等线" w:eastAsia="黑体"/>
          <w:sz w:val="24"/>
          <w:szCs w:val="24"/>
        </w:rPr>
      </w:pPr>
    </w:p>
    <w:p w14:paraId="2D7384BF">
      <w:pPr>
        <w:jc w:val="center"/>
        <w:rPr>
          <w:rFonts w:ascii="等线" w:hAnsi="等线" w:eastAsia="黑体"/>
          <w:sz w:val="36"/>
          <w:szCs w:val="24"/>
        </w:rPr>
      </w:pPr>
      <w:r>
        <w:rPr>
          <w:rFonts w:hint="eastAsia" w:ascii="等线" w:hAnsi="等线" w:eastAsia="黑体"/>
          <w:sz w:val="36"/>
          <w:szCs w:val="24"/>
        </w:rPr>
        <w:t>福建省中青年教师教育科研项目基础教育研究专项</w:t>
      </w:r>
    </w:p>
    <w:p w14:paraId="0C937F28">
      <w:pPr>
        <w:jc w:val="center"/>
        <w:rPr>
          <w:rFonts w:ascii="等线" w:hAnsi="等线" w:eastAsia="黑体"/>
          <w:sz w:val="36"/>
          <w:szCs w:val="24"/>
        </w:rPr>
      </w:pPr>
      <w:r>
        <w:rPr>
          <w:rFonts w:hint="eastAsia" w:ascii="等线" w:hAnsi="等线" w:eastAsia="黑体"/>
          <w:sz w:val="36"/>
          <w:szCs w:val="24"/>
        </w:rPr>
        <w:t>《项目设计论证》活页</w:t>
      </w:r>
    </w:p>
    <w:p w14:paraId="0E18422E">
      <w:pPr>
        <w:rPr>
          <w:rFonts w:ascii="等线" w:hAnsi="等线" w:eastAsia="楷体_GB2312"/>
          <w:sz w:val="32"/>
          <w:szCs w:val="24"/>
          <w:u w:val="single"/>
        </w:rPr>
      </w:pPr>
      <w:r>
        <w:rPr>
          <w:rFonts w:hint="eastAsia" w:ascii="等线" w:hAnsi="等线" w:eastAsia="楷体_GB2312"/>
          <w:sz w:val="32"/>
          <w:szCs w:val="24"/>
        </w:rPr>
        <w:t>项目名称：</w:t>
      </w:r>
      <w:r>
        <w:rPr>
          <w:rFonts w:hint="eastAsia" w:ascii="等线" w:hAnsi="等线" w:eastAsia="楷体_GB2312"/>
          <w:sz w:val="32"/>
          <w:szCs w:val="24"/>
          <w:u w:val="single"/>
        </w:rPr>
        <w:t>数智赋能小学跨学科主题课程的实践模型建构与验证研究——以“吾同·共创”课程为例</w:t>
      </w:r>
    </w:p>
    <w:tbl>
      <w:tblPr>
        <w:tblStyle w:val="2"/>
        <w:tblW w:w="8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80"/>
      </w:tblGrid>
      <w:tr w14:paraId="5B54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0" w:hRule="atLeast"/>
          <w:jc w:val="center"/>
        </w:trPr>
        <w:tc>
          <w:tcPr>
            <w:tcW w:w="8480" w:type="dxa"/>
            <w:tcBorders>
              <w:top w:val="single" w:color="auto" w:sz="4" w:space="0"/>
              <w:left w:val="single" w:color="auto" w:sz="4" w:space="0"/>
              <w:bottom w:val="single" w:color="auto" w:sz="4" w:space="0"/>
              <w:right w:val="single" w:color="auto" w:sz="4" w:space="0"/>
            </w:tcBorders>
          </w:tcPr>
          <w:p w14:paraId="7D6FAA73">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一、本项目提出的背景、研究的意义和价值</w:t>
            </w:r>
          </w:p>
          <w:p w14:paraId="7D6FAA74">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（一）项目背景</w:t>
            </w:r>
          </w:p>
          <w:p w14:paraId="7D6FAA75">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近年来，国家课程改革与教育数字化战略双重驱动，使“数智赋能小学跨学科主题课程”成为现实命题。《义务教育课程方案（2022年版）》规定“各门课程用不少于10%的课时设计跨学科主题学习”，将其从教学探索上升为法定实施形态；党的二十届三中全会《决定》首次将“数智”写入国家级政策文件，教育部“国家教育数字化战略行动”与省级相关部署相继落地，为学校层面的课程重构提供了政策依据与技术条件。</w:t>
            </w:r>
          </w:p>
          <w:p w14:paraId="7D6FAA76">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然而一线普遍存在“课程建起来、赋能没发生”的落差：一是主题脱离学生真实生活、内容零散空洞，跨学科沦为学科知识的简单拼接；二是数智应用挤占学科本体，技术热闹而学习浅表；三是评价单一、循证缺失，跨学科素养难以被“看见”；四是教师协同备课难、数智素养不足，跨学科教研难以常态化。其共同症结在于：数智技术止步于工具叠加，缺少贯通“目标—主题—学科—技术—评价”的可操作实践模型。既有研究多聚焦高校或中学单科，鲜见以小学为对象、以“跨学科主题课程”为整体载体、并以“实践模型建构＋实证验证”为方法的系统性成果。为此，本项目以“吾同·共创”课程为载体，建构“五维联动”实践模型，以多轮行动研究开展三维循证验证，形成可复制、可推广的小学数智赋能跨学科主题课程方案。</w:t>
            </w:r>
          </w:p>
          <w:p w14:paraId="7D6FAA77">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（二）研究意义</w:t>
            </w:r>
          </w:p>
          <w:p w14:paraId="7D6FAA78">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1.为学校提供可复制的课程落地方案。以“吾同·共创”课程产出可操作、可推广的实践模型与配套工具，直接服务新课标“不少于10%课时”的刚性落实，缓解学校“想做却不会做”的现实困境。</w:t>
            </w:r>
          </w:p>
          <w:p w14:paraId="7D6FAA79">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2.提升小学教师跨学科协同与数智素养。通过联合备课、数智工具工作坊与评价数据反哺，破解“单科思维”与“技术焦虑”，推动教师从学科教学者向课程设计者转变。</w:t>
            </w:r>
          </w:p>
          <w:p w14:paraId="7D6FAA7A">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3.促进学生核心素养与跨学科素养融合发展。在真实情境、项目化、数据循证的主题学习中，发展合作探究、综合思维与问题解决能力，使素养培育有载体、有过程、有证据。</w:t>
            </w:r>
          </w:p>
          <w:p w14:paraId="7D6FAA7B">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（三）研究价值</w:t>
            </w:r>
          </w:p>
          <w:p w14:paraId="7D6FAA7C">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本课题将“数智赋能”与“小学跨学科主题课程”作系统性耦合，提出“以数智为引擎、以主题统整为纽带、以素养发展为归宿”的课程建构逻辑，并采用“模型建构—行动验证—迭代优化”的闭环路径，以“吾同·共创”课程实证检验，使模型不止于理念而经教学现场验证，最终凝结为“一个实践模型＋一套主题课程样例＋一套数智工具与评价量表”的复合成果，兼具学理厚度与一线可用性，可为区域推进课程教学改革提供可参照的实践范式。</w:t>
            </w:r>
          </w:p>
          <w:p w14:paraId="7D6FAA7D">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二、本项目国内外研究现状述评</w:t>
            </w:r>
          </w:p>
          <w:p w14:paraId="7D6FAA7E">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（一）数智技术在教育领域应用的研究现状</w:t>
            </w:r>
          </w:p>
          <w:p w14:paraId="7D6FAA7F">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数智技术在教育领域的应用已成为全球研究热点，研究从早期丰富教学资源、提升管理效率，逐步走向以生成式人工智能、VR、AR为代表的新一代技术对教育形态的深度重塑，推动教育由“工具辅助”迈向“生态重构”。国际上，人工智能教育聚焦个性化学习、智能辅导与自动化评分反馈，并衍生出“AI+X”跨学科融合模式以培育计算思维与创新能力；生成式人工智能进一步拓宽了教学设计、内容生成与语言辅助的应用前景。国内研究则侧重数智技术驱动教学模式革新与智慧环境构建，实现精准学情诊断与个性化支持，呼应新课标“因材施教”要求。同时，研究普遍指出数字鸿沟、教师数智素养不足、伦理隐私以及工具理性与价值理性失衡等现实挑战。</w:t>
            </w:r>
          </w:p>
          <w:p w14:paraId="7D6FAA80">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（二）跨学科主题课程的研究现状</w:t>
            </w:r>
          </w:p>
          <w:p w14:paraId="7D6FAA81">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跨学科”概念由伍德沃斯于1926年提出，经汉弗莱斯（1981）、舒梅克（1989）等学者界定为超越学科边界、围绕真实问题整合多学科知识以建立有意义联系的学习模式。实践层面，美国STEAM教育依托项目式学习融合多学科，培养实践能力与创新思维；芬兰“现象教学”以现象为载体深度重组学科内容，形成高度融合的课程模块；OECD推出以创造力与批判性思维为核心的跨学科主题学习，遵循“教—学—评”一致性原则。国内研究分别从中心学科加工、多学科融合、课程形态与策略合体、主题导向的问题解决等角度界定跨学科教学。实践上多借鉴国外并探索本土化：依知识地位或主导学科可分为“科目A跨科目B”型与“科目A跨科目B＋”型，按主题来源可分为单学科拓展式、多学科交叉式、跨学科大概念式与超学科式；“主学科＋辅学科”整合模式因操作性强而受一线青睐，强调主题适切性、内容关联性与任务驱动性，主张主题植根教材、联结生活，学科联动找准“跨点”、划定“跨度”。</w:t>
            </w:r>
          </w:p>
          <w:p w14:paraId="7D6FAA82">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（三）研究述评</w:t>
            </w:r>
          </w:p>
          <w:p w14:paraId="7D6FAA83">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综观国内外研究：其一，数智赋能课程研究正从“技术工具应用”走向“生态重塑”，从“单学科改良”走向“整体建构”，从“案例描述”走向“模型建构与验证”，与本项目的定位高度契合。其二，国外框架成熟但情境适配不足，国内增长迅速但沉淀不够。国外成果多基于本国语境、偏重高等教育与STEM领域，缺少面向我国小学跨学科课程层级的整体实践模型；国内研究以期刊案例为主，聚焦单学科、单课时、单主题的路径探究，课程层级的模型化建构明显不足。其三，既有“模式构建”研究多集中于初高中段，小学阶段成体系成果少见；验证多依赖单一行动研究循环，缺乏多来源证据支撑；“数智”多被定位为教学辅助工具，对课程整体重构及特色课程理念与数智技术的耦合机制缺乏专门研究。</w:t>
            </w:r>
          </w:p>
          <w:p w14:paraId="7D6FAA84">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据此，本项目聚焦数智赋能小学跨学科主题课程，尝试建构贯通“目标—内容—实施—评价”的实践模型，并以多轮实践与多源数据验证，弥补已有研究在系统性与充分性上的不足，为小学跨学科主题课程的数智化升级提供可参照范式。</w:t>
            </w:r>
          </w:p>
          <w:p w14:paraId="7D6FAA85">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三、本项目研究的基本内容</w:t>
            </w:r>
          </w:p>
          <w:p w14:paraId="7D6FAA86">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数智赋能小学跨学科主题课程的理论框架与课程定位研究。梳理数智赋能与跨学科主题课程的核心内涵及学理依据，以课程整合理论、建构主义学习理论与素养导向的课程观为基础，构建“数智—跨学科—课程”三位一体的理论框架；明确“吾同·共创”课程的育人目标、跨学科主题谱系与“共创”机制定位，厘清数智技术介入课程的关键位置（跨点识别、主题生成、过程记录、评价反馈），为实践模型建构提供理论与坐标参照。</w:t>
            </w:r>
          </w:p>
          <w:p w14:paraId="7D6FAA87">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五维联动”实践模型的建构研究。立足理论框架与一线实际，建构贯通“目标—内容—实施—评价”的实践模型：目标维度回答“育什么人”，内容维度以主题谱系承载整合类型，实施维度以主辅学科协同承载跨点落地，评价维度以表现性评价承载素养可见化，支持维度以数智工具与教研机制提供运行保障。同步研制主题设计工具（主题谱系表、整合类型判定表、跨点跨度分析表）、数智支持工具（主题生成与资源匹配、学习过程数据采集与分析、学生成长画像）与表现性评价工具（评价维度与水平描述、评分量规），形成可操作的课程实施路径与策略体系。</w:t>
            </w:r>
          </w:p>
          <w:p w14:paraId="7D6FAA88">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实践模型的应用验证与优化研究。以“吾同·共创”课程为场域开展多轮行动研究，运用调查研究、课堂观察与学生作品分析开展三维循证验证，诊断模型运行中的问题并迭代优化：检验主题生成规则与整合类型的适切性，检验数智工具在不同课型中的可用性，检验评价量表的区分度与可操作性，最终凝结可复制、可推广的小学数智赋能跨学科主题课程实施范式。</w:t>
            </w:r>
          </w:p>
          <w:p w14:paraId="7D6FAA89">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四、本项目研究的基本思路、研究方法</w:t>
            </w:r>
          </w:p>
          <w:p w14:paraId="7D6FAA8A">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（一）研究思路</w:t>
            </w:r>
          </w:p>
          <w:p w14:paraId="7D6FAA8B">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遵循“理论奠基—模型建构—行动验证—迭代优化”的四阶段闭环：以核心概念界定与理论基础为起点，建构“五维联动”实践模型并研制配套工具；在“吾同·共创”课程中开展多轮行动研究，对模型进行实证验证；基于多源证据诊断问题、迭代优化；最终凝结可复制、可推广的课程方案与配套工具，反哺新课标落实与区域教育数字化转型。研究进程与三项研究内容一一对应，按准备（2026.10—2026.12）、实施（2027.1—2027.12）、验证（2028.1—2028.6）、总结（2028.7—2028.</w:t>
            </w:r>
            <w:r>
              <w:rPr>
                <w:rFonts w:hint="eastAsia" w:ascii="宋体" w:hAnsi="宋体" w:cs="宋体"/>
                <w:b w:val="0"/>
                <w:kern w:val="2"/>
                <w:sz w:val="24"/>
                <w:szCs w:val="24"/>
                <w:lang w:val="en-US" w:eastAsia="zh-CN" w:bidi="ar-SA"/>
              </w:rPr>
              <w:t>8</w:t>
            </w:r>
            <w:r>
              <w:rPr>
                <w:rFonts w:hint="eastAsia" w:ascii="宋体" w:hAnsi="宋体" w:eastAsia="宋体" w:cs="宋体"/>
                <w:b w:val="0"/>
                <w:kern w:val="2"/>
                <w:sz w:val="24"/>
                <w:szCs w:val="24"/>
                <w:lang w:val="en-US" w:eastAsia="zh-CN" w:bidi="ar-SA"/>
              </w:rPr>
              <w:t>）四个阶段推进，各阶段任务、成果与责任分工清晰，每阶段末进行小结与成果归档。</w:t>
            </w:r>
          </w:p>
          <w:p w14:paraId="7D6FAA8C">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（二）研究方法</w:t>
            </w:r>
          </w:p>
          <w:p w14:paraId="7D6FAA8D">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1.文献研究法：系统搜集整理国内外数智赋能教育、跨学科主题学习与课程整合的文献，明晰课题内涵与学理依据，拓宽研究思路。</w:t>
            </w:r>
          </w:p>
          <w:p w14:paraId="7D6FAA8E">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2.调查研究法：通过问卷与访谈诊断实施前现状与实施后成效，收集师生真实反馈，为模型修订提供事实依据。</w:t>
            </w:r>
          </w:p>
          <w:p w14:paraId="7D6FAA8F">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3.设计研究法：在真实教学情境中迭代“设计—实施—评价—修订”循环，使模型兼具理论严谨性与现场可用性。</w:t>
            </w:r>
          </w:p>
          <w:p w14:paraId="7D6FAA90">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4.行动研究法：以“计划—行动—观察—反思”多轮循环推进“吾同·共创”课程实践与模型验证，边实施、边诊断、边修正。</w:t>
            </w:r>
          </w:p>
          <w:p w14:paraId="7D6FAA91">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5.案例研究法：以“吾同·共创”课程为深度案例，全过程追踪模型运行样态，积累典型主题的实施证据。</w:t>
            </w:r>
          </w:p>
          <w:p w14:paraId="7D6FAA92">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6.经验总结法：抓住典型案例深度剖析，及时回顾梳理、分析诊断，提炼可迁移的策略与工具，形成研究成果。</w:t>
            </w:r>
          </w:p>
          <w:p w14:paraId="7D6FAA93">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五、本项目拟突破的重点难点问题、主要创新点和特色</w:t>
            </w:r>
          </w:p>
          <w:p w14:paraId="7D6FAA94">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（一）拟突破的重点问题</w:t>
            </w:r>
          </w:p>
          <w:p w14:paraId="7D6FAA95">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跨学科主题的生成机制与“跨点”“跨度”的确定规则。建立主题生成的规范路径：从学科课程标准的关键概念与教材内容出发，联结学生真实生活情境形成“主题源”；再通过跨点分析（学科之间在概念、方法、素养上的交汇处）与跨度判断（整合的深浅程度与学科参与数量），把主题归入单学科拓展式、多学科交叉式、跨学科大概念式、超学科式等整合类型，并明确各类主题的适用学段与课时配比。</w:t>
            </w:r>
          </w:p>
          <w:p w14:paraId="7D6FAA96">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学科本体与跨学科整合的边界规则。确立两条尺度：一是每一条跨学科主题必须明确“主学科”与“辅学科”的身份及各自承担的知识与素养责任，主学科保深度、辅学科供视角；二是明确数智工具的使用边界——哪些环节由数智承担（学情诊断、资源生成、过程记录、作品分析），哪些环节必须回到学科实践本身（文本细读、动手实验、实地探究、人际协作）。</w:t>
            </w:r>
          </w:p>
          <w:p w14:paraId="7D6FAA97">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五维联动”模型的运行机制与跨学科素养的表现性评价。五个维度之间形成真实联动：育人目标约束主题选择，主题反向激活学科知识重组，实施环节的协同机制让多学科教师在同一主题中各安其位，评价数据回流修正目标与内容。与之配套的是评价难题——跨学科素养长期“评不出来”，课题将把合作探究、综合思维、问题解决等素养拆解为可观察的行为表现，研制分层量表与作品分析框架，使评价有依据、有区分度，并能与数智采集的过程数据互证。</w:t>
            </w:r>
          </w:p>
          <w:p w14:paraId="7D6FAA98">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（二）拟突破的难点问题</w:t>
            </w:r>
          </w:p>
          <w:p w14:paraId="7D6FAA99">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跨学科”与“数智赋能”双重变量的可测量化。建立“对照—追踪—互证”的证据链：以实施前后的问卷与访谈呈现师生认知与行为变化，以课堂观察记录跨学科协同备课与主题实施的样态变化，以学生作品的前后对比呈现跨学科素养表现的变化，三类证据交叉印证。</w:t>
            </w:r>
          </w:p>
          <w:p w14:paraId="7D6FAA9A">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2.多学科教师协同的常态化机制。在课程运行中探索联合备课的基本流程、跨学科教研的组织形式与主辅学科的分工规则，并沉淀为可迁移的教研机制，避免协同停留在个别教师的个人热情上。</w:t>
            </w:r>
          </w:p>
          <w:p w14:paraId="7D6FAA9B">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模型在不同学段、不同整合类型主题间的适应性。小学低中高学段的认知水平、学科基础与课时条件差异明显。课题将通过多轮行动研究，检验模型在低中高学段、在单学科拓展式与跨学科大概念式等不同主题类型中的适配方式，形成分层分类的实施建议，使模型具备跨学段、跨类型的稳定性。</w:t>
            </w:r>
          </w:p>
          <w:p w14:paraId="7D6FAA9C">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（三）主要创新点</w:t>
            </w:r>
          </w:p>
          <w:p w14:paraId="7D6FAA9D">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概念耦合创新。提出“以数智为引擎、以主题统整为纽带、以素养发展为归宿”的建构逻辑，明确数智介入跨学科课程的关键位置——跨点识别、主题生成、过程记录与评价反馈，从学理上回应既有研究中“数智多被定位为教学辅助工具、对课程整体重构及特色课程理念与数智技术的耦合机制缺乏专门研究”的不足。</w:t>
            </w:r>
          </w:p>
          <w:p w14:paraId="7D6FAA9E">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模型建构创新。从“路径描述”走向“课程层级的模型化建构”。建构贯通“目标—内容—实施—评价”的“五维联动”实践模型，其中内容维度以跨学科主题谱系承载整合类型，实施维度以主辅学科协同承载跨点落地，评价维度以表现性评价承载跨学科素养的可见化；同步研制主题设计、数智支持、表现性评价三类配套工具，弥补现行研究“聚焦单学科、单课时、单主题，课程层级模型化建构不足”的缺口。</w:t>
            </w:r>
          </w:p>
          <w:p w14:paraId="7D6FAA9F">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验证方法创新。以三维循证验证替代单一行动研究循环。既有研究多依赖单一循环，证据来源单薄；本课题以“模型建构—行动验证—迭代优化”为闭环，开展多轮行动研究，综合运用调查研究、课堂观察、学生作品分析开展三维循证验证，使模型经教学现场检验、经多源数据支撑。</w:t>
            </w:r>
          </w:p>
          <w:p w14:paraId="7D6FAAA0">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（四）研究特色</w:t>
            </w:r>
          </w:p>
          <w:p w14:paraId="7D6FAAA1">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1.整合类型清晰，主题可溯源。建立主题谱系与整合类型分类，每一主题都能追溯到学科课程标准的关键概念与教材内容，明确跨点、跨度与主辅学科分工，使跨学科从经验判断变为可复制的设计流程。</w:t>
            </w:r>
          </w:p>
          <w:p w14:paraId="7D6FAAA2">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2.载体真实，课程与课题同生共长。以学校已有基础、持续运行的“吾同·共创”课程为真实场域，研究过程即课程改进过程，成果直接回流课堂，避免研究与教学“两张皮”。</w:t>
            </w:r>
          </w:p>
          <w:p w14:paraId="7D6FAAA3">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3.成果复合，便于迁移。最终提炼为“一个实践模型＋一套主题课程样例＋一套数智工具与评价量表”的复合成果，既有学理表达，也有可直接取用的操作件，便于区域内学校迁移使用。</w:t>
            </w:r>
          </w:p>
          <w:p w14:paraId="7D6FAAA4">
            <w:pPr>
              <w:spacing w:before="12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六、课题负责人近年来的前期相关研究成果、主要中外文参考文献</w:t>
            </w:r>
          </w:p>
          <w:p w14:paraId="7D6FAAA5">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（一）前期相关研究成果</w:t>
            </w:r>
          </w:p>
          <w:p w14:paraId="7D6FAAA6">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1.主持完成省级教育科学规划专项课题《素养视域下“吾同·共创”主题拓展课程实践探究》，已通过结题鉴定，作者排序第一。该课题构建了“一核三轴六阶”课程框架、主题拓展教学策略与“过程＋结果＋增值”多元评价体系。</w:t>
            </w:r>
          </w:p>
          <w:p w14:paraId="7D6FAAA7">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2.以核心成员身份参与省级教育科学规划课题《大概念统领下的小学跨学科课程整合实践研究》，已结项，作者排序第</w:t>
            </w:r>
            <w:r>
              <w:rPr>
                <w:rFonts w:hint="eastAsia" w:ascii="宋体" w:hAnsi="宋体" w:cs="宋体"/>
                <w:b w:val="0"/>
                <w:kern w:val="2"/>
                <w:sz w:val="24"/>
                <w:szCs w:val="24"/>
                <w:lang w:val="en-US" w:eastAsia="zh-CN" w:bidi="ar-SA"/>
              </w:rPr>
              <w:t>三</w:t>
            </w:r>
            <w:r>
              <w:rPr>
                <w:rFonts w:hint="eastAsia" w:ascii="宋体" w:hAnsi="宋体" w:eastAsia="宋体" w:cs="宋体"/>
                <w:b w:val="0"/>
                <w:kern w:val="2"/>
                <w:sz w:val="24"/>
                <w:szCs w:val="24"/>
                <w:lang w:val="en-US" w:eastAsia="zh-CN" w:bidi="ar-SA"/>
              </w:rPr>
              <w:t>。</w:t>
            </w:r>
          </w:p>
          <w:p w14:paraId="7D6FAAA8">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3.主持完成地市级教育科学规划课题2项：《课程整合背景下小学数学学业多元化测量评价研究》《小学数学情理相融主题阅读教学的实践与研究》，均已结项，作者排序第一。</w:t>
            </w:r>
          </w:p>
          <w:p w14:paraId="7D6FAAA9">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4.</w:t>
            </w:r>
            <w:r>
              <w:rPr>
                <w:rFonts w:hint="eastAsia" w:ascii="宋体" w:hAnsi="宋体" w:cs="宋体"/>
                <w:b w:val="0"/>
                <w:kern w:val="2"/>
                <w:sz w:val="24"/>
                <w:szCs w:val="24"/>
                <w:lang w:val="en-US" w:eastAsia="zh-CN" w:bidi="ar-SA"/>
              </w:rPr>
              <w:t>近两年</w:t>
            </w:r>
            <w:bookmarkStart w:id="0" w:name="_GoBack"/>
            <w:bookmarkEnd w:id="0"/>
            <w:r>
              <w:rPr>
                <w:rFonts w:hint="eastAsia" w:ascii="宋体" w:hAnsi="宋体" w:eastAsia="宋体" w:cs="宋体"/>
                <w:b w:val="0"/>
                <w:kern w:val="2"/>
                <w:sz w:val="24"/>
                <w:szCs w:val="24"/>
                <w:lang w:val="en-US" w:eastAsia="zh-CN" w:bidi="ar-SA"/>
              </w:rPr>
              <w:t>发表相关研究论文2篇，成果形式均为期刊论文（CN，非核心期刊），作者排序均为独撰：《素养导向下小学数学“吾同·共创”拓展课程的教学策略》《聚焦现实问题“破卷”赋能知行合一“育人”》。</w:t>
            </w:r>
          </w:p>
          <w:p w14:paraId="7D6FAAAA">
            <w:pPr>
              <w:spacing w:before="0" w:after="0" w:line="360" w:lineRule="auto"/>
              <w:ind w:firstLineChars="200"/>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4"/>
                <w:szCs w:val="24"/>
                <w:lang w:val="en-US" w:eastAsia="zh-CN" w:bidi="ar-SA"/>
              </w:rPr>
              <w:t>5.所主持课题的研究成果在校内及区域教研活动中多次展示交流，开设公开课、讲座多节次，具备将课程理念转化为可操作方案、组织跨学科团队协同攻关的研究经验。</w:t>
            </w:r>
          </w:p>
          <w:p w14:paraId="7D6FAAAB">
            <w:pPr>
              <w:spacing w:before="6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kern w:val="2"/>
                <w:sz w:val="24"/>
                <w:szCs w:val="24"/>
                <w:lang w:val="en-US" w:eastAsia="zh-CN" w:bidi="ar-SA"/>
              </w:rPr>
              <w:t>（二）主要中外文参考文献（限10项）</w:t>
            </w:r>
          </w:p>
          <w:p w14:paraId="7D6FAAAC">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[1] 中华人民共和国教育部.义务教育课程方案（2022年版）[S].北京：北京师范大学出版社，2022.</w:t>
            </w:r>
          </w:p>
          <w:p w14:paraId="7D6FAAAD">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[2] 黄荣怀.人工智能大模型融入教育：观念转变、形态重塑与关键举措[J].人民论坛·学术前沿，2024(14)：23-30.</w:t>
            </w:r>
          </w:p>
          <w:p w14:paraId="7D6FAAAE">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[3] 董艳，陈辉，于浩.数智赋能跨学科主题学习的设计、实施与评价[J].电化教育研究，2025，46(5)：78-85.</w:t>
            </w:r>
          </w:p>
          <w:p w14:paraId="7D6FAAAF">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[4] 梁云真，刘瑞星，高思圆.中小学“人工智能＋X”跨学科融合教学：理论框架与实践策略[J].电化教育研究，2022，43(10)：94-101.</w:t>
            </w:r>
          </w:p>
          <w:p w14:paraId="7D6FAAB0">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[5] 祝智庭，戴岭，姜浩哲.学科整合教育：教育强国建设的内生新动能[J].中国远程教育，2025，45(5)：3-19.</w:t>
            </w:r>
          </w:p>
          <w:p w14:paraId="7D6FAAB1">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[6] 郭华，袁媛.跨学科主题学习的基本类型及实施要点[J].中小学管理，2023(5)：10-13.</w:t>
            </w:r>
          </w:p>
          <w:p w14:paraId="7D6FAAB2">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[7] 伍红林，田莉莉.跨学科主题学习：溯源、内涵与实施建议[J].全球教育展望，2023，52(3)：35-47.</w:t>
            </w:r>
          </w:p>
          <w:p w14:paraId="7D6FAAB3">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[8] 郭洪瑞，崔允漷.再论新课程中的跨学科主题学习[J].全球教育展望，2024，53(5)：13-24.</w:t>
            </w:r>
          </w:p>
          <w:p w14:paraId="7D6FAAB4">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[9] 刘希娅.中小学跨学科学习的内涵价值、现实困境与实施策略[J].中国教育学刊，2023(10)：58-62.</w:t>
            </w:r>
          </w:p>
          <w:p w14:paraId="7D6FAAB5">
            <w:pPr>
              <w:spacing w:before="0" w:after="0" w:line="360" w:lineRule="auto"/>
              <w:jc w:val="left"/>
              <w:rPr>
                <w:rFonts w:ascii="Calibri" w:hAnsi="Calibri" w:eastAsia="宋体" w:cs="Times New Roman"/>
                <w:kern w:val="2"/>
                <w:sz w:val="21"/>
                <w:szCs w:val="22"/>
                <w:lang w:val="en-US" w:eastAsia="zh-CN" w:bidi="ar-SA"/>
              </w:rPr>
            </w:pPr>
            <w:r>
              <w:rPr>
                <w:rFonts w:hint="eastAsia" w:ascii="宋体" w:hAnsi="宋体" w:eastAsia="宋体" w:cs="宋体"/>
                <w:b w:val="0"/>
                <w:kern w:val="2"/>
                <w:sz w:val="21"/>
                <w:szCs w:val="21"/>
                <w:lang w:val="en-US" w:eastAsia="zh-CN" w:bidi="ar-SA"/>
              </w:rPr>
              <w:t>[10] 董艳，夏亮亮，王良辉.新课标背景下的跨学科学习：内涵、设置逻辑、实践原则与基础[J].现代教育技术，2023，33(2)：24-32.</w:t>
            </w:r>
          </w:p>
          <w:p w14:paraId="12A01697">
            <w:pPr>
              <w:spacing w:line="480" w:lineRule="auto"/>
              <w:rPr>
                <w:rFonts w:ascii="等线" w:hAnsi="等线" w:eastAsia="黑体"/>
                <w:szCs w:val="24"/>
              </w:rPr>
            </w:pPr>
          </w:p>
        </w:tc>
      </w:tr>
    </w:tbl>
    <w:p w14:paraId="17A5ED8B">
      <w:pPr>
        <w:ind w:firstLine="420" w:firstLineChars="200"/>
        <w:rPr>
          <w:rFonts w:hint="eastAsia" w:ascii="等线" w:hAnsi="等线" w:eastAsia="等线"/>
          <w:szCs w:val="24"/>
        </w:rPr>
      </w:pPr>
    </w:p>
    <w:p w14:paraId="38A3B7F9">
      <w:pPr>
        <w:ind w:firstLine="420" w:firstLineChars="200"/>
        <w:rPr>
          <w:rFonts w:hint="eastAsia" w:ascii="等线" w:hAnsi="等线" w:eastAsia="等线"/>
          <w:szCs w:val="24"/>
        </w:rPr>
      </w:pPr>
    </w:p>
    <w:p w14:paraId="56A668EE">
      <w:pPr>
        <w:ind w:firstLine="420" w:firstLineChars="200"/>
        <w:rPr>
          <w:rFonts w:hint="eastAsia" w:ascii="等线" w:hAnsi="等线" w:eastAsia="等线"/>
          <w:szCs w:val="24"/>
        </w:rPr>
      </w:pPr>
    </w:p>
    <w:p w14:paraId="6F4B6B94">
      <w:pPr>
        <w:ind w:firstLine="420" w:firstLineChars="200"/>
        <w:rPr>
          <w:rFonts w:hint="eastAsia" w:ascii="等线" w:hAnsi="等线" w:eastAsia="等线"/>
          <w:szCs w:val="24"/>
        </w:rPr>
      </w:pPr>
    </w:p>
    <w:p w14:paraId="5B63189E">
      <w:pPr>
        <w:ind w:firstLine="420" w:firstLineChars="200"/>
        <w:rPr>
          <w:rFonts w:hint="eastAsia" w:ascii="等线" w:hAnsi="等线" w:eastAsia="等线"/>
          <w:szCs w:val="24"/>
        </w:rPr>
      </w:pPr>
    </w:p>
    <w:p w14:paraId="5D1F6A82">
      <w:pPr>
        <w:ind w:firstLine="420" w:firstLineChars="200"/>
        <w:rPr>
          <w:rFonts w:hint="eastAsia" w:ascii="等线" w:hAnsi="等线" w:eastAsia="等线"/>
          <w:szCs w:val="24"/>
        </w:rPr>
      </w:pPr>
    </w:p>
    <w:p w14:paraId="06723304">
      <w:pPr>
        <w:ind w:firstLine="420" w:firstLineChars="200"/>
        <w:rPr>
          <w:rFonts w:hint="eastAsia" w:ascii="等线" w:hAnsi="等线" w:eastAsia="等线"/>
          <w:szCs w:val="24"/>
        </w:rPr>
      </w:pPr>
    </w:p>
    <w:p w14:paraId="01680430">
      <w:pPr>
        <w:ind w:firstLine="420" w:firstLineChars="200"/>
        <w:rPr>
          <w:rFonts w:hint="eastAsia" w:ascii="等线" w:hAnsi="等线" w:eastAsia="等线"/>
          <w:szCs w:val="24"/>
        </w:rPr>
      </w:pPr>
    </w:p>
    <w:p w14:paraId="1EDC4771">
      <w:pPr>
        <w:ind w:firstLine="420" w:firstLineChars="200"/>
        <w:rPr>
          <w:rFonts w:hint="eastAsia" w:ascii="等线" w:hAnsi="等线" w:eastAsia="等线"/>
          <w:szCs w:val="24"/>
        </w:rPr>
      </w:pPr>
    </w:p>
    <w:p w14:paraId="4E3DE893">
      <w:pPr>
        <w:ind w:firstLine="420" w:firstLineChars="200"/>
        <w:rPr>
          <w:rFonts w:hint="eastAsia" w:ascii="等线" w:hAnsi="等线" w:eastAsia="等线"/>
          <w:szCs w:val="24"/>
        </w:rPr>
      </w:pPr>
    </w:p>
    <w:p w14:paraId="1FE3CE76">
      <w:pPr>
        <w:ind w:firstLine="420" w:firstLineChars="200"/>
        <w:rPr>
          <w:rFonts w:hint="eastAsia" w:ascii="等线" w:hAnsi="等线" w:eastAsia="等线"/>
          <w:szCs w:val="24"/>
        </w:rPr>
      </w:pPr>
    </w:p>
    <w:p w14:paraId="2B9DC542">
      <w:pPr>
        <w:ind w:firstLine="420" w:firstLineChars="200"/>
        <w:rPr>
          <w:rFonts w:hint="eastAsia" w:ascii="等线" w:hAnsi="等线" w:eastAsia="等线"/>
          <w:szCs w:val="24"/>
        </w:rPr>
      </w:pPr>
    </w:p>
    <w:p w14:paraId="57737EBD">
      <w:pPr>
        <w:ind w:firstLine="420" w:firstLineChars="200"/>
        <w:rPr>
          <w:rFonts w:hint="eastAsia" w:ascii="等线" w:hAnsi="等线" w:eastAsia="等线"/>
          <w:szCs w:val="24"/>
        </w:rPr>
      </w:pPr>
    </w:p>
    <w:p w14:paraId="550777F7">
      <w:pPr>
        <w:ind w:firstLine="420" w:firstLineChars="200"/>
        <w:rPr>
          <w:rFonts w:hint="eastAsia" w:ascii="等线" w:hAnsi="等线" w:eastAsia="等线"/>
          <w:szCs w:val="24"/>
        </w:rPr>
      </w:pPr>
    </w:p>
    <w:p w14:paraId="2A349E0E">
      <w:pPr>
        <w:ind w:firstLine="420" w:firstLineChars="200"/>
        <w:rPr>
          <w:rFonts w:hint="eastAsia" w:ascii="等线" w:hAnsi="等线" w:eastAsia="等线"/>
          <w:szCs w:val="24"/>
        </w:rPr>
      </w:pPr>
    </w:p>
    <w:p w14:paraId="313AB0B5">
      <w:pPr>
        <w:ind w:firstLine="420" w:firstLineChars="200"/>
        <w:rPr>
          <w:rFonts w:hint="eastAsia" w:ascii="等线" w:hAnsi="等线" w:eastAsia="等线"/>
          <w:szCs w:val="24"/>
        </w:rPr>
      </w:pPr>
    </w:p>
    <w:p w14:paraId="381C288C">
      <w:pPr>
        <w:rPr>
          <w:rFonts w:hint="eastAsia" w:ascii="等线" w:hAnsi="等线" w:eastAsia="等线"/>
          <w:szCs w:val="24"/>
        </w:rPr>
      </w:pPr>
    </w:p>
    <w:p w14:paraId="34B8CCF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C33111"/>
    <w:rsid w:val="3ADD3588"/>
    <w:rsid w:val="722151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5939</Words>
  <Characters>6211</Characters>
  <TotalTime>2</TotalTime>
  <ScaleCrop>false</ScaleCrop>
  <LinksUpToDate>false</LinksUpToDate>
  <CharactersWithSpaces>6221</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2026-10-31T14:26:00Z</dcterms:created>
  <dc:creator>Administrator</dc:creator>
  <cp:lastModifiedBy>WPS_1510448543</cp:lastModifiedBy>
  <dcterms:modified xsi:type="dcterms:W3CDTF">2026-10-31T06:36:43Z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eyJoZGlkIjoiYmJkN2QxYmQ3ZmQ5ZGNjNjNhZDIwZGU1MmIxMzUwNDEiLCJ1c2VySWQiOiIzMjIyMDE1NzcifQ==</vt:lpwstr>
  </property>
  <property fmtid="{D5CDD505-2E9C-101B-9397-08002B2CF9AE}" pid="4" name="ICV">
    <vt:lpwstr>53D6EF9D02B84804B5F27E7F2397984E_12</vt:lpwstr>
  </property>
</Properties>
</file>