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b/>
          <w:bCs/>
          <w:color w:val="5B3A1F"/>
          <w:sz w:val="44"/>
          <w:szCs w:val="44"/>
        </w:rPr>
        <w:t xml:space="preserve">Your Dressage Journey</w:t>
      </w:r>
    </w:p>
    <w:p>
      <w:pPr>
        <w:spacing w:after="40"/>
        <w:jc w:val="center"/>
      </w:pPr>
      <w:r>
        <w:rPr>
          <w:b/>
          <w:bCs/>
          <w:color w:val="B08A3E"/>
          <w:sz w:val="32"/>
          <w:szCs w:val="32"/>
        </w:rPr>
        <w:t xml:space="preserve">Centerline Founders Launch Campaign</w:t>
      </w:r>
    </w:p>
    <w:p>
      <w:pPr>
        <w:spacing w:after="240"/>
        <w:jc w:val="center"/>
      </w:pPr>
      <w:r>
        <w:rPr>
          <w:i/>
          <w:iCs/>
          <w:sz w:val="24"/>
          <w:szCs w:val="24"/>
        </w:rPr>
        <w:t xml:space="preserve">Marketing Plan  —  May 10 to July 7, 2026</w:t>
      </w:r>
    </w:p>
    <w:p>
      <w:pPr>
        <w:pStyle w:val="Heading1"/>
        <w:spacing w:after="160" w:before="360"/>
      </w:pPr>
      <w:r>
        <w:rPr>
          <w:b/>
          <w:bCs/>
          <w:color w:val="5B3A1F"/>
          <w:sz w:val="36"/>
          <w:szCs w:val="36"/>
        </w:rPr>
        <w:t xml:space="preserve">1. Campaign Overview</w:t>
      </w:r>
    </w:p>
    <w:p>
      <w:pPr>
        <w:spacing w:after="100"/>
      </w:pPr>
      <w:r>
        <w:t xml:space="preserve">This is a focused, founder-led, 8-week launch campaign for Your Dressage Journey (YDJ). One person can run it. The plan is structured around three locked dates that drive every decision:</w:t>
      </w:r>
    </w:p>
    <w:p>
      <w:pPr>
        <w:pStyle w:val="ListParagraph"/>
        <w:numPr>
          <w:ilvl w:val="0"/>
          <w:numId w:val="2"/>
        </w:numPr>
        <w:spacing w:after="60"/>
      </w:pPr>
      <w:r>
        <w:t xml:space="preserve">May 15, 2026 — Pilot ends. Existing pilot users move into a read-only grace window.</w:t>
      </w:r>
    </w:p>
    <w:p>
      <w:pPr>
        <w:pStyle w:val="ListParagraph"/>
        <w:numPr>
          <w:ilvl w:val="0"/>
          <w:numId w:val="2"/>
        </w:numPr>
        <w:spacing w:after="60"/>
      </w:pPr>
      <w:r>
        <w:t xml:space="preserve">June 1, 2026 — Paid tiers go live. Working, Medium, and Extended plans become purchasable.</w:t>
      </w:r>
    </w:p>
    <w:p>
      <w:pPr>
        <w:pStyle w:val="ListParagraph"/>
        <w:numPr>
          <w:ilvl w:val="0"/>
          <w:numId w:val="2"/>
        </w:numPr>
        <w:spacing w:after="60"/>
      </w:pPr>
      <w:r>
        <w:t xml:space="preserve">July 1–5, 2026 — National Dressage Pony Cup (NDPC). YDJ has a vendor table, prize partners, a printed game, and a virtual game with prize notifications.</w:t>
      </w:r>
    </w:p>
    <w:p>
      <w:pPr>
        <w:pStyle w:val="ListParagraph"/>
        <w:numPr>
          <w:ilvl w:val="0"/>
          <w:numId w:val="2"/>
        </w:numPr>
        <w:spacing w:after="60"/>
      </w:pPr>
      <w:r>
        <w:t xml:space="preserve">July 8, 2026 — Initial Centerline (IC) founder cohort closes. 100 lifetime-rate annual seats; this is the campaign’s primary money moment.</w:t>
      </w:r>
    </w:p>
    <w:p>
      <w:pPr>
        <w:pStyle w:val="Heading2"/>
        <w:spacing w:after="120" w:before="240"/>
      </w:pPr>
      <w:r>
        <w:rPr>
          <w:b/>
          <w:bCs/>
          <w:color w:val="5B3A1F"/>
          <w:sz w:val="28"/>
          <w:szCs w:val="28"/>
        </w:rPr>
        <w:t xml:space="preserve">Campaign Summary</w:t>
      </w:r>
    </w:p>
    <w:p>
      <w:pPr>
        <w:spacing w:after="100"/>
      </w:pPr>
      <w:r>
        <w:t xml:space="preserve">Use NDPC as the marquee live moment to fill the Initial Centerline cohort and convert pilot users to paid tiers, anchored by a steady drip of rider and clinician YouTube content and weekly founder posts.</w:t>
      </w:r>
    </w:p>
    <w:p>
      <w:pPr>
        <w:pStyle w:val="Heading2"/>
        <w:spacing w:after="120" w:before="240"/>
      </w:pPr>
      <w:r>
        <w:rPr>
          <w:b/>
          <w:bCs/>
          <w:color w:val="5B3A1F"/>
          <w:sz w:val="28"/>
          <w:szCs w:val="28"/>
        </w:rPr>
        <w:t xml:space="preserve">Primary Objective (SMART)</w:t>
      </w:r>
    </w:p>
    <w:p>
      <w:pPr>
        <w:spacing w:after="100"/>
      </w:pPr>
      <w:r>
        <w:rPr>
          <w:b/>
          <w:bCs/>
        </w:rPr>
        <w:t xml:space="preserve">Enroll </w:t>
      </w:r>
      <w:r>
        <w:rPr>
          <w:b/>
          <w:bCs/>
          <w:color w:val="B08A3E"/>
        </w:rPr>
        <w:t xml:space="preserve">50 of the 100 Initial Centerline annual seats</w:t>
      </w:r>
      <w:r>
        <w:rPr>
          <w:b/>
          <w:bCs/>
        </w:rPr>
        <w:t xml:space="preserve"> by 11:59pm on July 7, 2026.</w:t>
      </w:r>
    </w:p>
    <w:p>
      <w:pPr>
        <w:spacing w:after="100"/>
      </w:pPr>
      <w:r>
        <w:t xml:space="preserve">Why 50: it is ambitious for a solo launch but well below the 100 cap, leaving room for a final-week surge from NDPC and the closing email push. Adjust upward if pilot conversion runs hot in the first two weeks.</w:t>
      </w:r>
    </w:p>
    <w:p>
      <w:pPr>
        <w:pStyle w:val="Heading2"/>
        <w:spacing w:after="120" w:before="240"/>
      </w:pPr>
      <w:r>
        <w:rPr>
          <w:b/>
          <w:bCs/>
          <w:color w:val="5B3A1F"/>
          <w:sz w:val="28"/>
          <w:szCs w:val="28"/>
        </w:rPr>
        <w:t xml:space="preserve">Secondary Objectives</w:t>
      </w:r>
    </w:p>
    <w:p>
      <w:pPr>
        <w:pStyle w:val="ListParagraph"/>
        <w:numPr>
          <w:ilvl w:val="0"/>
          <w:numId w:val="2"/>
        </w:numPr>
        <w:spacing w:after="60"/>
      </w:pPr>
      <w:r>
        <w:t xml:space="preserve">Convert at least 30% of active pilot users to a paid monthly or annual tier by July 7.</w:t>
      </w:r>
    </w:p>
    <w:p>
      <w:pPr>
        <w:pStyle w:val="ListParagraph"/>
        <w:numPr>
          <w:ilvl w:val="0"/>
          <w:numId w:val="2"/>
        </w:numPr>
        <w:spacing w:after="60"/>
      </w:pPr>
      <w:r>
        <w:t xml:space="preserve">Grow the YDJ email list by 500 subscribers (mostly from NDPC and YouTube).</w:t>
      </w:r>
    </w:p>
    <w:p>
      <w:pPr>
        <w:pStyle w:val="ListParagraph"/>
        <w:numPr>
          <w:ilvl w:val="0"/>
          <w:numId w:val="2"/>
        </w:numPr>
        <w:spacing w:after="60"/>
      </w:pPr>
      <w:r>
        <w:t xml:space="preserve">Make all 15 YouTube videos public on a release schedule and gain 250 channel subscribers.</w:t>
      </w:r>
    </w:p>
    <w:p>
      <w:pPr>
        <w:pStyle w:val="ListParagraph"/>
        <w:numPr>
          <w:ilvl w:val="0"/>
          <w:numId w:val="2"/>
        </w:numPr>
        <w:spacing w:after="60"/>
      </w:pPr>
      <w:r>
        <w:t xml:space="preserve">Capture 75 in-person email signups at the NDPC booth.</w:t>
      </w:r>
    </w:p>
    <w:p>
      <w:pPr>
        <w:pStyle w:val="Heading1"/>
        <w:spacing w:after="160" w:before="360"/>
      </w:pPr>
      <w:r>
        <w:rPr>
          <w:b/>
          <w:bCs/>
          <w:color w:val="5B3A1F"/>
          <w:sz w:val="36"/>
          <w:szCs w:val="36"/>
        </w:rPr>
        <w:t xml:space="preserve">2. Target Audience</w:t>
      </w:r>
    </w:p>
    <w:p>
      <w:pPr>
        <w:pStyle w:val="Heading2"/>
        <w:spacing w:after="120" w:before="240"/>
      </w:pPr>
      <w:r>
        <w:rPr>
          <w:b/>
          <w:bCs/>
          <w:color w:val="5B3A1F"/>
          <w:sz w:val="28"/>
          <w:szCs w:val="28"/>
        </w:rPr>
        <w:t xml:space="preserve">Primary: Adult Amateur Dressage Riders</w:t>
      </w:r>
    </w:p>
    <w:p>
      <w:pPr>
        <w:spacing w:after="100"/>
      </w:pPr>
      <w:r>
        <w:t xml:space="preserve">Mid-30s to early-60s. Riding and showing at Training through PSG. They keep notebooks, voice memos, or scattered journals — or they wish they did. They are frustrated by the gap between weekly lessons and what they actually remember a week later. They follow specific clinicians on YouTube, belong to USDF and a regional GMO, are active in two or three Facebook dressage groups, and lurk on Chronicle of the Horse forums.</w:t>
      </w:r>
    </w:p>
    <w:p>
      <w:pPr>
        <w:pStyle w:val="Heading3"/>
        <w:spacing w:after="80" w:before="180"/>
      </w:pPr>
      <w:r>
        <w:rPr>
          <w:b/>
          <w:bCs/>
          <w:color w:val="B08A3E"/>
          <w:sz w:val="24"/>
          <w:szCs w:val="24"/>
        </w:rPr>
        <w:t xml:space="preserve">Pain Points</w:t>
      </w:r>
    </w:p>
    <w:p>
      <w:pPr>
        <w:pStyle w:val="ListParagraph"/>
        <w:numPr>
          <w:ilvl w:val="0"/>
          <w:numId w:val="2"/>
        </w:numPr>
        <w:spacing w:after="60"/>
      </w:pPr>
      <w:r>
        <w:t xml:space="preserve">“I know I learned something at that lesson, but I can’t get back to it on Tuesday.”</w:t>
      </w:r>
    </w:p>
    <w:p>
      <w:pPr>
        <w:pStyle w:val="ListParagraph"/>
        <w:numPr>
          <w:ilvl w:val="0"/>
          <w:numId w:val="2"/>
        </w:numPr>
        <w:spacing w:after="60"/>
      </w:pPr>
      <w:r>
        <w:t xml:space="preserve">“My coach can’t see what I did between sessions, so we keep starting over.”</w:t>
      </w:r>
    </w:p>
    <w:p>
      <w:pPr>
        <w:pStyle w:val="ListParagraph"/>
        <w:numPr>
          <w:ilvl w:val="0"/>
          <w:numId w:val="2"/>
        </w:numPr>
        <w:spacing w:after="60"/>
      </w:pPr>
      <w:r>
        <w:t xml:space="preserve">“I journal sometimes, but no one ever reads it back — including me.”</w:t>
      </w:r>
    </w:p>
    <w:p>
      <w:pPr>
        <w:pStyle w:val="ListParagraph"/>
        <w:numPr>
          <w:ilvl w:val="0"/>
          <w:numId w:val="2"/>
        </w:numPr>
        <w:spacing w:after="60"/>
      </w:pPr>
      <w:r>
        <w:t xml:space="preserve">“I feel things in my body during a ride and they vanish before I can name them.”</w:t>
      </w:r>
    </w:p>
    <w:p>
      <w:pPr>
        <w:pStyle w:val="Heading3"/>
        <w:spacing w:after="80" w:before="180"/>
      </w:pPr>
      <w:r>
        <w:rPr>
          <w:b/>
          <w:bCs/>
          <w:color w:val="B08A3E"/>
          <w:sz w:val="24"/>
          <w:szCs w:val="24"/>
        </w:rPr>
        <w:t xml:space="preserve">Where They Spend Time</w:t>
      </w:r>
    </w:p>
    <w:p>
      <w:pPr>
        <w:pStyle w:val="ListParagraph"/>
        <w:numPr>
          <w:ilvl w:val="0"/>
          <w:numId w:val="2"/>
        </w:numPr>
        <w:spacing w:after="60"/>
      </w:pPr>
      <w:r>
        <w:t xml:space="preserve">Facebook: Adult Amateur Dressage, USDF, regional GMO groups, breed-specific dressage groups.</w:t>
      </w:r>
    </w:p>
    <w:p>
      <w:pPr>
        <w:pStyle w:val="ListParagraph"/>
        <w:numPr>
          <w:ilvl w:val="0"/>
          <w:numId w:val="2"/>
        </w:numPr>
        <w:spacing w:after="60"/>
      </w:pPr>
      <w:r>
        <w:t xml:space="preserve">YouTube: clinicians, training channels, ride-along videos.</w:t>
      </w:r>
    </w:p>
    <w:p>
      <w:pPr>
        <w:pStyle w:val="ListParagraph"/>
        <w:numPr>
          <w:ilvl w:val="0"/>
          <w:numId w:val="2"/>
        </w:numPr>
        <w:spacing w:after="60"/>
      </w:pPr>
      <w:r>
        <w:t xml:space="preserve">Instagram: barn life, show recaps, training reels.</w:t>
      </w:r>
    </w:p>
    <w:p>
      <w:pPr>
        <w:pStyle w:val="ListParagraph"/>
        <w:numPr>
          <w:ilvl w:val="0"/>
          <w:numId w:val="2"/>
        </w:numPr>
        <w:spacing w:after="60"/>
      </w:pPr>
      <w:r>
        <w:t xml:space="preserve">In person: clinics, schooling shows, USDF rated shows, NDPC.</w:t>
      </w:r>
    </w:p>
    <w:p>
      <w:pPr>
        <w:pStyle w:val="Heading2"/>
        <w:spacing w:after="120" w:before="240"/>
      </w:pPr>
      <w:r>
        <w:rPr>
          <w:b/>
          <w:bCs/>
          <w:color w:val="5B3A1F"/>
          <w:sz w:val="28"/>
          <w:szCs w:val="28"/>
        </w:rPr>
        <w:t xml:space="preserve">Secondary: Active Pilot Users</w:t>
      </w:r>
    </w:p>
    <w:p>
      <w:pPr>
        <w:spacing w:after="100"/>
      </w:pPr>
      <w:r>
        <w:t xml:space="preserve">Already convinced of the input experience. Need a confident, warm hand-off into a paid tier with a real reason to choose Initial Centerline now (lifetime founder rate, 6-month upgrade window, scarcity).</w:t>
      </w:r>
    </w:p>
    <w:p>
      <w:pPr>
        <w:pStyle w:val="Heading2"/>
        <w:spacing w:after="120" w:before="240"/>
      </w:pPr>
      <w:r>
        <w:rPr>
          <w:b/>
          <w:bCs/>
          <w:color w:val="5B3A1F"/>
          <w:sz w:val="28"/>
          <w:szCs w:val="28"/>
        </w:rPr>
        <w:t xml:space="preserve">NDPC-Specific Audience</w:t>
      </w:r>
    </w:p>
    <w:p>
      <w:pPr>
        <w:spacing w:after="100"/>
      </w:pPr>
      <w:r>
        <w:t xml:space="preserve">Pony Cup competitors and their support people skew tight-knit, social, and word-of-mouth driven. Smaller community than open dressage — a great seed audience. The vendor table, printed game, and on-site prizes are specifically built for this in-person moment.</w:t>
      </w:r>
    </w:p>
    <w:p>
      <w:pPr>
        <w:pStyle w:val="Heading1"/>
        <w:spacing w:after="160" w:before="360"/>
      </w:pPr>
      <w:r>
        <w:rPr>
          <w:b/>
          <w:bCs/>
          <w:color w:val="5B3A1F"/>
          <w:sz w:val="36"/>
          <w:szCs w:val="36"/>
        </w:rPr>
        <w:t xml:space="preserve">3. Key Messages</w:t>
      </w:r>
    </w:p>
    <w:p>
      <w:pPr>
        <w:pStyle w:val="Heading2"/>
        <w:spacing w:after="120" w:before="240"/>
      </w:pPr>
      <w:r>
        <w:rPr>
          <w:b/>
          <w:bCs/>
          <w:color w:val="5B3A1F"/>
          <w:sz w:val="28"/>
          <w:szCs w:val="28"/>
        </w:rPr>
        <w:t xml:space="preserve">Core Message</w:t>
      </w:r>
    </w:p>
    <w:p>
      <w:pPr>
        <w:spacing w:after="100"/>
      </w:pPr>
      <w:r>
        <w:rPr>
          <w:b/>
          <w:bCs/>
          <w:color w:val="5B3A1F"/>
        </w:rPr>
        <w:t xml:space="preserve">Stop journaling into a void. </w:t>
      </w:r>
      <w:r>
        <w:rPr>
          <w:b/>
          <w:bCs/>
        </w:rPr>
        <w:t xml:space="preserve">YDJ turns your reflections into coaching that actually remembers — across every ride, every horse, every season.</w:t>
      </w:r>
    </w:p>
    <w:p>
      <w:pPr>
        <w:pStyle w:val="Heading2"/>
        <w:spacing w:after="120" w:before="240"/>
      </w:pPr>
      <w:r>
        <w:rPr>
          <w:b/>
          <w:bCs/>
          <w:color w:val="5B3A1F"/>
          <w:sz w:val="28"/>
          <w:szCs w:val="28"/>
        </w:rPr>
        <w:t xml:space="preserve">Supporting Messages</w:t>
      </w:r>
    </w:p>
    <w:p>
      <w:pPr>
        <w:pStyle w:val="Heading3"/>
        <w:spacing w:after="80" w:before="180"/>
      </w:pPr>
      <w:r>
        <w:rPr>
          <w:b/>
          <w:bCs/>
          <w:color w:val="B08A3E"/>
          <w:sz w:val="24"/>
          <w:szCs w:val="24"/>
        </w:rPr>
        <w:t xml:space="preserve">1. The cross-data pattern story</w:t>
      </w:r>
    </w:p>
    <w:p>
      <w:pPr>
        <w:spacing w:after="100"/>
      </w:pPr>
      <w:r>
        <w:t xml:space="preserve">“You can’t hold every ride, every reflection, and every health note in your head. YDJ can. It looks across all of it and shows you what you’ve been too close to see.”</w:t>
      </w:r>
    </w:p>
    <w:p>
      <w:pPr>
        <w:pStyle w:val="Heading3"/>
        <w:spacing w:after="80" w:before="180"/>
      </w:pPr>
      <w:r>
        <w:rPr>
          <w:b/>
          <w:bCs/>
          <w:color w:val="B08A3E"/>
          <w:sz w:val="24"/>
          <w:szCs w:val="24"/>
        </w:rPr>
        <w:t xml:space="preserve">2. The four-voices story</w:t>
      </w:r>
    </w:p>
    <w:p>
      <w:pPr>
        <w:spacing w:after="100"/>
      </w:pPr>
      <w:r>
        <w:t xml:space="preserve">“One platform, four coaching voices: a Classical Master, an Empathetic Coach, a Technical Coach, and a Practical Strategist. Same data, four lenses — read whichever voice you need that week.”</w:t>
      </w:r>
    </w:p>
    <w:p>
      <w:pPr>
        <w:pStyle w:val="Heading3"/>
        <w:spacing w:after="80" w:before="180"/>
      </w:pPr>
      <w:r>
        <w:rPr>
          <w:b/>
          <w:bCs/>
          <w:color w:val="B08A3E"/>
          <w:sz w:val="24"/>
          <w:szCs w:val="24"/>
        </w:rPr>
        <w:t xml:space="preserve">3. The built-by-an-amateur story</w:t>
      </w:r>
    </w:p>
    <w:p>
      <w:pPr>
        <w:spacing w:after="100"/>
      </w:pPr>
      <w:r>
        <w:t xml:space="preserve">“Built by a 20+ year adult amateur for adult amateurs. Not a pro’s system retrofit. Designed for the rider who fits training around real life.”</w:t>
      </w:r>
    </w:p>
    <w:p>
      <w:pPr>
        <w:pStyle w:val="Heading3"/>
        <w:spacing w:after="80" w:before="180"/>
      </w:pPr>
      <w:r>
        <w:rPr>
          <w:b/>
          <w:bCs/>
          <w:color w:val="B08A3E"/>
          <w:sz w:val="24"/>
          <w:szCs w:val="24"/>
        </w:rPr>
        <w:t xml:space="preserve">4. The founder-rate scarcity story (used June 1 onward)</w:t>
      </w:r>
    </w:p>
    <w:p>
      <w:pPr>
        <w:spacing w:after="100"/>
      </w:pPr>
      <w:r>
        <w:t xml:space="preserve">“100 Initial Centerline seats. Lifetime founder rate while you stay subscribed. After July 8, this rate is gone forever.”</w:t>
      </w:r>
    </w:p>
    <w:p>
      <w:pPr>
        <w:pStyle w:val="Heading2"/>
        <w:spacing w:after="120" w:before="240"/>
      </w:pPr>
      <w:r>
        <w:rPr>
          <w:b/>
          <w:bCs/>
          <w:color w:val="5B3A1F"/>
          <w:sz w:val="28"/>
          <w:szCs w:val="28"/>
        </w:rPr>
        <w:t xml:space="preserve">Proof Points</w:t>
      </w:r>
    </w:p>
    <w:p>
      <w:pPr>
        <w:pStyle w:val="ListParagraph"/>
        <w:numPr>
          <w:ilvl w:val="0"/>
          <w:numId w:val="2"/>
        </w:numPr>
        <w:spacing w:after="60"/>
      </w:pPr>
      <w:r>
        <w:t xml:space="preserve">Pilot rider quotes captured during the Feb–May pilot (anonymized, with permission).</w:t>
      </w:r>
    </w:p>
    <w:p>
      <w:pPr>
        <w:pStyle w:val="ListParagraph"/>
        <w:numPr>
          <w:ilvl w:val="0"/>
          <w:numId w:val="2"/>
        </w:numPr>
        <w:spacing w:after="60"/>
      </w:pPr>
      <w:r>
        <w:t xml:space="preserve">Clinician video reflections (your existing 15 YouTube videos).</w:t>
      </w:r>
    </w:p>
    <w:p>
      <w:pPr>
        <w:pStyle w:val="ListParagraph"/>
        <w:numPr>
          <w:ilvl w:val="0"/>
          <w:numId w:val="2"/>
        </w:numPr>
        <w:spacing w:after="60"/>
      </w:pPr>
      <w:r>
        <w:t xml:space="preserve">Founder credibility: 20+ years in dressage, building this from inside the discipline.</w:t>
      </w:r>
    </w:p>
    <w:p>
      <w:pPr>
        <w:pStyle w:val="ListParagraph"/>
        <w:numPr>
          <w:ilvl w:val="0"/>
          <w:numId w:val="2"/>
        </w:numPr>
        <w:spacing w:after="60"/>
      </w:pPr>
      <w:r>
        <w:t xml:space="preserve">Six-category reflection framework grounded in skill development research.</w:t>
      </w:r>
    </w:p>
    <w:p>
      <w:pPr>
        <w:pStyle w:val="Heading1"/>
        <w:spacing w:after="160" w:before="360"/>
      </w:pPr>
      <w:r>
        <w:rPr>
          <w:b/>
          <w:bCs/>
          <w:color w:val="5B3A1F"/>
          <w:sz w:val="36"/>
          <w:szCs w:val="36"/>
        </w:rPr>
        <w:t xml:space="preserve">4. Channel Strategy</w:t>
      </w:r>
    </w:p>
    <w:p>
      <w:pPr>
        <w:spacing w:after="100"/>
      </w:pPr>
      <w:r>
        <w:t xml:space="preserve">Eight channels, ranked by leverage for a one-person team. Owned channels (YouTube, email, social) carry the campaign; earned channels (NDPC partner posts, dressage groups) extend reach for free; paid is used surgically to amplify what is already working.</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1900"/>
        <w:gridCol w:w="1200"/>
        <w:gridCol w:w="1100"/>
      </w:tblGrid>
      <w:tr>
        <w:trPr>
          <w:tblHeader/>
        </w:trPr>
        <w:tc>
          <w:tcPr>
            <w:tcW w:type="dxa" w:w="1500"/>
            <w:tcBorders>
              <w:top w:val="single" w:color="BFBFBF" w:sz="4"/>
              <w:left w:val="single" w:color="BFBFBF" w:sz="4"/>
              <w:bottom w:val="single" w:color="BFBFBF" w:sz="4"/>
              <w:right w:val="single" w:color="BFBFBF" w:sz="4"/>
            </w:tcBorders>
            <w:shd w:fill="F2E6D0" w:val="clear"/>
            <w:tcMar>
              <w:top w:type="dxa" w:w="80"/>
              <w:left w:type="dxa" w:w="120"/>
              <w:bottom w:type="dxa" w:w="80"/>
              <w:right w:type="dxa" w:w="120"/>
            </w:tcMar>
          </w:tcPr>
          <w:p>
            <w:r>
              <w:rPr>
                <w:b/>
                <w:bCs/>
                <w:color w:val="5B3A1F"/>
              </w:rPr>
              <w:t xml:space="preserve">Channel</w:t>
            </w:r>
          </w:p>
        </w:tc>
        <w:tc>
          <w:tcPr>
            <w:tcW w:type="dxa" w:w="2700"/>
            <w:tcBorders>
              <w:top w:val="single" w:color="BFBFBF" w:sz="4"/>
              <w:left w:val="single" w:color="BFBFBF" w:sz="4"/>
              <w:bottom w:val="single" w:color="BFBFBF" w:sz="4"/>
              <w:right w:val="single" w:color="BFBFBF" w:sz="4"/>
            </w:tcBorders>
            <w:shd w:fill="F2E6D0" w:val="clear"/>
            <w:tcMar>
              <w:top w:type="dxa" w:w="80"/>
              <w:left w:type="dxa" w:w="120"/>
              <w:bottom w:type="dxa" w:w="80"/>
              <w:right w:type="dxa" w:w="120"/>
            </w:tcMar>
          </w:tcPr>
          <w:p>
            <w:r>
              <w:rPr>
                <w:b/>
                <w:bCs/>
                <w:color w:val="5B3A1F"/>
              </w:rPr>
              <w:t xml:space="preserve">Why it fits</w:t>
            </w:r>
          </w:p>
        </w:tc>
        <w:tc>
          <w:tcPr>
            <w:tcW w:type="dxa" w:w="1900"/>
            <w:tcBorders>
              <w:top w:val="single" w:color="BFBFBF" w:sz="4"/>
              <w:left w:val="single" w:color="BFBFBF" w:sz="4"/>
              <w:bottom w:val="single" w:color="BFBFBF" w:sz="4"/>
              <w:right w:val="single" w:color="BFBFBF" w:sz="4"/>
            </w:tcBorders>
            <w:shd w:fill="F2E6D0" w:val="clear"/>
            <w:tcMar>
              <w:top w:type="dxa" w:w="80"/>
              <w:left w:type="dxa" w:w="120"/>
              <w:bottom w:type="dxa" w:w="80"/>
              <w:right w:type="dxa" w:w="120"/>
            </w:tcMar>
          </w:tcPr>
          <w:p>
            <w:r>
              <w:rPr>
                <w:b/>
                <w:bCs/>
                <w:color w:val="5B3A1F"/>
              </w:rPr>
              <w:t xml:space="preserve">Format</w:t>
            </w:r>
          </w:p>
        </w:tc>
        <w:tc>
          <w:tcPr>
            <w:tcW w:type="dxa" w:w="1200"/>
            <w:tcBorders>
              <w:top w:val="single" w:color="BFBFBF" w:sz="4"/>
              <w:left w:val="single" w:color="BFBFBF" w:sz="4"/>
              <w:bottom w:val="single" w:color="BFBFBF" w:sz="4"/>
              <w:right w:val="single" w:color="BFBFBF" w:sz="4"/>
            </w:tcBorders>
            <w:shd w:fill="F2E6D0" w:val="clear"/>
            <w:tcMar>
              <w:top w:type="dxa" w:w="80"/>
              <w:left w:type="dxa" w:w="120"/>
              <w:bottom w:type="dxa" w:w="80"/>
              <w:right w:type="dxa" w:w="120"/>
            </w:tcMar>
          </w:tcPr>
          <w:p>
            <w:r>
              <w:rPr>
                <w:b/>
                <w:bCs/>
                <w:color w:val="5B3A1F"/>
              </w:rPr>
              <w:t xml:space="preserve">Effort</w:t>
            </w:r>
          </w:p>
        </w:tc>
        <w:tc>
          <w:tcPr>
            <w:tcW w:type="dxa" w:w="1100"/>
            <w:tcBorders>
              <w:top w:val="single" w:color="BFBFBF" w:sz="4"/>
              <w:left w:val="single" w:color="BFBFBF" w:sz="4"/>
              <w:bottom w:val="single" w:color="BFBFBF" w:sz="4"/>
              <w:right w:val="single" w:color="BFBFBF" w:sz="4"/>
            </w:tcBorders>
            <w:shd w:fill="F2E6D0" w:val="clear"/>
            <w:tcMar>
              <w:top w:type="dxa" w:w="80"/>
              <w:left w:type="dxa" w:w="120"/>
              <w:bottom w:type="dxa" w:w="80"/>
              <w:right w:type="dxa" w:w="120"/>
            </w:tcMar>
          </w:tcPr>
          <w:p>
            <w:r>
              <w:rPr>
                <w:b/>
                <w:bCs/>
                <w:color w:val="5B3A1F"/>
              </w:rPr>
              <w:t xml:space="preserve">Spend</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YouTube (owned)</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Existing 15-video bank of riders + clinicians answering reflection questions — use as the campaign’s anchor library.</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Schedule public releases 2x/week</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Low</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$0</w:t>
            </w:r>
          </w:p>
        </w:tc>
      </w:tr>
      <w:tr>
        <w:tc>
          <w:tcPr>
            <w:tcW w:type="dxa" w:w="1500"/>
            <w:tcBorders>
              <w:top w:val="single" w:color="BFBFBF" w:sz="4"/>
              <w:left w:val="single" w:color="BFBFBF" w:sz="4"/>
              <w:bottom w:val="single" w:color="BFBFBF" w:sz="4"/>
              <w:right w:val="single" w:color="BFBFBF" w:sz="4"/>
            </w:tcBorders>
            <w:shd w:fill="FAF6EC" w:val="clear"/>
            <w:tcMar>
              <w:top w:type="dxa" w:w="80"/>
              <w:left w:type="dxa" w:w="120"/>
              <w:bottom w:type="dxa" w:w="80"/>
              <w:right w:type="dxa" w:w="120"/>
            </w:tcMar>
          </w:tcPr>
          <w:p>
            <w:r>
              <w:t xml:space="preserve">Email (owned)</w:t>
            </w:r>
          </w:p>
        </w:tc>
        <w:tc>
          <w:tcPr>
            <w:tcW w:type="dxa" w:w="2700"/>
            <w:tcBorders>
              <w:top w:val="single" w:color="BFBFBF" w:sz="4"/>
              <w:left w:val="single" w:color="BFBFBF" w:sz="4"/>
              <w:bottom w:val="single" w:color="BFBFBF" w:sz="4"/>
              <w:right w:val="single" w:color="BFBFBF" w:sz="4"/>
            </w:tcBorders>
            <w:shd w:fill="FAF6EC" w:val="clear"/>
            <w:tcMar>
              <w:top w:type="dxa" w:w="80"/>
              <w:left w:type="dxa" w:w="120"/>
              <w:bottom w:type="dxa" w:w="80"/>
              <w:right w:type="dxa" w:w="120"/>
            </w:tcMar>
          </w:tcPr>
          <w:p>
            <w:r>
              <w:t xml:space="preserve">Pilot users + new captures are the warmest IC audience. Email is the conversion workhorse.</w:t>
            </w:r>
          </w:p>
        </w:tc>
        <w:tc>
          <w:tcPr>
            <w:tcW w:type="dxa" w:w="1900"/>
            <w:tcBorders>
              <w:top w:val="single" w:color="BFBFBF" w:sz="4"/>
              <w:left w:val="single" w:color="BFBFBF" w:sz="4"/>
              <w:bottom w:val="single" w:color="BFBFBF" w:sz="4"/>
              <w:right w:val="single" w:color="BFBFBF" w:sz="4"/>
            </w:tcBorders>
            <w:shd w:fill="FAF6EC" w:val="clear"/>
            <w:tcMar>
              <w:top w:type="dxa" w:w="80"/>
              <w:left w:type="dxa" w:w="120"/>
              <w:bottom w:type="dxa" w:w="80"/>
              <w:right w:type="dxa" w:w="120"/>
            </w:tcMar>
          </w:tcPr>
          <w:p>
            <w:r>
              <w:t xml:space="preserve">Newsletter + sequence</w:t>
            </w:r>
          </w:p>
        </w:tc>
        <w:tc>
          <w:tcPr>
            <w:tcW w:type="dxa" w:w="1200"/>
            <w:tcBorders>
              <w:top w:val="single" w:color="BFBFBF" w:sz="4"/>
              <w:left w:val="single" w:color="BFBFBF" w:sz="4"/>
              <w:bottom w:val="single" w:color="BFBFBF" w:sz="4"/>
              <w:right w:val="single" w:color="BFBFBF" w:sz="4"/>
            </w:tcBorders>
            <w:shd w:fill="FAF6EC" w:val="clear"/>
            <w:tcMar>
              <w:top w:type="dxa" w:w="80"/>
              <w:left w:type="dxa" w:w="120"/>
              <w:bottom w:type="dxa" w:w="80"/>
              <w:right w:type="dxa" w:w="120"/>
            </w:tcMar>
          </w:tcPr>
          <w:p>
            <w:r>
              <w:t xml:space="preserve">Medium</w:t>
            </w:r>
          </w:p>
        </w:tc>
        <w:tc>
          <w:tcPr>
            <w:tcW w:type="dxa" w:w="1100"/>
            <w:tcBorders>
              <w:top w:val="single" w:color="BFBFBF" w:sz="4"/>
              <w:left w:val="single" w:color="BFBFBF" w:sz="4"/>
              <w:bottom w:val="single" w:color="BFBFBF" w:sz="4"/>
              <w:right w:val="single" w:color="BFBFBF" w:sz="4"/>
            </w:tcBorders>
            <w:shd w:fill="FAF6EC" w:val="clear"/>
            <w:tcMar>
              <w:top w:type="dxa" w:w="80"/>
              <w:left w:type="dxa" w:w="120"/>
              <w:bottom w:type="dxa" w:w="80"/>
              <w:right w:type="dxa" w:w="120"/>
            </w:tcMar>
          </w:tcPr>
          <w:p>
            <w:r>
              <w:t xml:space="preserve">$0–$100</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Instagram + Facebook (owned)</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Founder-led posts and Reels reach the dressage community. Strong fit for behind-the-scenes NDPC content.</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Reels, carousels, stories</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Medium</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$0</w:t>
            </w:r>
          </w:p>
        </w:tc>
      </w:tr>
      <w:tr>
        <w:tc>
          <w:tcPr>
            <w:tcW w:type="dxa" w:w="1500"/>
            <w:tcBorders>
              <w:top w:val="single" w:color="BFBFBF" w:sz="4"/>
              <w:left w:val="single" w:color="BFBFBF" w:sz="4"/>
              <w:bottom w:val="single" w:color="BFBFBF" w:sz="4"/>
              <w:right w:val="single" w:color="BFBFBF" w:sz="4"/>
            </w:tcBorders>
            <w:shd w:fill="FAF6EC" w:val="clear"/>
            <w:tcMar>
              <w:top w:type="dxa" w:w="80"/>
              <w:left w:type="dxa" w:w="120"/>
              <w:bottom w:type="dxa" w:w="80"/>
              <w:right w:type="dxa" w:w="120"/>
            </w:tcMar>
          </w:tcPr>
          <w:p>
            <w:r>
              <w:t xml:space="preserve">NDPC partner posts (earned)</w:t>
            </w:r>
          </w:p>
        </w:tc>
        <w:tc>
          <w:tcPr>
            <w:tcW w:type="dxa" w:w="2700"/>
            <w:tcBorders>
              <w:top w:val="single" w:color="BFBFBF" w:sz="4"/>
              <w:left w:val="single" w:color="BFBFBF" w:sz="4"/>
              <w:bottom w:val="single" w:color="BFBFBF" w:sz="4"/>
              <w:right w:val="single" w:color="BFBFBF" w:sz="4"/>
            </w:tcBorders>
            <w:shd w:fill="FAF6EC" w:val="clear"/>
            <w:tcMar>
              <w:top w:type="dxa" w:w="80"/>
              <w:left w:type="dxa" w:w="120"/>
              <w:bottom w:type="dxa" w:w="80"/>
              <w:right w:type="dxa" w:w="120"/>
            </w:tcMar>
          </w:tcPr>
          <w:p>
            <w:r>
              <w:t xml:space="preserve">Pre-event posts on NDPC pages put YDJ in front of every attendee before they arrive.</w:t>
            </w:r>
          </w:p>
        </w:tc>
        <w:tc>
          <w:tcPr>
            <w:tcW w:type="dxa" w:w="1900"/>
            <w:tcBorders>
              <w:top w:val="single" w:color="BFBFBF" w:sz="4"/>
              <w:left w:val="single" w:color="BFBFBF" w:sz="4"/>
              <w:bottom w:val="single" w:color="BFBFBF" w:sz="4"/>
              <w:right w:val="single" w:color="BFBFBF" w:sz="4"/>
            </w:tcBorders>
            <w:shd w:fill="FAF6EC" w:val="clear"/>
            <w:tcMar>
              <w:top w:type="dxa" w:w="80"/>
              <w:left w:type="dxa" w:w="120"/>
              <w:bottom w:type="dxa" w:w="80"/>
              <w:right w:type="dxa" w:w="120"/>
            </w:tcMar>
          </w:tcPr>
          <w:p>
            <w:r>
              <w:t xml:space="preserve">Image post + short caption</w:t>
            </w:r>
          </w:p>
        </w:tc>
        <w:tc>
          <w:tcPr>
            <w:tcW w:type="dxa" w:w="1200"/>
            <w:tcBorders>
              <w:top w:val="single" w:color="BFBFBF" w:sz="4"/>
              <w:left w:val="single" w:color="BFBFBF" w:sz="4"/>
              <w:bottom w:val="single" w:color="BFBFBF" w:sz="4"/>
              <w:right w:val="single" w:color="BFBFBF" w:sz="4"/>
            </w:tcBorders>
            <w:shd w:fill="FAF6EC" w:val="clear"/>
            <w:tcMar>
              <w:top w:type="dxa" w:w="80"/>
              <w:left w:type="dxa" w:w="120"/>
              <w:bottom w:type="dxa" w:w="80"/>
              <w:right w:type="dxa" w:w="120"/>
            </w:tcMar>
          </w:tcPr>
          <w:p>
            <w:r>
              <w:t xml:space="preserve">Low</w:t>
            </w:r>
          </w:p>
        </w:tc>
        <w:tc>
          <w:tcPr>
            <w:tcW w:type="dxa" w:w="1100"/>
            <w:tcBorders>
              <w:top w:val="single" w:color="BFBFBF" w:sz="4"/>
              <w:left w:val="single" w:color="BFBFBF" w:sz="4"/>
              <w:bottom w:val="single" w:color="BFBFBF" w:sz="4"/>
              <w:right w:val="single" w:color="BFBFBF" w:sz="4"/>
            </w:tcBorders>
            <w:shd w:fill="FAF6EC" w:val="clear"/>
            <w:tcMar>
              <w:top w:type="dxa" w:w="80"/>
              <w:left w:type="dxa" w:w="120"/>
              <w:bottom w:type="dxa" w:w="80"/>
              <w:right w:type="dxa" w:w="120"/>
            </w:tcMar>
          </w:tcPr>
          <w:p>
            <w:r>
              <w:t xml:space="preserve">$0</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Facebook dressage groups (earned)</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Targeted, helpful presence in 3–5 groups builds organic credibility. Be useful, never spammy.</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Comments + occasional shares</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Medium</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$0</w:t>
            </w:r>
          </w:p>
        </w:tc>
      </w:tr>
      <w:tr>
        <w:tc>
          <w:tcPr>
            <w:tcW w:type="dxa" w:w="1500"/>
            <w:tcBorders>
              <w:top w:val="single" w:color="BFBFBF" w:sz="4"/>
              <w:left w:val="single" w:color="BFBFBF" w:sz="4"/>
              <w:bottom w:val="single" w:color="BFBFBF" w:sz="4"/>
              <w:right w:val="single" w:color="BFBFBF" w:sz="4"/>
            </w:tcBorders>
            <w:shd w:fill="FAF6EC" w:val="clear"/>
            <w:tcMar>
              <w:top w:type="dxa" w:w="80"/>
              <w:left w:type="dxa" w:w="120"/>
              <w:bottom w:type="dxa" w:w="80"/>
              <w:right w:type="dxa" w:w="120"/>
            </w:tcMar>
          </w:tcPr>
          <w:p>
            <w:r>
              <w:t xml:space="preserve">Meta paid ads</w:t>
            </w:r>
          </w:p>
        </w:tc>
        <w:tc>
          <w:tcPr>
            <w:tcW w:type="dxa" w:w="2700"/>
            <w:tcBorders>
              <w:top w:val="single" w:color="BFBFBF" w:sz="4"/>
              <w:left w:val="single" w:color="BFBFBF" w:sz="4"/>
              <w:bottom w:val="single" w:color="BFBFBF" w:sz="4"/>
              <w:right w:val="single" w:color="BFBFBF" w:sz="4"/>
            </w:tcBorders>
            <w:shd w:fill="FAF6EC" w:val="clear"/>
            <w:tcMar>
              <w:top w:type="dxa" w:w="80"/>
              <w:left w:type="dxa" w:w="120"/>
              <w:bottom w:type="dxa" w:w="80"/>
              <w:right w:type="dxa" w:w="120"/>
            </w:tcMar>
          </w:tcPr>
          <w:p>
            <w:r>
              <w:t xml:space="preserve">Highly targetable to dressage interests. Best for amplifying your strongest founder post and for retargeting site visitors.</w:t>
            </w:r>
          </w:p>
        </w:tc>
        <w:tc>
          <w:tcPr>
            <w:tcW w:type="dxa" w:w="1900"/>
            <w:tcBorders>
              <w:top w:val="single" w:color="BFBFBF" w:sz="4"/>
              <w:left w:val="single" w:color="BFBFBF" w:sz="4"/>
              <w:bottom w:val="single" w:color="BFBFBF" w:sz="4"/>
              <w:right w:val="single" w:color="BFBFBF" w:sz="4"/>
            </w:tcBorders>
            <w:shd w:fill="FAF6EC" w:val="clear"/>
            <w:tcMar>
              <w:top w:type="dxa" w:w="80"/>
              <w:left w:type="dxa" w:w="120"/>
              <w:bottom w:type="dxa" w:w="80"/>
              <w:right w:type="dxa" w:w="120"/>
            </w:tcMar>
          </w:tcPr>
          <w:p>
            <w:r>
              <w:t xml:space="preserve">Boosted founder posts + retargeting</w:t>
            </w:r>
          </w:p>
        </w:tc>
        <w:tc>
          <w:tcPr>
            <w:tcW w:type="dxa" w:w="1200"/>
            <w:tcBorders>
              <w:top w:val="single" w:color="BFBFBF" w:sz="4"/>
              <w:left w:val="single" w:color="BFBFBF" w:sz="4"/>
              <w:bottom w:val="single" w:color="BFBFBF" w:sz="4"/>
              <w:right w:val="single" w:color="BFBFBF" w:sz="4"/>
            </w:tcBorders>
            <w:shd w:fill="FAF6EC" w:val="clear"/>
            <w:tcMar>
              <w:top w:type="dxa" w:w="80"/>
              <w:left w:type="dxa" w:w="120"/>
              <w:bottom w:type="dxa" w:w="80"/>
              <w:right w:type="dxa" w:w="120"/>
            </w:tcMar>
          </w:tcPr>
          <w:p>
            <w:r>
              <w:t xml:space="preserve">Medium</w:t>
            </w:r>
          </w:p>
        </w:tc>
        <w:tc>
          <w:tcPr>
            <w:tcW w:type="dxa" w:w="1100"/>
            <w:tcBorders>
              <w:top w:val="single" w:color="BFBFBF" w:sz="4"/>
              <w:left w:val="single" w:color="BFBFBF" w:sz="4"/>
              <w:bottom w:val="single" w:color="BFBFBF" w:sz="4"/>
              <w:right w:val="single" w:color="BFBFBF" w:sz="4"/>
            </w:tcBorders>
            <w:shd w:fill="FAF6EC" w:val="clear"/>
            <w:tcMar>
              <w:top w:type="dxa" w:w="80"/>
              <w:left w:type="dxa" w:w="120"/>
              <w:bottom w:type="dxa" w:w="80"/>
              <w:right w:type="dxa" w:w="120"/>
            </w:tcMar>
          </w:tcPr>
          <w:p>
            <w:r>
              <w:t xml:space="preserve">$300–$500</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NDPC booth (paid + earned)</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The marquee moment. Physical game, prize draw, virtual game launch, in-person email captures.</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Vendor table + signage + game</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High</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$300–$500</w:t>
            </w:r>
          </w:p>
        </w:tc>
      </w:tr>
      <w:tr>
        <w:tc>
          <w:tcPr>
            <w:tcW w:type="dxa" w:w="1500"/>
            <w:tcBorders>
              <w:top w:val="single" w:color="BFBFBF" w:sz="4"/>
              <w:left w:val="single" w:color="BFBFBF" w:sz="4"/>
              <w:bottom w:val="single" w:color="BFBFBF" w:sz="4"/>
              <w:right w:val="single" w:color="BFBFBF" w:sz="4"/>
            </w:tcBorders>
            <w:shd w:fill="FAF6EC" w:val="clear"/>
            <w:tcMar>
              <w:top w:type="dxa" w:w="80"/>
              <w:left w:type="dxa" w:w="120"/>
              <w:bottom w:type="dxa" w:w="80"/>
              <w:right w:type="dxa" w:w="120"/>
            </w:tcMar>
          </w:tcPr>
          <w:p>
            <w:r>
              <w:t xml:space="preserve">Print collateral</w:t>
            </w:r>
          </w:p>
        </w:tc>
        <w:tc>
          <w:tcPr>
            <w:tcW w:type="dxa" w:w="2700"/>
            <w:tcBorders>
              <w:top w:val="single" w:color="BFBFBF" w:sz="4"/>
              <w:left w:val="single" w:color="BFBFBF" w:sz="4"/>
              <w:bottom w:val="single" w:color="BFBFBF" w:sz="4"/>
              <w:right w:val="single" w:color="BFBFBF" w:sz="4"/>
            </w:tcBorders>
            <w:shd w:fill="FAF6EC" w:val="clear"/>
            <w:tcMar>
              <w:top w:type="dxa" w:w="80"/>
              <w:left w:type="dxa" w:w="120"/>
              <w:bottom w:type="dxa" w:w="80"/>
              <w:right w:type="dxa" w:w="120"/>
            </w:tcMar>
          </w:tcPr>
          <w:p>
            <w:r>
              <w:t xml:space="preserve">Postcards, table sign, business cards, NDPC handout with QR + IC offer code.</w:t>
            </w:r>
          </w:p>
        </w:tc>
        <w:tc>
          <w:tcPr>
            <w:tcW w:type="dxa" w:w="1900"/>
            <w:tcBorders>
              <w:top w:val="single" w:color="BFBFBF" w:sz="4"/>
              <w:left w:val="single" w:color="BFBFBF" w:sz="4"/>
              <w:bottom w:val="single" w:color="BFBFBF" w:sz="4"/>
              <w:right w:val="single" w:color="BFBFBF" w:sz="4"/>
            </w:tcBorders>
            <w:shd w:fill="FAF6EC" w:val="clear"/>
            <w:tcMar>
              <w:top w:type="dxa" w:w="80"/>
              <w:left w:type="dxa" w:w="120"/>
              <w:bottom w:type="dxa" w:w="80"/>
              <w:right w:type="dxa" w:w="120"/>
            </w:tcMar>
          </w:tcPr>
          <w:p>
            <w:r>
              <w:t xml:space="preserve">Print</w:t>
            </w:r>
          </w:p>
        </w:tc>
        <w:tc>
          <w:tcPr>
            <w:tcW w:type="dxa" w:w="1200"/>
            <w:tcBorders>
              <w:top w:val="single" w:color="BFBFBF" w:sz="4"/>
              <w:left w:val="single" w:color="BFBFBF" w:sz="4"/>
              <w:bottom w:val="single" w:color="BFBFBF" w:sz="4"/>
              <w:right w:val="single" w:color="BFBFBF" w:sz="4"/>
            </w:tcBorders>
            <w:shd w:fill="FAF6EC" w:val="clear"/>
            <w:tcMar>
              <w:top w:type="dxa" w:w="80"/>
              <w:left w:type="dxa" w:w="120"/>
              <w:bottom w:type="dxa" w:w="80"/>
              <w:right w:type="dxa" w:w="120"/>
            </w:tcMar>
          </w:tcPr>
          <w:p>
            <w:r>
              <w:t xml:space="preserve">Low</w:t>
            </w:r>
          </w:p>
        </w:tc>
        <w:tc>
          <w:tcPr>
            <w:tcW w:type="dxa" w:w="1100"/>
            <w:tcBorders>
              <w:top w:val="single" w:color="BFBFBF" w:sz="4"/>
              <w:left w:val="single" w:color="BFBFBF" w:sz="4"/>
              <w:bottom w:val="single" w:color="BFBFBF" w:sz="4"/>
              <w:right w:val="single" w:color="BFBFBF" w:sz="4"/>
            </w:tcBorders>
            <w:shd w:fill="FAF6EC" w:val="clear"/>
            <w:tcMar>
              <w:top w:type="dxa" w:w="80"/>
              <w:left w:type="dxa" w:w="120"/>
              <w:bottom w:type="dxa" w:w="80"/>
              <w:right w:type="dxa" w:w="120"/>
            </w:tcMar>
          </w:tcPr>
          <w:p>
            <w:r>
              <w:t xml:space="preserve">$150–$250</w:t>
            </w:r>
          </w:p>
        </w:tc>
      </w:tr>
    </w:tbl>
    <w:p>
      <w:pPr>
        <w:pStyle w:val="Heading2"/>
        <w:spacing w:after="120" w:before="240"/>
      </w:pPr>
      <w:r>
        <w:rPr>
          <w:b/>
          <w:bCs/>
          <w:color w:val="5B3A1F"/>
          <w:sz w:val="28"/>
          <w:szCs w:val="28"/>
        </w:rPr>
        <w:t xml:space="preserve">Selection Notes</w:t>
      </w:r>
    </w:p>
    <w:p>
      <w:pPr>
        <w:pStyle w:val="ListParagraph"/>
        <w:numPr>
          <w:ilvl w:val="0"/>
          <w:numId w:val="2"/>
        </w:numPr>
        <w:spacing w:after="60"/>
      </w:pPr>
      <w:r>
        <w:t xml:space="preserve">YouTube videos are your most underused asset. Releasing them on a schedule — not all at once — gives the campaign a steady cadence and reduces solo content production load.</w:t>
      </w:r>
    </w:p>
    <w:p>
      <w:pPr>
        <w:pStyle w:val="ListParagraph"/>
        <w:numPr>
          <w:ilvl w:val="0"/>
          <w:numId w:val="2"/>
        </w:numPr>
        <w:spacing w:after="60"/>
      </w:pPr>
      <w:r>
        <w:t xml:space="preserve">Avoid spreading thin: skip TikTok, podcast guesting, and PR pitches this round. They cost time you do not have.</w:t>
      </w:r>
    </w:p>
    <w:p>
      <w:pPr>
        <w:pStyle w:val="ListParagraph"/>
        <w:numPr>
          <w:ilvl w:val="0"/>
          <w:numId w:val="2"/>
        </w:numPr>
        <w:spacing w:after="60"/>
      </w:pPr>
      <w:r>
        <w:t xml:space="preserve">Founder visibility is on — plan a short founder Reel or Live each week. This is the highest-trust lever for an indie launch.</w:t>
      </w:r>
    </w:p>
    <w:p>
      <w:r>
        <w:br w:type="page"/>
      </w:r>
    </w:p>
    <w:p>
      <w:pPr>
        <w:pStyle w:val="Heading1"/>
        <w:spacing w:after="160" w:before="360"/>
      </w:pPr>
      <w:r>
        <w:rPr>
          <w:b/>
          <w:bCs/>
          <w:color w:val="5B3A1F"/>
          <w:sz w:val="36"/>
          <w:szCs w:val="36"/>
        </w:rPr>
        <w:t xml:space="preserve">5. Content Calendar (May 10 – July 7)</w:t>
      </w:r>
    </w:p>
    <w:p>
      <w:pPr>
        <w:spacing w:after="100"/>
      </w:pPr>
      <w:r>
        <w:t xml:space="preserve">Nine-week, week-by-week plan. Each week has one theme to keep your solo focus clean. Bold spend rows are when you commit dollars.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600"/>
        <w:gridCol w:w="900"/>
        <w:gridCol w:w="1500"/>
        <w:gridCol w:w="3500"/>
        <w:gridCol w:w="1500"/>
        <w:gridCol w:w="900"/>
      </w:tblGrid>
      <w:tr>
        <w:trPr>
          <w:tblHeader/>
        </w:trPr>
        <w:tc>
          <w:tcPr>
            <w:tcW w:type="dxa" w:w="600"/>
            <w:tcBorders>
              <w:top w:val="single" w:color="BFBFBF" w:sz="4"/>
              <w:left w:val="single" w:color="BFBFBF" w:sz="4"/>
              <w:bottom w:val="single" w:color="BFBFBF" w:sz="4"/>
              <w:right w:val="single" w:color="BFBFBF" w:sz="4"/>
            </w:tcBorders>
            <w:shd w:fill="F2E6D0" w:val="clear"/>
            <w:tcMar>
              <w:top w:type="dxa" w:w="80"/>
              <w:left w:type="dxa" w:w="120"/>
              <w:bottom w:type="dxa" w:w="80"/>
              <w:right w:type="dxa" w:w="120"/>
            </w:tcMar>
          </w:tcPr>
          <w:p>
            <w:r>
              <w:rPr>
                <w:b/>
                <w:bCs/>
                <w:color w:val="5B3A1F"/>
              </w:rPr>
              <w:t xml:space="preserve">Week</w:t>
            </w:r>
          </w:p>
        </w:tc>
        <w:tc>
          <w:tcPr>
            <w:tcW w:type="dxa" w:w="900"/>
            <w:tcBorders>
              <w:top w:val="single" w:color="BFBFBF" w:sz="4"/>
              <w:left w:val="single" w:color="BFBFBF" w:sz="4"/>
              <w:bottom w:val="single" w:color="BFBFBF" w:sz="4"/>
              <w:right w:val="single" w:color="BFBFBF" w:sz="4"/>
            </w:tcBorders>
            <w:shd w:fill="F2E6D0" w:val="clear"/>
            <w:tcMar>
              <w:top w:type="dxa" w:w="80"/>
              <w:left w:type="dxa" w:w="120"/>
              <w:bottom w:type="dxa" w:w="80"/>
              <w:right w:type="dxa" w:w="120"/>
            </w:tcMar>
          </w:tcPr>
          <w:p>
            <w:r>
              <w:rPr>
                <w:b/>
                <w:bCs/>
                <w:color w:val="5B3A1F"/>
              </w:rPr>
              <w:t xml:space="preserve">Dates</w:t>
            </w:r>
          </w:p>
        </w:tc>
        <w:tc>
          <w:tcPr>
            <w:tcW w:type="dxa" w:w="1500"/>
            <w:tcBorders>
              <w:top w:val="single" w:color="BFBFBF" w:sz="4"/>
              <w:left w:val="single" w:color="BFBFBF" w:sz="4"/>
              <w:bottom w:val="single" w:color="BFBFBF" w:sz="4"/>
              <w:right w:val="single" w:color="BFBFBF" w:sz="4"/>
            </w:tcBorders>
            <w:shd w:fill="F2E6D0" w:val="clear"/>
            <w:tcMar>
              <w:top w:type="dxa" w:w="80"/>
              <w:left w:type="dxa" w:w="120"/>
              <w:bottom w:type="dxa" w:w="80"/>
              <w:right w:type="dxa" w:w="120"/>
            </w:tcMar>
          </w:tcPr>
          <w:p>
            <w:r>
              <w:rPr>
                <w:b/>
                <w:bCs/>
                <w:color w:val="5B3A1F"/>
              </w:rPr>
              <w:t xml:space="preserve">Theme</w:t>
            </w:r>
          </w:p>
        </w:tc>
        <w:tc>
          <w:tcPr>
            <w:tcW w:type="dxa" w:w="3500"/>
            <w:tcBorders>
              <w:top w:val="single" w:color="BFBFBF" w:sz="4"/>
              <w:left w:val="single" w:color="BFBFBF" w:sz="4"/>
              <w:bottom w:val="single" w:color="BFBFBF" w:sz="4"/>
              <w:right w:val="single" w:color="BFBFBF" w:sz="4"/>
            </w:tcBorders>
            <w:shd w:fill="F2E6D0" w:val="clear"/>
            <w:tcMar>
              <w:top w:type="dxa" w:w="80"/>
              <w:left w:type="dxa" w:w="120"/>
              <w:bottom w:type="dxa" w:w="80"/>
              <w:right w:type="dxa" w:w="120"/>
            </w:tcMar>
          </w:tcPr>
          <w:p>
            <w:r>
              <w:rPr>
                <w:b/>
                <w:bCs/>
                <w:color w:val="5B3A1F"/>
              </w:rPr>
              <w:t xml:space="preserve">Activities</w:t>
            </w:r>
          </w:p>
        </w:tc>
        <w:tc>
          <w:tcPr>
            <w:tcW w:type="dxa" w:w="1500"/>
            <w:tcBorders>
              <w:top w:val="single" w:color="BFBFBF" w:sz="4"/>
              <w:left w:val="single" w:color="BFBFBF" w:sz="4"/>
              <w:bottom w:val="single" w:color="BFBFBF" w:sz="4"/>
              <w:right w:val="single" w:color="BFBFBF" w:sz="4"/>
            </w:tcBorders>
            <w:shd w:fill="F2E6D0" w:val="clear"/>
            <w:tcMar>
              <w:top w:type="dxa" w:w="80"/>
              <w:left w:type="dxa" w:w="120"/>
              <w:bottom w:type="dxa" w:w="80"/>
              <w:right w:type="dxa" w:w="120"/>
            </w:tcMar>
          </w:tcPr>
          <w:p>
            <w:r>
              <w:rPr>
                <w:b/>
                <w:bCs/>
                <w:color w:val="5B3A1F"/>
              </w:rPr>
              <w:t xml:space="preserve">Channels</w:t>
            </w:r>
          </w:p>
        </w:tc>
        <w:tc>
          <w:tcPr>
            <w:tcW w:type="dxa" w:w="900"/>
            <w:tcBorders>
              <w:top w:val="single" w:color="BFBFBF" w:sz="4"/>
              <w:left w:val="single" w:color="BFBFBF" w:sz="4"/>
              <w:bottom w:val="single" w:color="BFBFBF" w:sz="4"/>
              <w:right w:val="single" w:color="BFBFBF" w:sz="4"/>
            </w:tcBorders>
            <w:shd w:fill="F2E6D0" w:val="clear"/>
            <w:tcMar>
              <w:top w:type="dxa" w:w="80"/>
              <w:left w:type="dxa" w:w="120"/>
              <w:bottom w:type="dxa" w:w="80"/>
              <w:right w:type="dxa" w:w="120"/>
            </w:tcMar>
          </w:tcPr>
          <w:p>
            <w:r>
              <w:rPr>
                <w:b/>
                <w:bCs/>
                <w:color w:val="5B3A1F"/>
              </w:rPr>
              <w:t xml:space="preserve">Spend</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W1</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May 11–17</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Foundation</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t xml:space="preserve">• Lock IC pricing page + Stripe coupons (test → live)</w:t>
            </w:r>
          </w:p>
          <w:p>
            <w:pPr>
              <w:spacing w:after="60"/>
            </w:pPr>
            <w:r>
              <w:t xml:space="preserve">• Polish website hero, navigation, FAQ</w:t>
            </w:r>
          </w:p>
          <w:p>
            <w:pPr>
              <w:spacing w:after="60"/>
            </w:pPr>
            <w:r>
              <w:t xml:space="preserve">• Set up email capture + welcome flow</w:t>
            </w:r>
          </w:p>
          <w:p>
            <w:pPr>
              <w:spacing w:after="60"/>
            </w:pPr>
            <w:r>
              <w:t xml:space="preserve">• Pick top 3 anchor YouTube videos for first releases</w:t>
            </w:r>
          </w:p>
          <w:p>
            <w:pPr>
              <w:spacing w:after="0"/>
            </w:pPr>
            <w:r>
              <w:t xml:space="preserve">• Send pilot retention email: “May 15 is coming, here’s what’s next”</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t xml:space="preserve">Website</w:t>
            </w:r>
          </w:p>
          <w:p>
            <w:pPr>
              <w:spacing w:after="60"/>
            </w:pPr>
            <w:r>
              <w:t xml:space="preserve">Email</w:t>
            </w:r>
          </w:p>
          <w:p>
            <w:pPr>
              <w:spacing w:after="0"/>
            </w:pPr>
            <w:r>
              <w:t xml:space="preserve">Stripe</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$0</w:t>
            </w:r>
          </w:p>
        </w:tc>
      </w:tr>
      <w:tr>
        <w:tc>
          <w:tcPr>
            <w:tcW w:type="dxa" w:w="600"/>
            <w:tcBorders>
              <w:top w:val="single" w:color="BFBFBF" w:sz="4"/>
              <w:left w:val="single" w:color="BFBFBF" w:sz="4"/>
              <w:bottom w:val="single" w:color="BFBFBF" w:sz="4"/>
              <w:right w:val="single" w:color="BFBFBF" w:sz="4"/>
            </w:tcBorders>
            <w:shd w:fill="FAF6EC" w:val="clear"/>
            <w:tcMar>
              <w:top w:type="dxa" w:w="80"/>
              <w:left w:type="dxa" w:w="120"/>
              <w:bottom w:type="dxa" w:w="80"/>
              <w:right w:type="dxa" w:w="120"/>
            </w:tcMar>
          </w:tcPr>
          <w:p>
            <w:r>
              <w:t xml:space="preserve">W2</w:t>
            </w:r>
          </w:p>
        </w:tc>
        <w:tc>
          <w:tcPr>
            <w:tcW w:type="dxa" w:w="900"/>
            <w:tcBorders>
              <w:top w:val="single" w:color="BFBFBF" w:sz="4"/>
              <w:left w:val="single" w:color="BFBFBF" w:sz="4"/>
              <w:bottom w:val="single" w:color="BFBFBF" w:sz="4"/>
              <w:right w:val="single" w:color="BFBFBF" w:sz="4"/>
            </w:tcBorders>
            <w:shd w:fill="FAF6EC" w:val="clear"/>
            <w:tcMar>
              <w:top w:type="dxa" w:w="80"/>
              <w:left w:type="dxa" w:w="120"/>
              <w:bottom w:type="dxa" w:w="80"/>
              <w:right w:type="dxa" w:w="120"/>
            </w:tcMar>
          </w:tcPr>
          <w:p>
            <w:r>
              <w:t xml:space="preserve">May 18–24</w:t>
            </w:r>
          </w:p>
        </w:tc>
        <w:tc>
          <w:tcPr>
            <w:tcW w:type="dxa" w:w="1500"/>
            <w:tcBorders>
              <w:top w:val="single" w:color="BFBFBF" w:sz="4"/>
              <w:left w:val="single" w:color="BFBFBF" w:sz="4"/>
              <w:bottom w:val="single" w:color="BFBFBF" w:sz="4"/>
              <w:right w:val="single" w:color="BFBFBF" w:sz="4"/>
            </w:tcBorders>
            <w:shd w:fill="FAF6EC" w:val="clear"/>
            <w:tcMar>
              <w:top w:type="dxa" w:w="80"/>
              <w:left w:type="dxa" w:w="120"/>
              <w:bottom w:type="dxa" w:w="80"/>
              <w:right w:type="dxa" w:w="120"/>
            </w:tcMar>
          </w:tcPr>
          <w:p>
            <w:r>
              <w:t xml:space="preserve">Pilot Sunset + IC Soft Launch</w:t>
            </w:r>
          </w:p>
        </w:tc>
        <w:tc>
          <w:tcPr>
            <w:tcW w:type="dxa" w:w="3500"/>
            <w:tcBorders>
              <w:top w:val="single" w:color="BFBFBF" w:sz="4"/>
              <w:left w:val="single" w:color="BFBFBF" w:sz="4"/>
              <w:bottom w:val="single" w:color="BFBFBF" w:sz="4"/>
              <w:right w:val="single" w:color="BFBFBF" w:sz="4"/>
            </w:tcBorders>
            <w:shd w:fill="FAF6EC" w:val="clear"/>
            <w:tcMar>
              <w:top w:type="dxa" w:w="80"/>
              <w:left w:type="dxa" w:w="120"/>
              <w:bottom w:type="dxa" w:w="80"/>
              <w:right w:type="dxa" w:w="120"/>
            </w:tcMar>
          </w:tcPr>
          <w:p>
            <w:pPr>
              <w:spacing w:after="60"/>
            </w:pPr>
            <w:r>
              <w:t xml:space="preserve">• May 15 pilot ended — send pilot conversion email #1 (warm thank-you + IC offer)</w:t>
            </w:r>
          </w:p>
          <w:p>
            <w:pPr>
              <w:spacing w:after="60"/>
            </w:pPr>
            <w:r>
              <w:t xml:space="preserve">• Make Anchor Video #1 public on YouTube (most universally appealing)</w:t>
            </w:r>
          </w:p>
          <w:p>
            <w:pPr>
              <w:spacing w:after="60"/>
            </w:pPr>
            <w:r>
              <w:t xml:space="preserve">• Founder IG/FB post: “Why I built this” founder story</w:t>
            </w:r>
          </w:p>
          <w:p>
            <w:pPr>
              <w:spacing w:after="60"/>
            </w:pPr>
            <w:r>
              <w:t xml:space="preserve">• Personal DMs to 10 most-engaged pilot users</w:t>
            </w:r>
          </w:p>
          <w:p>
            <w:pPr>
              <w:spacing w:after="0"/>
            </w:pPr>
            <w:r>
              <w:t xml:space="preserve">• Submit NDPC pre-event post draft to organizers, request June 8–15 window</w:t>
            </w:r>
          </w:p>
        </w:tc>
        <w:tc>
          <w:tcPr>
            <w:tcW w:type="dxa" w:w="1500"/>
            <w:tcBorders>
              <w:top w:val="single" w:color="BFBFBF" w:sz="4"/>
              <w:left w:val="single" w:color="BFBFBF" w:sz="4"/>
              <w:bottom w:val="single" w:color="BFBFBF" w:sz="4"/>
              <w:right w:val="single" w:color="BFBFBF" w:sz="4"/>
            </w:tcBorders>
            <w:shd w:fill="FAF6EC" w:val="clear"/>
            <w:tcMar>
              <w:top w:type="dxa" w:w="80"/>
              <w:left w:type="dxa" w:w="120"/>
              <w:bottom w:type="dxa" w:w="80"/>
              <w:right w:type="dxa" w:w="120"/>
            </w:tcMar>
          </w:tcPr>
          <w:p>
            <w:pPr>
              <w:spacing w:after="60"/>
            </w:pPr>
            <w:r>
              <w:t xml:space="preserve">Email</w:t>
            </w:r>
          </w:p>
          <w:p>
            <w:pPr>
              <w:spacing w:after="60"/>
            </w:pPr>
            <w:r>
              <w:t xml:space="preserve">YouTube</w:t>
            </w:r>
          </w:p>
          <w:p>
            <w:pPr>
              <w:spacing w:after="60"/>
            </w:pPr>
            <w:r>
              <w:t xml:space="preserve">IG/FB</w:t>
            </w:r>
          </w:p>
          <w:p>
            <w:pPr>
              <w:spacing w:after="0"/>
            </w:pPr>
            <w:r>
              <w:t xml:space="preserve">DM</w:t>
            </w:r>
          </w:p>
        </w:tc>
        <w:tc>
          <w:tcPr>
            <w:tcW w:type="dxa" w:w="900"/>
            <w:tcBorders>
              <w:top w:val="single" w:color="BFBFBF" w:sz="4"/>
              <w:left w:val="single" w:color="BFBFBF" w:sz="4"/>
              <w:bottom w:val="single" w:color="BFBFBF" w:sz="4"/>
              <w:right w:val="single" w:color="BFBFBF" w:sz="4"/>
            </w:tcBorders>
            <w:shd w:fill="FAF6EC" w:val="clear"/>
            <w:tcMar>
              <w:top w:type="dxa" w:w="80"/>
              <w:left w:type="dxa" w:w="120"/>
              <w:bottom w:type="dxa" w:w="80"/>
              <w:right w:type="dxa" w:w="120"/>
            </w:tcMar>
          </w:tcPr>
          <w:p>
            <w:r>
              <w:t xml:space="preserve">$0</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W3</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May 25–31</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IC Visibility Push</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t xml:space="preserve">• Make Anchor Video #2 public (Aha Moment category)</w:t>
            </w:r>
          </w:p>
          <w:p>
            <w:pPr>
              <w:spacing w:after="60"/>
            </w:pPr>
            <w:r>
              <w:t xml:space="preserve">• Public IC announcement post on IG/FB + email</w:t>
            </w:r>
          </w:p>
          <w:p>
            <w:pPr>
              <w:spacing w:after="60"/>
            </w:pPr>
            <w:r>
              <w:t xml:space="preserve">• Boost top-performing founder post: $50–$100</w:t>
            </w:r>
          </w:p>
          <w:p>
            <w:pPr>
              <w:spacing w:after="60"/>
            </w:pPr>
            <w:r>
              <w:t xml:space="preserve">• Soft-test virtual YDJ game with 2–3 friends, fix any prize-notification bugs</w:t>
            </w:r>
          </w:p>
          <w:p>
            <w:pPr>
              <w:spacing w:after="0"/>
            </w:pPr>
            <w:r>
              <w:t xml:space="preserve">• Dressage Facebook group: post one helpful comment thread per group (no link drops)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t xml:space="preserve">YouTube</w:t>
            </w:r>
          </w:p>
          <w:p>
            <w:pPr>
              <w:spacing w:after="60"/>
            </w:pPr>
            <w:r>
              <w:t xml:space="preserve">Email</w:t>
            </w:r>
          </w:p>
          <w:p>
            <w:pPr>
              <w:spacing w:after="60"/>
            </w:pPr>
            <w:r>
              <w:t xml:space="preserve">Meta ads</w:t>
            </w:r>
          </w:p>
          <w:p>
            <w:pPr>
              <w:spacing w:after="60"/>
            </w:pPr>
            <w:r>
              <w:t xml:space="preserve">Game</w:t>
            </w:r>
          </w:p>
          <w:p>
            <w:pPr>
              <w:spacing w:after="0"/>
            </w:pPr>
            <w:r>
              <w:t xml:space="preserve">FB groups</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$50–$100</w:t>
            </w:r>
          </w:p>
        </w:tc>
      </w:tr>
      <w:tr>
        <w:tc>
          <w:tcPr>
            <w:tcW w:type="dxa" w:w="600"/>
            <w:tcBorders>
              <w:top w:val="single" w:color="BFBFBF" w:sz="4"/>
              <w:left w:val="single" w:color="BFBFBF" w:sz="4"/>
              <w:bottom w:val="single" w:color="BFBFBF" w:sz="4"/>
              <w:right w:val="single" w:color="BFBFBF" w:sz="4"/>
            </w:tcBorders>
            <w:shd w:fill="FAF6EC" w:val="clear"/>
            <w:tcMar>
              <w:top w:type="dxa" w:w="80"/>
              <w:left w:type="dxa" w:w="120"/>
              <w:bottom w:type="dxa" w:w="80"/>
              <w:right w:type="dxa" w:w="120"/>
            </w:tcMar>
          </w:tcPr>
          <w:p>
            <w:r>
              <w:t xml:space="preserve">W4</w:t>
            </w:r>
          </w:p>
        </w:tc>
        <w:tc>
          <w:tcPr>
            <w:tcW w:type="dxa" w:w="900"/>
            <w:tcBorders>
              <w:top w:val="single" w:color="BFBFBF" w:sz="4"/>
              <w:left w:val="single" w:color="BFBFBF" w:sz="4"/>
              <w:bottom w:val="single" w:color="BFBFBF" w:sz="4"/>
              <w:right w:val="single" w:color="BFBFBF" w:sz="4"/>
            </w:tcBorders>
            <w:shd w:fill="FAF6EC" w:val="clear"/>
            <w:tcMar>
              <w:top w:type="dxa" w:w="80"/>
              <w:left w:type="dxa" w:w="120"/>
              <w:bottom w:type="dxa" w:w="80"/>
              <w:right w:type="dxa" w:w="120"/>
            </w:tcMar>
          </w:tcPr>
          <w:p>
            <w:r>
              <w:t xml:space="preserve">Jun 1–7</w:t>
            </w:r>
          </w:p>
        </w:tc>
        <w:tc>
          <w:tcPr>
            <w:tcW w:type="dxa" w:w="1500"/>
            <w:tcBorders>
              <w:top w:val="single" w:color="BFBFBF" w:sz="4"/>
              <w:left w:val="single" w:color="BFBFBF" w:sz="4"/>
              <w:bottom w:val="single" w:color="BFBFBF" w:sz="4"/>
              <w:right w:val="single" w:color="BFBFBF" w:sz="4"/>
            </w:tcBorders>
            <w:shd w:fill="FAF6EC" w:val="clear"/>
            <w:tcMar>
              <w:top w:type="dxa" w:w="80"/>
              <w:left w:type="dxa" w:w="120"/>
              <w:bottom w:type="dxa" w:w="80"/>
              <w:right w:type="dxa" w:w="120"/>
            </w:tcMar>
          </w:tcPr>
          <w:p>
            <w:r>
              <w:t xml:space="preserve">Go-Live Week</w:t>
            </w:r>
          </w:p>
        </w:tc>
        <w:tc>
          <w:tcPr>
            <w:tcW w:type="dxa" w:w="3500"/>
            <w:tcBorders>
              <w:top w:val="single" w:color="BFBFBF" w:sz="4"/>
              <w:left w:val="single" w:color="BFBFBF" w:sz="4"/>
              <w:bottom w:val="single" w:color="BFBFBF" w:sz="4"/>
              <w:right w:val="single" w:color="BFBFBF" w:sz="4"/>
            </w:tcBorders>
            <w:shd w:fill="FAF6EC" w:val="clear"/>
            <w:tcMar>
              <w:top w:type="dxa" w:w="80"/>
              <w:left w:type="dxa" w:w="120"/>
              <w:bottom w:type="dxa" w:w="80"/>
              <w:right w:type="dxa" w:w="120"/>
            </w:tcMar>
          </w:tcPr>
          <w:p>
            <w:pPr>
              <w:spacing w:after="60"/>
            </w:pPr>
            <w:r>
              <w:t xml:space="preserve">• June 1: official paid go-live announcement (email blast + IG/FB)</w:t>
            </w:r>
          </w:p>
          <w:p>
            <w:pPr>
              <w:spacing w:after="60"/>
            </w:pPr>
            <w:r>
              <w:t xml:space="preserve">• Transparent founder post on a dressage forum (“I built this”)</w:t>
            </w:r>
          </w:p>
          <w:p>
            <w:pPr>
              <w:spacing w:after="60"/>
            </w:pPr>
            <w:r>
              <w:t xml:space="preserve">• Make Anchor Video #3 public (Connection / partnership)</w:t>
            </w:r>
          </w:p>
          <w:p>
            <w:pPr>
              <w:spacing w:after="60"/>
            </w:pPr>
            <w:r>
              <w:t xml:space="preserve">• Launch Meta retargeting ads: $50–$75</w:t>
            </w:r>
          </w:p>
          <w:p>
            <w:pPr>
              <w:spacing w:after="0"/>
            </w:pPr>
            <w:r>
              <w:t xml:space="preserve">• Pilot conversion email #2 (countdown framing: 5 weeks until IC closes)</w:t>
            </w:r>
          </w:p>
        </w:tc>
        <w:tc>
          <w:tcPr>
            <w:tcW w:type="dxa" w:w="1500"/>
            <w:tcBorders>
              <w:top w:val="single" w:color="BFBFBF" w:sz="4"/>
              <w:left w:val="single" w:color="BFBFBF" w:sz="4"/>
              <w:bottom w:val="single" w:color="BFBFBF" w:sz="4"/>
              <w:right w:val="single" w:color="BFBFBF" w:sz="4"/>
            </w:tcBorders>
            <w:shd w:fill="FAF6EC" w:val="clear"/>
            <w:tcMar>
              <w:top w:type="dxa" w:w="80"/>
              <w:left w:type="dxa" w:w="120"/>
              <w:bottom w:type="dxa" w:w="80"/>
              <w:right w:type="dxa" w:w="120"/>
            </w:tcMar>
          </w:tcPr>
          <w:p>
            <w:pPr>
              <w:spacing w:after="60"/>
            </w:pPr>
            <w:r>
              <w:t xml:space="preserve">Email</w:t>
            </w:r>
          </w:p>
          <w:p>
            <w:pPr>
              <w:spacing w:after="60"/>
            </w:pPr>
            <w:r>
              <w:t xml:space="preserve">Forum</w:t>
            </w:r>
          </w:p>
          <w:p>
            <w:pPr>
              <w:spacing w:after="60"/>
            </w:pPr>
            <w:r>
              <w:t xml:space="preserve">YouTube</w:t>
            </w:r>
          </w:p>
          <w:p>
            <w:pPr>
              <w:spacing w:after="0"/>
            </w:pPr>
            <w:r>
              <w:t xml:space="preserve">Meta ads</w:t>
            </w:r>
          </w:p>
        </w:tc>
        <w:tc>
          <w:tcPr>
            <w:tcW w:type="dxa" w:w="900"/>
            <w:tcBorders>
              <w:top w:val="single" w:color="BFBFBF" w:sz="4"/>
              <w:left w:val="single" w:color="BFBFBF" w:sz="4"/>
              <w:bottom w:val="single" w:color="BFBFBF" w:sz="4"/>
              <w:right w:val="single" w:color="BFBFBF" w:sz="4"/>
            </w:tcBorders>
            <w:shd w:fill="FAF6EC" w:val="clear"/>
            <w:tcMar>
              <w:top w:type="dxa" w:w="80"/>
              <w:left w:type="dxa" w:w="120"/>
              <w:bottom w:type="dxa" w:w="80"/>
              <w:right w:type="dxa" w:w="120"/>
            </w:tcMar>
          </w:tcPr>
          <w:p>
            <w:r>
              <w:t xml:space="preserve">$75–$125</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W5</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Jun 8–14</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NDPC Hype Build</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t xml:space="preserve">• Confirm NDPC pre-event partnership post is scheduled</w:t>
            </w:r>
          </w:p>
          <w:p>
            <w:pPr>
              <w:spacing w:after="60"/>
            </w:pPr>
            <w:r>
              <w:t xml:space="preserve">• Make Video #4 public (Obstacle / relatable struggle)</w:t>
            </w:r>
          </w:p>
          <w:p>
            <w:pPr>
              <w:spacing w:after="60"/>
            </w:pPr>
            <w:r>
              <w:t xml:space="preserve">• Founder “Meet me at NDPC” Reel or Live</w:t>
            </w:r>
          </w:p>
          <w:p>
            <w:pPr>
              <w:spacing w:after="60"/>
            </w:pPr>
            <w:r>
              <w:t xml:space="preserve">• Confirm prize fulfillment with vendor partners (count, condition, packaging)</w:t>
            </w:r>
          </w:p>
          <w:p>
            <w:pPr>
              <w:spacing w:after="0"/>
            </w:pPr>
            <w:r>
              <w:t xml:space="preserve">• Order print collateral: postcards, business cards, table signage</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t xml:space="preserve">NDPC</w:t>
            </w:r>
          </w:p>
          <w:p>
            <w:pPr>
              <w:spacing w:after="60"/>
            </w:pPr>
            <w:r>
              <w:t xml:space="preserve">YouTube</w:t>
            </w:r>
          </w:p>
          <w:p>
            <w:pPr>
              <w:spacing w:after="60"/>
            </w:pPr>
            <w:r>
              <w:t xml:space="preserve">IG/FB Live</w:t>
            </w:r>
          </w:p>
          <w:p>
            <w:pPr>
              <w:spacing w:after="0"/>
            </w:pPr>
            <w:r>
              <w:t xml:space="preserve">Print</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$150–$250</w:t>
            </w:r>
          </w:p>
        </w:tc>
      </w:tr>
      <w:tr>
        <w:tc>
          <w:tcPr>
            <w:tcW w:type="dxa" w:w="600"/>
            <w:tcBorders>
              <w:top w:val="single" w:color="BFBFBF" w:sz="4"/>
              <w:left w:val="single" w:color="BFBFBF" w:sz="4"/>
              <w:bottom w:val="single" w:color="BFBFBF" w:sz="4"/>
              <w:right w:val="single" w:color="BFBFBF" w:sz="4"/>
            </w:tcBorders>
            <w:shd w:fill="FAF6EC" w:val="clear"/>
            <w:tcMar>
              <w:top w:type="dxa" w:w="80"/>
              <w:left w:type="dxa" w:w="120"/>
              <w:bottom w:type="dxa" w:w="80"/>
              <w:right w:type="dxa" w:w="120"/>
            </w:tcMar>
          </w:tcPr>
          <w:p>
            <w:r>
              <w:t xml:space="preserve">W6</w:t>
            </w:r>
          </w:p>
        </w:tc>
        <w:tc>
          <w:tcPr>
            <w:tcW w:type="dxa" w:w="900"/>
            <w:tcBorders>
              <w:top w:val="single" w:color="BFBFBF" w:sz="4"/>
              <w:left w:val="single" w:color="BFBFBF" w:sz="4"/>
              <w:bottom w:val="single" w:color="BFBFBF" w:sz="4"/>
              <w:right w:val="single" w:color="BFBFBF" w:sz="4"/>
            </w:tcBorders>
            <w:shd w:fill="FAF6EC" w:val="clear"/>
            <w:tcMar>
              <w:top w:type="dxa" w:w="80"/>
              <w:left w:type="dxa" w:w="120"/>
              <w:bottom w:type="dxa" w:w="80"/>
              <w:right w:type="dxa" w:w="120"/>
            </w:tcMar>
          </w:tcPr>
          <w:p>
            <w:r>
              <w:t xml:space="preserve">Jun 15–21</w:t>
            </w:r>
          </w:p>
        </w:tc>
        <w:tc>
          <w:tcPr>
            <w:tcW w:type="dxa" w:w="1500"/>
            <w:tcBorders>
              <w:top w:val="single" w:color="BFBFBF" w:sz="4"/>
              <w:left w:val="single" w:color="BFBFBF" w:sz="4"/>
              <w:bottom w:val="single" w:color="BFBFBF" w:sz="4"/>
              <w:right w:val="single" w:color="BFBFBF" w:sz="4"/>
            </w:tcBorders>
            <w:shd w:fill="FAF6EC" w:val="clear"/>
            <w:tcMar>
              <w:top w:type="dxa" w:w="80"/>
              <w:left w:type="dxa" w:w="120"/>
              <w:bottom w:type="dxa" w:w="80"/>
              <w:right w:type="dxa" w:w="120"/>
            </w:tcMar>
          </w:tcPr>
          <w:p>
            <w:r>
              <w:t xml:space="preserve">Game + Community</w:t>
            </w:r>
          </w:p>
        </w:tc>
        <w:tc>
          <w:tcPr>
            <w:tcW w:type="dxa" w:w="3500"/>
            <w:tcBorders>
              <w:top w:val="single" w:color="BFBFBF" w:sz="4"/>
              <w:left w:val="single" w:color="BFBFBF" w:sz="4"/>
              <w:bottom w:val="single" w:color="BFBFBF" w:sz="4"/>
              <w:right w:val="single" w:color="BFBFBF" w:sz="4"/>
            </w:tcBorders>
            <w:shd w:fill="FAF6EC" w:val="clear"/>
            <w:tcMar>
              <w:top w:type="dxa" w:w="80"/>
              <w:left w:type="dxa" w:w="120"/>
              <w:bottom w:type="dxa" w:w="80"/>
              <w:right w:type="dxa" w:w="120"/>
            </w:tcMar>
          </w:tcPr>
          <w:p>
            <w:pPr>
              <w:spacing w:after="60"/>
            </w:pPr>
            <w:r>
              <w:t xml:space="preserve">• Make Video #5 public (External Validation / clinician)</w:t>
            </w:r>
          </w:p>
          <w:p>
            <w:pPr>
              <w:spacing w:after="60"/>
            </w:pPr>
            <w:r>
              <w:t xml:space="preserve">• Publicly launch the virtual YDJ game (link via website + email)</w:t>
            </w:r>
          </w:p>
          <w:p>
            <w:pPr>
              <w:spacing w:after="60"/>
            </w:pPr>
            <w:r>
              <w:t xml:space="preserve">• Sweepstakes tease: “Play the YDJ game at NDPC for prizes”</w:t>
            </w:r>
          </w:p>
          <w:p>
            <w:pPr>
              <w:spacing w:after="60"/>
            </w:pPr>
            <w:r>
              <w:t xml:space="preserve">• Engage in 3–5 Facebook dressage group threads with genuine value</w:t>
            </w:r>
          </w:p>
          <w:p>
            <w:pPr>
              <w:spacing w:after="0"/>
            </w:pPr>
            <w:r>
              <w:t xml:space="preserve">• Capture 5 short pilot user testimonials on video for July use</w:t>
            </w:r>
          </w:p>
        </w:tc>
        <w:tc>
          <w:tcPr>
            <w:tcW w:type="dxa" w:w="1500"/>
            <w:tcBorders>
              <w:top w:val="single" w:color="BFBFBF" w:sz="4"/>
              <w:left w:val="single" w:color="BFBFBF" w:sz="4"/>
              <w:bottom w:val="single" w:color="BFBFBF" w:sz="4"/>
              <w:right w:val="single" w:color="BFBFBF" w:sz="4"/>
            </w:tcBorders>
            <w:shd w:fill="FAF6EC" w:val="clear"/>
            <w:tcMar>
              <w:top w:type="dxa" w:w="80"/>
              <w:left w:type="dxa" w:w="120"/>
              <w:bottom w:type="dxa" w:w="80"/>
              <w:right w:type="dxa" w:w="120"/>
            </w:tcMar>
          </w:tcPr>
          <w:p>
            <w:pPr>
              <w:spacing w:after="60"/>
            </w:pPr>
            <w:r>
              <w:t xml:space="preserve">YouTube</w:t>
            </w:r>
          </w:p>
          <w:p>
            <w:pPr>
              <w:spacing w:after="60"/>
            </w:pPr>
            <w:r>
              <w:t xml:space="preserve">Game</w:t>
            </w:r>
          </w:p>
          <w:p>
            <w:pPr>
              <w:spacing w:after="60"/>
            </w:pPr>
            <w:r>
              <w:t xml:space="preserve">Email</w:t>
            </w:r>
          </w:p>
          <w:p>
            <w:pPr>
              <w:spacing w:after="0"/>
            </w:pPr>
            <w:r>
              <w:t xml:space="preserve">FB groups</w:t>
            </w:r>
          </w:p>
        </w:tc>
        <w:tc>
          <w:tcPr>
            <w:tcW w:type="dxa" w:w="900"/>
            <w:tcBorders>
              <w:top w:val="single" w:color="BFBFBF" w:sz="4"/>
              <w:left w:val="single" w:color="BFBFBF" w:sz="4"/>
              <w:bottom w:val="single" w:color="BFBFBF" w:sz="4"/>
              <w:right w:val="single" w:color="BFBFBF" w:sz="4"/>
            </w:tcBorders>
            <w:shd w:fill="FAF6EC" w:val="clear"/>
            <w:tcMar>
              <w:top w:type="dxa" w:w="80"/>
              <w:left w:type="dxa" w:w="120"/>
              <w:bottom w:type="dxa" w:w="80"/>
              <w:right w:type="dxa" w:w="120"/>
            </w:tcMar>
          </w:tcPr>
          <w:p>
            <w:r>
              <w:t xml:space="preserve">$0</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W7</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Jun 22–28</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Final Pre-NDPC Push</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t xml:space="preserve">• Make Video #6 public (Personal Milestone)</w:t>
            </w:r>
          </w:p>
          <w:p>
            <w:pPr>
              <w:spacing w:after="60"/>
            </w:pPr>
            <w:r>
              <w:t xml:space="preserve">• Email: “What I’m bringing to NDPC + IC closes July 8”</w:t>
            </w:r>
          </w:p>
          <w:p>
            <w:pPr>
              <w:spacing w:after="60"/>
            </w:pPr>
            <w:r>
              <w:t xml:space="preserve">• Refresh Meta ad creative (top performer + new founder testimonial cut)</w:t>
            </w:r>
          </w:p>
          <w:p>
            <w:pPr>
              <w:spacing w:after="60"/>
            </w:pPr>
            <w:r>
              <w:t xml:space="preserve">• Pack vendor table essentials: signage, postcards, game, QR code stand, charger</w:t>
            </w:r>
          </w:p>
          <w:p>
            <w:pPr>
              <w:spacing w:after="0"/>
            </w:pPr>
            <w:r>
              <w:t xml:space="preserve">• Schedule daily NDPC posts in a draft folder so you only hit ‘post’ on-site</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t xml:space="preserve">Email</w:t>
            </w:r>
          </w:p>
          <w:p>
            <w:pPr>
              <w:spacing w:after="60"/>
            </w:pPr>
            <w:r>
              <w:t xml:space="preserve">Meta ads</w:t>
            </w:r>
          </w:p>
          <w:p>
            <w:pPr>
              <w:spacing w:after="60"/>
            </w:pPr>
            <w:r>
              <w:t xml:space="preserve">YouTube</w:t>
            </w:r>
          </w:p>
          <w:p>
            <w:pPr>
              <w:spacing w:after="0"/>
            </w:pPr>
            <w:r>
              <w:t xml:space="preserve">Logistics</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$75–$150</w:t>
            </w:r>
          </w:p>
        </w:tc>
      </w:tr>
      <w:tr>
        <w:tc>
          <w:tcPr>
            <w:tcW w:type="dxa" w:w="600"/>
            <w:tcBorders>
              <w:top w:val="single" w:color="BFBFBF" w:sz="4"/>
              <w:left w:val="single" w:color="BFBFBF" w:sz="4"/>
              <w:bottom w:val="single" w:color="BFBFBF" w:sz="4"/>
              <w:right w:val="single" w:color="BFBFBF" w:sz="4"/>
            </w:tcBorders>
            <w:shd w:fill="FAF6EC" w:val="clear"/>
            <w:tcMar>
              <w:top w:type="dxa" w:w="80"/>
              <w:left w:type="dxa" w:w="120"/>
              <w:bottom w:type="dxa" w:w="80"/>
              <w:right w:type="dxa" w:w="120"/>
            </w:tcMar>
          </w:tcPr>
          <w:p>
            <w:r>
              <w:t xml:space="preserve">W8</w:t>
            </w:r>
          </w:p>
        </w:tc>
        <w:tc>
          <w:tcPr>
            <w:tcW w:type="dxa" w:w="900"/>
            <w:tcBorders>
              <w:top w:val="single" w:color="BFBFBF" w:sz="4"/>
              <w:left w:val="single" w:color="BFBFBF" w:sz="4"/>
              <w:bottom w:val="single" w:color="BFBFBF" w:sz="4"/>
              <w:right w:val="single" w:color="BFBFBF" w:sz="4"/>
            </w:tcBorders>
            <w:shd w:fill="FAF6EC" w:val="clear"/>
            <w:tcMar>
              <w:top w:type="dxa" w:w="80"/>
              <w:left w:type="dxa" w:w="120"/>
              <w:bottom w:type="dxa" w:w="80"/>
              <w:right w:type="dxa" w:w="120"/>
            </w:tcMar>
          </w:tcPr>
          <w:p>
            <w:r>
              <w:t xml:space="preserve">Jun 29–Jul 5</w:t>
            </w:r>
          </w:p>
        </w:tc>
        <w:tc>
          <w:tcPr>
            <w:tcW w:type="dxa" w:w="1500"/>
            <w:tcBorders>
              <w:top w:val="single" w:color="BFBFBF" w:sz="4"/>
              <w:left w:val="single" w:color="BFBFBF" w:sz="4"/>
              <w:bottom w:val="single" w:color="BFBFBF" w:sz="4"/>
              <w:right w:val="single" w:color="BFBFBF" w:sz="4"/>
            </w:tcBorders>
            <w:shd w:fill="FAF6EC" w:val="clear"/>
            <w:tcMar>
              <w:top w:type="dxa" w:w="80"/>
              <w:left w:type="dxa" w:w="120"/>
              <w:bottom w:type="dxa" w:w="80"/>
              <w:right w:type="dxa" w:w="120"/>
            </w:tcMar>
          </w:tcPr>
          <w:p>
            <w:r>
              <w:t xml:space="preserve">NDPC Week</w:t>
            </w:r>
          </w:p>
        </w:tc>
        <w:tc>
          <w:tcPr>
            <w:tcW w:type="dxa" w:w="3500"/>
            <w:tcBorders>
              <w:top w:val="single" w:color="BFBFBF" w:sz="4"/>
              <w:left w:val="single" w:color="BFBFBF" w:sz="4"/>
              <w:bottom w:val="single" w:color="BFBFBF" w:sz="4"/>
              <w:right w:val="single" w:color="BFBFBF" w:sz="4"/>
            </w:tcBorders>
            <w:shd w:fill="FAF6EC" w:val="clear"/>
            <w:tcMar>
              <w:top w:type="dxa" w:w="80"/>
              <w:left w:type="dxa" w:w="120"/>
              <w:bottom w:type="dxa" w:w="80"/>
              <w:right w:type="dxa" w:w="120"/>
            </w:tcMar>
          </w:tcPr>
          <w:p>
            <w:pPr>
              <w:spacing w:after="60"/>
            </w:pPr>
            <w:r>
              <w:t xml:space="preserve">• Travel + table setup</w:t>
            </w:r>
          </w:p>
          <w:p>
            <w:pPr>
              <w:spacing w:after="60"/>
            </w:pPr>
            <w:r>
              <w:t xml:space="preserve">• Daily IG/FB stories from booth</w:t>
            </w:r>
          </w:p>
          <w:p>
            <w:pPr>
              <w:spacing w:after="60"/>
            </w:pPr>
            <w:r>
              <w:t xml:space="preserve">• Capture rider testimonials at booth (use later)</w:t>
            </w:r>
          </w:p>
          <w:p>
            <w:pPr>
              <w:spacing w:after="60"/>
            </w:pPr>
            <w:r>
              <w:t xml:space="preserve">• Run physical YDJ game + prize draws on a posted schedule</w:t>
            </w:r>
          </w:p>
          <w:p>
            <w:pPr>
              <w:spacing w:after="0"/>
            </w:pPr>
            <w:r>
              <w:t xml:space="preserve">• Email between sessions: “Live from NDPC, X IC spots left”</w:t>
            </w:r>
          </w:p>
        </w:tc>
        <w:tc>
          <w:tcPr>
            <w:tcW w:type="dxa" w:w="1500"/>
            <w:tcBorders>
              <w:top w:val="single" w:color="BFBFBF" w:sz="4"/>
              <w:left w:val="single" w:color="BFBFBF" w:sz="4"/>
              <w:bottom w:val="single" w:color="BFBFBF" w:sz="4"/>
              <w:right w:val="single" w:color="BFBFBF" w:sz="4"/>
            </w:tcBorders>
            <w:shd w:fill="FAF6EC" w:val="clear"/>
            <w:tcMar>
              <w:top w:type="dxa" w:w="80"/>
              <w:left w:type="dxa" w:w="120"/>
              <w:bottom w:type="dxa" w:w="80"/>
              <w:right w:type="dxa" w:w="120"/>
            </w:tcMar>
          </w:tcPr>
          <w:p>
            <w:pPr>
              <w:spacing w:after="60"/>
            </w:pPr>
            <w:r>
              <w:t xml:space="preserve">NDPC booth</w:t>
            </w:r>
          </w:p>
          <w:p>
            <w:pPr>
              <w:spacing w:after="60"/>
            </w:pPr>
            <w:r>
              <w:t xml:space="preserve">IG/FB stories</w:t>
            </w:r>
          </w:p>
          <w:p>
            <w:pPr>
              <w:spacing w:after="0"/>
            </w:pPr>
            <w:r>
              <w:t xml:space="preserve">Email</w:t>
            </w:r>
          </w:p>
        </w:tc>
        <w:tc>
          <w:tcPr>
            <w:tcW w:type="dxa" w:w="900"/>
            <w:tcBorders>
              <w:top w:val="single" w:color="BFBFBF" w:sz="4"/>
              <w:left w:val="single" w:color="BFBFBF" w:sz="4"/>
              <w:bottom w:val="single" w:color="BFBFBF" w:sz="4"/>
              <w:right w:val="single" w:color="BFBFBF" w:sz="4"/>
            </w:tcBorders>
            <w:shd w:fill="FAF6EC" w:val="clear"/>
            <w:tcMar>
              <w:top w:type="dxa" w:w="80"/>
              <w:left w:type="dxa" w:w="120"/>
              <w:bottom w:type="dxa" w:w="80"/>
              <w:right w:type="dxa" w:w="120"/>
            </w:tcMar>
          </w:tcPr>
          <w:p>
            <w:r>
              <w:t xml:space="preserve">$0</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W9</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Jul 6–7</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Final Sprint to IC Close</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t xml:space="preserve">• Recap post: photos + quotes from NDPC</w:t>
            </w:r>
          </w:p>
          <w:p>
            <w:pPr>
              <w:spacing w:after="60"/>
            </w:pPr>
            <w:r>
              <w:t xml:space="preserve">• Final 48-hour IC reminder email morning of July 6</w:t>
            </w:r>
          </w:p>
          <w:p>
            <w:pPr>
              <w:spacing w:after="60"/>
            </w:pPr>
            <w:r>
              <w:t xml:space="preserve">• Founder thank-you video, posted to IG/FB/YouTube</w:t>
            </w:r>
          </w:p>
          <w:p>
            <w:pPr>
              <w:spacing w:after="60"/>
            </w:pPr>
            <w:r>
              <w:t xml:space="preserve">• July 7 EOD: switch IC banner on website to “Closed”</w:t>
            </w:r>
          </w:p>
          <w:p>
            <w:pPr>
              <w:spacing w:after="0"/>
            </w:pPr>
            <w:r>
              <w:t xml:space="preserve">• Make Video #7 public to keep YouTube cadence going post-campaign</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t xml:space="preserve">Email</w:t>
            </w:r>
          </w:p>
          <w:p>
            <w:pPr>
              <w:spacing w:after="60"/>
            </w:pPr>
            <w:r>
              <w:t xml:space="preserve">IG/FB</w:t>
            </w:r>
          </w:p>
          <w:p>
            <w:pPr>
              <w:spacing w:after="0"/>
            </w:pPr>
            <w:r>
              <w:t xml:space="preserve">Website</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$0</w:t>
            </w:r>
          </w:p>
        </w:tc>
      </w:tr>
    </w:tbl>
    <w:p>
      <w:pPr>
        <w:pStyle w:val="Heading2"/>
        <w:spacing w:after="120" w:before="240"/>
      </w:pPr>
      <w:r>
        <w:rPr>
          <w:b/>
          <w:bCs/>
          <w:color w:val="5B3A1F"/>
          <w:sz w:val="28"/>
          <w:szCs w:val="28"/>
        </w:rPr>
        <w:t xml:space="preserve">Production Cadence Tip</w:t>
      </w:r>
    </w:p>
    <w:p>
      <w:pPr>
        <w:spacing w:after="100"/>
      </w:pPr>
      <w:r>
        <w:t xml:space="preserve">Pick one weekday morning each week (suggest Monday) for content production: writing posts, scheduling YouTube release, drafting that week’s email. Outside that block, you are not making content — you are running the business.</w:t>
      </w:r>
    </w:p>
    <w:p>
      <w:r>
        <w:br w:type="page"/>
      </w:r>
    </w:p>
    <w:p>
      <w:pPr>
        <w:pStyle w:val="Heading1"/>
        <w:spacing w:after="160" w:before="360"/>
      </w:pPr>
      <w:r>
        <w:rPr>
          <w:b/>
          <w:bCs/>
          <w:color w:val="5B3A1F"/>
          <w:sz w:val="36"/>
          <w:szCs w:val="36"/>
        </w:rPr>
        <w:t xml:space="preserve">6. Content Pieces Needed</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3500"/>
        <w:gridCol w:w="2400"/>
        <w:gridCol w:w="1500"/>
        <w:gridCol w:w="1500"/>
      </w:tblGrid>
      <w:tr>
        <w:trPr>
          <w:tblHeader/>
        </w:trPr>
        <w:tc>
          <w:tcPr>
            <w:tcW w:type="dxa" w:w="3500"/>
            <w:tcBorders>
              <w:top w:val="single" w:color="BFBFBF" w:sz="4"/>
              <w:left w:val="single" w:color="BFBFBF" w:sz="4"/>
              <w:bottom w:val="single" w:color="BFBFBF" w:sz="4"/>
              <w:right w:val="single" w:color="BFBFBF" w:sz="4"/>
            </w:tcBorders>
            <w:shd w:fill="F2E6D0" w:val="clear"/>
            <w:tcMar>
              <w:top w:type="dxa" w:w="80"/>
              <w:left w:type="dxa" w:w="120"/>
              <w:bottom w:type="dxa" w:w="80"/>
              <w:right w:type="dxa" w:w="120"/>
            </w:tcMar>
          </w:tcPr>
          <w:p>
            <w:r>
              <w:rPr>
                <w:b/>
                <w:bCs/>
                <w:color w:val="5B3A1F"/>
              </w:rPr>
              <w:t xml:space="preserve">Asset</w:t>
            </w:r>
          </w:p>
        </w:tc>
        <w:tc>
          <w:tcPr>
            <w:tcW w:type="dxa" w:w="2400"/>
            <w:tcBorders>
              <w:top w:val="single" w:color="BFBFBF" w:sz="4"/>
              <w:left w:val="single" w:color="BFBFBF" w:sz="4"/>
              <w:bottom w:val="single" w:color="BFBFBF" w:sz="4"/>
              <w:right w:val="single" w:color="BFBFBF" w:sz="4"/>
            </w:tcBorders>
            <w:shd w:fill="F2E6D0" w:val="clear"/>
            <w:tcMar>
              <w:top w:type="dxa" w:w="80"/>
              <w:left w:type="dxa" w:w="120"/>
              <w:bottom w:type="dxa" w:w="80"/>
              <w:right w:type="dxa" w:w="120"/>
            </w:tcMar>
          </w:tcPr>
          <w:p>
            <w:r>
              <w:rPr>
                <w:b/>
                <w:bCs/>
                <w:color w:val="5B3A1F"/>
              </w:rPr>
              <w:t xml:space="preserve">Type</w:t>
            </w:r>
          </w:p>
        </w:tc>
        <w:tc>
          <w:tcPr>
            <w:tcW w:type="dxa" w:w="1500"/>
            <w:tcBorders>
              <w:top w:val="single" w:color="BFBFBF" w:sz="4"/>
              <w:left w:val="single" w:color="BFBFBF" w:sz="4"/>
              <w:bottom w:val="single" w:color="BFBFBF" w:sz="4"/>
              <w:right w:val="single" w:color="BFBFBF" w:sz="4"/>
            </w:tcBorders>
            <w:shd w:fill="F2E6D0" w:val="clear"/>
            <w:tcMar>
              <w:top w:type="dxa" w:w="80"/>
              <w:left w:type="dxa" w:w="120"/>
              <w:bottom w:type="dxa" w:w="80"/>
              <w:right w:type="dxa" w:w="120"/>
            </w:tcMar>
          </w:tcPr>
          <w:p>
            <w:r>
              <w:rPr>
                <w:b/>
                <w:bCs/>
                <w:color w:val="5B3A1F"/>
              </w:rPr>
              <w:t xml:space="preserve">Priority</w:t>
            </w:r>
          </w:p>
        </w:tc>
        <w:tc>
          <w:tcPr>
            <w:tcW w:type="dxa" w:w="1500"/>
            <w:tcBorders>
              <w:top w:val="single" w:color="BFBFBF" w:sz="4"/>
              <w:left w:val="single" w:color="BFBFBF" w:sz="4"/>
              <w:bottom w:val="single" w:color="BFBFBF" w:sz="4"/>
              <w:right w:val="single" w:color="BFBFBF" w:sz="4"/>
            </w:tcBorders>
            <w:shd w:fill="F2E6D0" w:val="clear"/>
            <w:tcMar>
              <w:top w:type="dxa" w:w="80"/>
              <w:left w:type="dxa" w:w="120"/>
              <w:bottom w:type="dxa" w:w="80"/>
              <w:right w:type="dxa" w:w="120"/>
            </w:tcMar>
          </w:tcPr>
          <w:p>
            <w:r>
              <w:rPr>
                <w:b/>
                <w:bCs/>
                <w:color w:val="5B3A1F"/>
              </w:rPr>
              <w:t xml:space="preserve">Target date</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IC pricing page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Landing page section</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Must-have</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May 17</w:t>
            </w:r>
          </w:p>
        </w:tc>
      </w:tr>
      <w:tr>
        <w:tc>
          <w:tcPr>
            <w:tcW w:type="dxa" w:w="3500"/>
            <w:tcBorders>
              <w:top w:val="single" w:color="BFBFBF" w:sz="4"/>
              <w:left w:val="single" w:color="BFBFBF" w:sz="4"/>
              <w:bottom w:val="single" w:color="BFBFBF" w:sz="4"/>
              <w:right w:val="single" w:color="BFBFBF" w:sz="4"/>
            </w:tcBorders>
            <w:shd w:fill="FAF6EC" w:val="clear"/>
            <w:tcMar>
              <w:top w:type="dxa" w:w="80"/>
              <w:left w:type="dxa" w:w="120"/>
              <w:bottom w:type="dxa" w:w="80"/>
              <w:right w:type="dxa" w:w="120"/>
            </w:tcMar>
          </w:tcPr>
          <w:p>
            <w:r>
              <w:t xml:space="preserve">Pilot conversion email sequence (3 emails)</w:t>
            </w:r>
          </w:p>
        </w:tc>
        <w:tc>
          <w:tcPr>
            <w:tcW w:type="dxa" w:w="2400"/>
            <w:tcBorders>
              <w:top w:val="single" w:color="BFBFBF" w:sz="4"/>
              <w:left w:val="single" w:color="BFBFBF" w:sz="4"/>
              <w:bottom w:val="single" w:color="BFBFBF" w:sz="4"/>
              <w:right w:val="single" w:color="BFBFBF" w:sz="4"/>
            </w:tcBorders>
            <w:shd w:fill="FAF6EC" w:val="clear"/>
            <w:tcMar>
              <w:top w:type="dxa" w:w="80"/>
              <w:left w:type="dxa" w:w="120"/>
              <w:bottom w:type="dxa" w:w="80"/>
              <w:right w:type="dxa" w:w="120"/>
            </w:tcMar>
          </w:tcPr>
          <w:p>
            <w:r>
              <w:t xml:space="preserve">Email</w:t>
            </w:r>
          </w:p>
        </w:tc>
        <w:tc>
          <w:tcPr>
            <w:tcW w:type="dxa" w:w="1500"/>
            <w:tcBorders>
              <w:top w:val="single" w:color="BFBFBF" w:sz="4"/>
              <w:left w:val="single" w:color="BFBFBF" w:sz="4"/>
              <w:bottom w:val="single" w:color="BFBFBF" w:sz="4"/>
              <w:right w:val="single" w:color="BFBFBF" w:sz="4"/>
            </w:tcBorders>
            <w:shd w:fill="FAF6EC" w:val="clear"/>
            <w:tcMar>
              <w:top w:type="dxa" w:w="80"/>
              <w:left w:type="dxa" w:w="120"/>
              <w:bottom w:type="dxa" w:w="80"/>
              <w:right w:type="dxa" w:w="120"/>
            </w:tcMar>
          </w:tcPr>
          <w:p>
            <w:r>
              <w:t xml:space="preserve">Must-have</w:t>
            </w:r>
          </w:p>
        </w:tc>
        <w:tc>
          <w:tcPr>
            <w:tcW w:type="dxa" w:w="1500"/>
            <w:tcBorders>
              <w:top w:val="single" w:color="BFBFBF" w:sz="4"/>
              <w:left w:val="single" w:color="BFBFBF" w:sz="4"/>
              <w:bottom w:val="single" w:color="BFBFBF" w:sz="4"/>
              <w:right w:val="single" w:color="BFBFBF" w:sz="4"/>
            </w:tcBorders>
            <w:shd w:fill="FAF6EC" w:val="clear"/>
            <w:tcMar>
              <w:top w:type="dxa" w:w="80"/>
              <w:left w:type="dxa" w:w="120"/>
              <w:bottom w:type="dxa" w:w="80"/>
              <w:right w:type="dxa" w:w="120"/>
            </w:tcMar>
          </w:tcPr>
          <w:p>
            <w:r>
              <w:t xml:space="preserve">May 17 (E1) → Jul 6 (E3)</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NDPC pre-event partnership post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Image + caption</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Must-have</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Jun 8 (delivered to NDPC)</w:t>
            </w:r>
          </w:p>
        </w:tc>
      </w:tr>
      <w:tr>
        <w:tc>
          <w:tcPr>
            <w:tcW w:type="dxa" w:w="3500"/>
            <w:tcBorders>
              <w:top w:val="single" w:color="BFBFBF" w:sz="4"/>
              <w:left w:val="single" w:color="BFBFBF" w:sz="4"/>
              <w:bottom w:val="single" w:color="BFBFBF" w:sz="4"/>
              <w:right w:val="single" w:color="BFBFBF" w:sz="4"/>
            </w:tcBorders>
            <w:shd w:fill="FAF6EC" w:val="clear"/>
            <w:tcMar>
              <w:top w:type="dxa" w:w="80"/>
              <w:left w:type="dxa" w:w="120"/>
              <w:bottom w:type="dxa" w:w="80"/>
              <w:right w:type="dxa" w:w="120"/>
            </w:tcMar>
          </w:tcPr>
          <w:p>
            <w:r>
              <w:t xml:space="preserve">Founder “Why I built this” post</w:t>
            </w:r>
          </w:p>
        </w:tc>
        <w:tc>
          <w:tcPr>
            <w:tcW w:type="dxa" w:w="2400"/>
            <w:tcBorders>
              <w:top w:val="single" w:color="BFBFBF" w:sz="4"/>
              <w:left w:val="single" w:color="BFBFBF" w:sz="4"/>
              <w:bottom w:val="single" w:color="BFBFBF" w:sz="4"/>
              <w:right w:val="single" w:color="BFBFBF" w:sz="4"/>
            </w:tcBorders>
            <w:shd w:fill="FAF6EC" w:val="clear"/>
            <w:tcMar>
              <w:top w:type="dxa" w:w="80"/>
              <w:left w:type="dxa" w:w="120"/>
              <w:bottom w:type="dxa" w:w="80"/>
              <w:right w:type="dxa" w:w="120"/>
            </w:tcMar>
          </w:tcPr>
          <w:p>
            <w:r>
              <w:t xml:space="preserve">IG/FB carousel or Reel</w:t>
            </w:r>
          </w:p>
        </w:tc>
        <w:tc>
          <w:tcPr>
            <w:tcW w:type="dxa" w:w="1500"/>
            <w:tcBorders>
              <w:top w:val="single" w:color="BFBFBF" w:sz="4"/>
              <w:left w:val="single" w:color="BFBFBF" w:sz="4"/>
              <w:bottom w:val="single" w:color="BFBFBF" w:sz="4"/>
              <w:right w:val="single" w:color="BFBFBF" w:sz="4"/>
            </w:tcBorders>
            <w:shd w:fill="FAF6EC" w:val="clear"/>
            <w:tcMar>
              <w:top w:type="dxa" w:w="80"/>
              <w:left w:type="dxa" w:w="120"/>
              <w:bottom w:type="dxa" w:w="80"/>
              <w:right w:type="dxa" w:w="120"/>
            </w:tcMar>
          </w:tcPr>
          <w:p>
            <w:r>
              <w:t xml:space="preserve">Must-have</w:t>
            </w:r>
          </w:p>
        </w:tc>
        <w:tc>
          <w:tcPr>
            <w:tcW w:type="dxa" w:w="1500"/>
            <w:tcBorders>
              <w:top w:val="single" w:color="BFBFBF" w:sz="4"/>
              <w:left w:val="single" w:color="BFBFBF" w:sz="4"/>
              <w:bottom w:val="single" w:color="BFBFBF" w:sz="4"/>
              <w:right w:val="single" w:color="BFBFBF" w:sz="4"/>
            </w:tcBorders>
            <w:shd w:fill="FAF6EC" w:val="clear"/>
            <w:tcMar>
              <w:top w:type="dxa" w:w="80"/>
              <w:left w:type="dxa" w:w="120"/>
              <w:bottom w:type="dxa" w:w="80"/>
              <w:right w:type="dxa" w:w="120"/>
            </w:tcMar>
          </w:tcPr>
          <w:p>
            <w:r>
              <w:t xml:space="preserve">May 18</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Meta ad creative — 2 variations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Image + 2 captions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Must-have</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May 25</w:t>
            </w:r>
          </w:p>
        </w:tc>
      </w:tr>
      <w:tr>
        <w:tc>
          <w:tcPr>
            <w:tcW w:type="dxa" w:w="3500"/>
            <w:tcBorders>
              <w:top w:val="single" w:color="BFBFBF" w:sz="4"/>
              <w:left w:val="single" w:color="BFBFBF" w:sz="4"/>
              <w:bottom w:val="single" w:color="BFBFBF" w:sz="4"/>
              <w:right w:val="single" w:color="BFBFBF" w:sz="4"/>
            </w:tcBorders>
            <w:shd w:fill="FAF6EC" w:val="clear"/>
            <w:tcMar>
              <w:top w:type="dxa" w:w="80"/>
              <w:left w:type="dxa" w:w="120"/>
              <w:bottom w:type="dxa" w:w="80"/>
              <w:right w:type="dxa" w:w="120"/>
            </w:tcMar>
          </w:tcPr>
          <w:p>
            <w:r>
              <w:t xml:space="preserve">Print postcards with NDPC offer code</w:t>
            </w:r>
          </w:p>
        </w:tc>
        <w:tc>
          <w:tcPr>
            <w:tcW w:type="dxa" w:w="2400"/>
            <w:tcBorders>
              <w:top w:val="single" w:color="BFBFBF" w:sz="4"/>
              <w:left w:val="single" w:color="BFBFBF" w:sz="4"/>
              <w:bottom w:val="single" w:color="BFBFBF" w:sz="4"/>
              <w:right w:val="single" w:color="BFBFBF" w:sz="4"/>
            </w:tcBorders>
            <w:shd w:fill="FAF6EC" w:val="clear"/>
            <w:tcMar>
              <w:top w:type="dxa" w:w="80"/>
              <w:left w:type="dxa" w:w="120"/>
              <w:bottom w:type="dxa" w:w="80"/>
              <w:right w:type="dxa" w:w="120"/>
            </w:tcMar>
          </w:tcPr>
          <w:p>
            <w:r>
              <w:t xml:space="preserve">Print, 4x6</w:t>
            </w:r>
          </w:p>
        </w:tc>
        <w:tc>
          <w:tcPr>
            <w:tcW w:type="dxa" w:w="1500"/>
            <w:tcBorders>
              <w:top w:val="single" w:color="BFBFBF" w:sz="4"/>
              <w:left w:val="single" w:color="BFBFBF" w:sz="4"/>
              <w:bottom w:val="single" w:color="BFBFBF" w:sz="4"/>
              <w:right w:val="single" w:color="BFBFBF" w:sz="4"/>
            </w:tcBorders>
            <w:shd w:fill="FAF6EC" w:val="clear"/>
            <w:tcMar>
              <w:top w:type="dxa" w:w="80"/>
              <w:left w:type="dxa" w:w="120"/>
              <w:bottom w:type="dxa" w:w="80"/>
              <w:right w:type="dxa" w:w="120"/>
            </w:tcMar>
          </w:tcPr>
          <w:p>
            <w:r>
              <w:t xml:space="preserve">Must-have</w:t>
            </w:r>
          </w:p>
        </w:tc>
        <w:tc>
          <w:tcPr>
            <w:tcW w:type="dxa" w:w="1500"/>
            <w:tcBorders>
              <w:top w:val="single" w:color="BFBFBF" w:sz="4"/>
              <w:left w:val="single" w:color="BFBFBF" w:sz="4"/>
              <w:bottom w:val="single" w:color="BFBFBF" w:sz="4"/>
              <w:right w:val="single" w:color="BFBFBF" w:sz="4"/>
            </w:tcBorders>
            <w:shd w:fill="FAF6EC" w:val="clear"/>
            <w:tcMar>
              <w:top w:type="dxa" w:w="80"/>
              <w:left w:type="dxa" w:w="120"/>
              <w:bottom w:type="dxa" w:w="80"/>
              <w:right w:type="dxa" w:w="120"/>
            </w:tcMar>
          </w:tcPr>
          <w:p>
            <w:r>
              <w:t xml:space="preserve">Order by Jun 12</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Booth signage (table banner + QR sign)</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Print</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Must-have</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Order by Jun 12</w:t>
            </w:r>
          </w:p>
        </w:tc>
      </w:tr>
      <w:tr>
        <w:tc>
          <w:tcPr>
            <w:tcW w:type="dxa" w:w="3500"/>
            <w:tcBorders>
              <w:top w:val="single" w:color="BFBFBF" w:sz="4"/>
              <w:left w:val="single" w:color="BFBFBF" w:sz="4"/>
              <w:bottom w:val="single" w:color="BFBFBF" w:sz="4"/>
              <w:right w:val="single" w:color="BFBFBF" w:sz="4"/>
            </w:tcBorders>
            <w:shd w:fill="FAF6EC" w:val="clear"/>
            <w:tcMar>
              <w:top w:type="dxa" w:w="80"/>
              <w:left w:type="dxa" w:w="120"/>
              <w:bottom w:type="dxa" w:w="80"/>
              <w:right w:type="dxa" w:w="120"/>
            </w:tcMar>
          </w:tcPr>
          <w:p>
            <w:r>
              <w:t xml:space="preserve">Virtual game launch email</w:t>
            </w:r>
          </w:p>
        </w:tc>
        <w:tc>
          <w:tcPr>
            <w:tcW w:type="dxa" w:w="2400"/>
            <w:tcBorders>
              <w:top w:val="single" w:color="BFBFBF" w:sz="4"/>
              <w:left w:val="single" w:color="BFBFBF" w:sz="4"/>
              <w:bottom w:val="single" w:color="BFBFBF" w:sz="4"/>
              <w:right w:val="single" w:color="BFBFBF" w:sz="4"/>
            </w:tcBorders>
            <w:shd w:fill="FAF6EC" w:val="clear"/>
            <w:tcMar>
              <w:top w:type="dxa" w:w="80"/>
              <w:left w:type="dxa" w:w="120"/>
              <w:bottom w:type="dxa" w:w="80"/>
              <w:right w:type="dxa" w:w="120"/>
            </w:tcMar>
          </w:tcPr>
          <w:p>
            <w:r>
              <w:t xml:space="preserve">Email</w:t>
            </w:r>
          </w:p>
        </w:tc>
        <w:tc>
          <w:tcPr>
            <w:tcW w:type="dxa" w:w="1500"/>
            <w:tcBorders>
              <w:top w:val="single" w:color="BFBFBF" w:sz="4"/>
              <w:left w:val="single" w:color="BFBFBF" w:sz="4"/>
              <w:bottom w:val="single" w:color="BFBFBF" w:sz="4"/>
              <w:right w:val="single" w:color="BFBFBF" w:sz="4"/>
            </w:tcBorders>
            <w:shd w:fill="FAF6EC" w:val="clear"/>
            <w:tcMar>
              <w:top w:type="dxa" w:w="80"/>
              <w:left w:type="dxa" w:w="120"/>
              <w:bottom w:type="dxa" w:w="80"/>
              <w:right w:type="dxa" w:w="120"/>
            </w:tcMar>
          </w:tcPr>
          <w:p>
            <w:r>
              <w:t xml:space="preserve">Must-have</w:t>
            </w:r>
          </w:p>
        </w:tc>
        <w:tc>
          <w:tcPr>
            <w:tcW w:type="dxa" w:w="1500"/>
            <w:tcBorders>
              <w:top w:val="single" w:color="BFBFBF" w:sz="4"/>
              <w:left w:val="single" w:color="BFBFBF" w:sz="4"/>
              <w:bottom w:val="single" w:color="BFBFBF" w:sz="4"/>
              <w:right w:val="single" w:color="BFBFBF" w:sz="4"/>
            </w:tcBorders>
            <w:shd w:fill="FAF6EC" w:val="clear"/>
            <w:tcMar>
              <w:top w:type="dxa" w:w="80"/>
              <w:left w:type="dxa" w:w="120"/>
              <w:bottom w:type="dxa" w:w="80"/>
              <w:right w:type="dxa" w:w="120"/>
            </w:tcMar>
          </w:tcPr>
          <w:p>
            <w:r>
              <w:t xml:space="preserve">Jun 15</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NDPC daily stories pack (10 templates)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IG/FB stories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Must-have</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Drafted by Jun 28</w:t>
            </w:r>
          </w:p>
        </w:tc>
      </w:tr>
      <w:tr>
        <w:tc>
          <w:tcPr>
            <w:tcW w:type="dxa" w:w="3500"/>
            <w:tcBorders>
              <w:top w:val="single" w:color="BFBFBF" w:sz="4"/>
              <w:left w:val="single" w:color="BFBFBF" w:sz="4"/>
              <w:bottom w:val="single" w:color="BFBFBF" w:sz="4"/>
              <w:right w:val="single" w:color="BFBFBF" w:sz="4"/>
            </w:tcBorders>
            <w:shd w:fill="FAF6EC" w:val="clear"/>
            <w:tcMar>
              <w:top w:type="dxa" w:w="80"/>
              <w:left w:type="dxa" w:w="120"/>
              <w:bottom w:type="dxa" w:w="80"/>
              <w:right w:type="dxa" w:w="120"/>
            </w:tcMar>
          </w:tcPr>
          <w:p>
            <w:r>
              <w:t xml:space="preserve">Founder “Meet me at NDPC” Reel</w:t>
            </w:r>
          </w:p>
        </w:tc>
        <w:tc>
          <w:tcPr>
            <w:tcW w:type="dxa" w:w="2400"/>
            <w:tcBorders>
              <w:top w:val="single" w:color="BFBFBF" w:sz="4"/>
              <w:left w:val="single" w:color="BFBFBF" w:sz="4"/>
              <w:bottom w:val="single" w:color="BFBFBF" w:sz="4"/>
              <w:right w:val="single" w:color="BFBFBF" w:sz="4"/>
            </w:tcBorders>
            <w:shd w:fill="FAF6EC" w:val="clear"/>
            <w:tcMar>
              <w:top w:type="dxa" w:w="80"/>
              <w:left w:type="dxa" w:w="120"/>
              <w:bottom w:type="dxa" w:w="80"/>
              <w:right w:type="dxa" w:w="120"/>
            </w:tcMar>
          </w:tcPr>
          <w:p>
            <w:r>
              <w:t xml:space="preserve">Short video</w:t>
            </w:r>
          </w:p>
        </w:tc>
        <w:tc>
          <w:tcPr>
            <w:tcW w:type="dxa" w:w="1500"/>
            <w:tcBorders>
              <w:top w:val="single" w:color="BFBFBF" w:sz="4"/>
              <w:left w:val="single" w:color="BFBFBF" w:sz="4"/>
              <w:bottom w:val="single" w:color="BFBFBF" w:sz="4"/>
              <w:right w:val="single" w:color="BFBFBF" w:sz="4"/>
            </w:tcBorders>
            <w:shd w:fill="FAF6EC" w:val="clear"/>
            <w:tcMar>
              <w:top w:type="dxa" w:w="80"/>
              <w:left w:type="dxa" w:w="120"/>
              <w:bottom w:type="dxa" w:w="80"/>
              <w:right w:type="dxa" w:w="120"/>
            </w:tcMar>
          </w:tcPr>
          <w:p>
            <w:r>
              <w:t xml:space="preserve">Must-have</w:t>
            </w:r>
          </w:p>
        </w:tc>
        <w:tc>
          <w:tcPr>
            <w:tcW w:type="dxa" w:w="1500"/>
            <w:tcBorders>
              <w:top w:val="single" w:color="BFBFBF" w:sz="4"/>
              <w:left w:val="single" w:color="BFBFBF" w:sz="4"/>
              <w:bottom w:val="single" w:color="BFBFBF" w:sz="4"/>
              <w:right w:val="single" w:color="BFBFBF" w:sz="4"/>
            </w:tcBorders>
            <w:shd w:fill="FAF6EC" w:val="clear"/>
            <w:tcMar>
              <w:top w:type="dxa" w:w="80"/>
              <w:left w:type="dxa" w:w="120"/>
              <w:bottom w:type="dxa" w:w="80"/>
              <w:right w:type="dxa" w:w="120"/>
            </w:tcMar>
          </w:tcPr>
          <w:p>
            <w:r>
              <w:t xml:space="preserve">Jun 10</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NDPC recap email + post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Email + IG/FB</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Must-have</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Jul 6</w:t>
            </w:r>
          </w:p>
        </w:tc>
      </w:tr>
      <w:tr>
        <w:tc>
          <w:tcPr>
            <w:tcW w:type="dxa" w:w="3500"/>
            <w:tcBorders>
              <w:top w:val="single" w:color="BFBFBF" w:sz="4"/>
              <w:left w:val="single" w:color="BFBFBF" w:sz="4"/>
              <w:bottom w:val="single" w:color="BFBFBF" w:sz="4"/>
              <w:right w:val="single" w:color="BFBFBF" w:sz="4"/>
            </w:tcBorders>
            <w:shd w:fill="FAF6EC" w:val="clear"/>
            <w:tcMar>
              <w:top w:type="dxa" w:w="80"/>
              <w:left w:type="dxa" w:w="120"/>
              <w:bottom w:type="dxa" w:w="80"/>
              <w:right w:type="dxa" w:w="120"/>
            </w:tcMar>
          </w:tcPr>
          <w:p>
            <w:r>
              <w:t xml:space="preserve">Founder thank-you video</w:t>
            </w:r>
          </w:p>
        </w:tc>
        <w:tc>
          <w:tcPr>
            <w:tcW w:type="dxa" w:w="2400"/>
            <w:tcBorders>
              <w:top w:val="single" w:color="BFBFBF" w:sz="4"/>
              <w:left w:val="single" w:color="BFBFBF" w:sz="4"/>
              <w:bottom w:val="single" w:color="BFBFBF" w:sz="4"/>
              <w:right w:val="single" w:color="BFBFBF" w:sz="4"/>
            </w:tcBorders>
            <w:shd w:fill="FAF6EC" w:val="clear"/>
            <w:tcMar>
              <w:top w:type="dxa" w:w="80"/>
              <w:left w:type="dxa" w:w="120"/>
              <w:bottom w:type="dxa" w:w="80"/>
              <w:right w:type="dxa" w:w="120"/>
            </w:tcMar>
          </w:tcPr>
          <w:p>
            <w:r>
              <w:t xml:space="preserve">Short video</w:t>
            </w:r>
          </w:p>
        </w:tc>
        <w:tc>
          <w:tcPr>
            <w:tcW w:type="dxa" w:w="1500"/>
            <w:tcBorders>
              <w:top w:val="single" w:color="BFBFBF" w:sz="4"/>
              <w:left w:val="single" w:color="BFBFBF" w:sz="4"/>
              <w:bottom w:val="single" w:color="BFBFBF" w:sz="4"/>
              <w:right w:val="single" w:color="BFBFBF" w:sz="4"/>
            </w:tcBorders>
            <w:shd w:fill="FAF6EC" w:val="clear"/>
            <w:tcMar>
              <w:top w:type="dxa" w:w="80"/>
              <w:left w:type="dxa" w:w="120"/>
              <w:bottom w:type="dxa" w:w="80"/>
              <w:right w:type="dxa" w:w="120"/>
            </w:tcMar>
          </w:tcPr>
          <w:p>
            <w:r>
              <w:t xml:space="preserve">Nice-to-have</w:t>
            </w:r>
          </w:p>
        </w:tc>
        <w:tc>
          <w:tcPr>
            <w:tcW w:type="dxa" w:w="1500"/>
            <w:tcBorders>
              <w:top w:val="single" w:color="BFBFBF" w:sz="4"/>
              <w:left w:val="single" w:color="BFBFBF" w:sz="4"/>
              <w:bottom w:val="single" w:color="BFBFBF" w:sz="4"/>
              <w:right w:val="single" w:color="BFBFBF" w:sz="4"/>
            </w:tcBorders>
            <w:shd w:fill="FAF6EC" w:val="clear"/>
            <w:tcMar>
              <w:top w:type="dxa" w:w="80"/>
              <w:left w:type="dxa" w:w="120"/>
              <w:bottom w:type="dxa" w:w="80"/>
              <w:right w:type="dxa" w:w="120"/>
            </w:tcMar>
          </w:tcPr>
          <w:p>
            <w:r>
              <w:t xml:space="preserve">Jul 7</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Pilot testimonial video cuts (3–5)</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Short video</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Nice-to-have</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Jun 22</w:t>
            </w:r>
          </w:p>
        </w:tc>
      </w:tr>
    </w:tbl>
    <w:p>
      <w:pPr>
        <w:pStyle w:val="Heading1"/>
        <w:spacing w:after="160" w:before="360"/>
      </w:pPr>
      <w:r>
        <w:rPr>
          <w:b/>
          <w:bCs/>
          <w:color w:val="5B3A1F"/>
          <w:sz w:val="36"/>
          <w:szCs w:val="36"/>
        </w:rPr>
        <w:t xml:space="preserve">7. Success Metrics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3300"/>
        <w:gridCol w:w="2000"/>
        <w:gridCol w:w="2400"/>
        <w:gridCol w:w="1200"/>
      </w:tblGrid>
      <w:tr>
        <w:trPr>
          <w:tblHeader/>
        </w:trPr>
        <w:tc>
          <w:tcPr>
            <w:tcW w:type="dxa" w:w="3300"/>
            <w:tcBorders>
              <w:top w:val="single" w:color="BFBFBF" w:sz="4"/>
              <w:left w:val="single" w:color="BFBFBF" w:sz="4"/>
              <w:bottom w:val="single" w:color="BFBFBF" w:sz="4"/>
              <w:right w:val="single" w:color="BFBFBF" w:sz="4"/>
            </w:tcBorders>
            <w:shd w:fill="F2E6D0" w:val="clear"/>
            <w:tcMar>
              <w:top w:type="dxa" w:w="80"/>
              <w:left w:type="dxa" w:w="120"/>
              <w:bottom w:type="dxa" w:w="80"/>
              <w:right w:type="dxa" w:w="120"/>
            </w:tcMar>
          </w:tcPr>
          <w:p>
            <w:r>
              <w:rPr>
                <w:b/>
                <w:bCs/>
                <w:color w:val="5B3A1F"/>
              </w:rPr>
              <w:t xml:space="preserve">Metric</w:t>
            </w:r>
          </w:p>
        </w:tc>
        <w:tc>
          <w:tcPr>
            <w:tcW w:type="dxa" w:w="2000"/>
            <w:tcBorders>
              <w:top w:val="single" w:color="BFBFBF" w:sz="4"/>
              <w:left w:val="single" w:color="BFBFBF" w:sz="4"/>
              <w:bottom w:val="single" w:color="BFBFBF" w:sz="4"/>
              <w:right w:val="single" w:color="BFBFBF" w:sz="4"/>
            </w:tcBorders>
            <w:shd w:fill="F2E6D0" w:val="clear"/>
            <w:tcMar>
              <w:top w:type="dxa" w:w="80"/>
              <w:left w:type="dxa" w:w="120"/>
              <w:bottom w:type="dxa" w:w="80"/>
              <w:right w:type="dxa" w:w="120"/>
            </w:tcMar>
          </w:tcPr>
          <w:p>
            <w:r>
              <w:rPr>
                <w:b/>
                <w:bCs/>
                <w:color w:val="5B3A1F"/>
              </w:rPr>
              <w:t xml:space="preserve">Target by Jul 7</w:t>
            </w:r>
          </w:p>
        </w:tc>
        <w:tc>
          <w:tcPr>
            <w:tcW w:type="dxa" w:w="2400"/>
            <w:tcBorders>
              <w:top w:val="single" w:color="BFBFBF" w:sz="4"/>
              <w:left w:val="single" w:color="BFBFBF" w:sz="4"/>
              <w:bottom w:val="single" w:color="BFBFBF" w:sz="4"/>
              <w:right w:val="single" w:color="BFBFBF" w:sz="4"/>
            </w:tcBorders>
            <w:shd w:fill="F2E6D0" w:val="clear"/>
            <w:tcMar>
              <w:top w:type="dxa" w:w="80"/>
              <w:left w:type="dxa" w:w="120"/>
              <w:bottom w:type="dxa" w:w="80"/>
              <w:right w:type="dxa" w:w="120"/>
            </w:tcMar>
          </w:tcPr>
          <w:p>
            <w:r>
              <w:rPr>
                <w:b/>
                <w:bCs/>
                <w:color w:val="5B3A1F"/>
              </w:rPr>
              <w:t xml:space="preserve">How tracked</w:t>
            </w:r>
          </w:p>
        </w:tc>
        <w:tc>
          <w:tcPr>
            <w:tcW w:type="dxa" w:w="1200"/>
            <w:tcBorders>
              <w:top w:val="single" w:color="BFBFBF" w:sz="4"/>
              <w:left w:val="single" w:color="BFBFBF" w:sz="4"/>
              <w:bottom w:val="single" w:color="BFBFBF" w:sz="4"/>
              <w:right w:val="single" w:color="BFBFBF" w:sz="4"/>
            </w:tcBorders>
            <w:shd w:fill="F2E6D0" w:val="clear"/>
            <w:tcMar>
              <w:top w:type="dxa" w:w="80"/>
              <w:left w:type="dxa" w:w="120"/>
              <w:bottom w:type="dxa" w:w="80"/>
              <w:right w:type="dxa" w:w="120"/>
            </w:tcMar>
          </w:tcPr>
          <w:p>
            <w:r>
              <w:rPr>
                <w:b/>
                <w:bCs/>
                <w:color w:val="5B3A1F"/>
              </w:rPr>
              <w:t xml:space="preserve">Cadence</w:t>
            </w:r>
          </w:p>
        </w:tc>
      </w:tr>
      <w:tr>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color w:val="B08A3E"/>
              </w:rPr>
              <w:t xml:space="preserve">Initial Centerline sign-ups</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50 of 100</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Stripe + Firestore IC counter</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Daily</w:t>
            </w:r>
          </w:p>
        </w:tc>
      </w:tr>
      <w:tr>
        <w:tc>
          <w:tcPr>
            <w:tcW w:type="dxa" w:w="3300"/>
            <w:tcBorders>
              <w:top w:val="single" w:color="BFBFBF" w:sz="4"/>
              <w:left w:val="single" w:color="BFBFBF" w:sz="4"/>
              <w:bottom w:val="single" w:color="BFBFBF" w:sz="4"/>
              <w:right w:val="single" w:color="BFBFBF" w:sz="4"/>
            </w:tcBorders>
            <w:shd w:fill="FAF6EC" w:val="clear"/>
            <w:tcMar>
              <w:top w:type="dxa" w:w="80"/>
              <w:left w:type="dxa" w:w="120"/>
              <w:bottom w:type="dxa" w:w="80"/>
              <w:right w:type="dxa" w:w="120"/>
            </w:tcMar>
          </w:tcPr>
          <w:p>
            <w:r>
              <w:t xml:space="preserve">Pilot → paid conversion rate</w:t>
            </w:r>
          </w:p>
        </w:tc>
        <w:tc>
          <w:tcPr>
            <w:tcW w:type="dxa" w:w="2000"/>
            <w:tcBorders>
              <w:top w:val="single" w:color="BFBFBF" w:sz="4"/>
              <w:left w:val="single" w:color="BFBFBF" w:sz="4"/>
              <w:bottom w:val="single" w:color="BFBFBF" w:sz="4"/>
              <w:right w:val="single" w:color="BFBFBF" w:sz="4"/>
            </w:tcBorders>
            <w:shd w:fill="FAF6EC" w:val="clear"/>
            <w:tcMar>
              <w:top w:type="dxa" w:w="80"/>
              <w:left w:type="dxa" w:w="120"/>
              <w:bottom w:type="dxa" w:w="80"/>
              <w:right w:type="dxa" w:w="120"/>
            </w:tcMar>
          </w:tcPr>
          <w:p>
            <w:r>
              <w:t xml:space="preserve">≥ 30% of active pilots</w:t>
            </w:r>
          </w:p>
        </w:tc>
        <w:tc>
          <w:tcPr>
            <w:tcW w:type="dxa" w:w="2400"/>
            <w:tcBorders>
              <w:top w:val="single" w:color="BFBFBF" w:sz="4"/>
              <w:left w:val="single" w:color="BFBFBF" w:sz="4"/>
              <w:bottom w:val="single" w:color="BFBFBF" w:sz="4"/>
              <w:right w:val="single" w:color="BFBFBF" w:sz="4"/>
            </w:tcBorders>
            <w:shd w:fill="FAF6EC" w:val="clear"/>
            <w:tcMar>
              <w:top w:type="dxa" w:w="80"/>
              <w:left w:type="dxa" w:w="120"/>
              <w:bottom w:type="dxa" w:w="80"/>
              <w:right w:type="dxa" w:w="120"/>
            </w:tcMar>
          </w:tcPr>
          <w:p>
            <w:r>
              <w:t xml:space="preserve">Firestore: subscriptionTier transitions</w:t>
            </w:r>
          </w:p>
        </w:tc>
        <w:tc>
          <w:tcPr>
            <w:tcW w:type="dxa" w:w="1200"/>
            <w:tcBorders>
              <w:top w:val="single" w:color="BFBFBF" w:sz="4"/>
              <w:left w:val="single" w:color="BFBFBF" w:sz="4"/>
              <w:bottom w:val="single" w:color="BFBFBF" w:sz="4"/>
              <w:right w:val="single" w:color="BFBFBF" w:sz="4"/>
            </w:tcBorders>
            <w:shd w:fill="FAF6EC" w:val="clear"/>
            <w:tcMar>
              <w:top w:type="dxa" w:w="80"/>
              <w:left w:type="dxa" w:w="120"/>
              <w:bottom w:type="dxa" w:w="80"/>
              <w:right w:type="dxa" w:w="120"/>
            </w:tcMar>
          </w:tcPr>
          <w:p>
            <w:r>
              <w:t xml:space="preserve">Weekly</w:t>
            </w:r>
          </w:p>
        </w:tc>
      </w:tr>
      <w:tr>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Email list growth</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+500 net subscribers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Email tool dashboard</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Weekly</w:t>
            </w:r>
          </w:p>
        </w:tc>
      </w:tr>
      <w:tr>
        <w:tc>
          <w:tcPr>
            <w:tcW w:type="dxa" w:w="3300"/>
            <w:tcBorders>
              <w:top w:val="single" w:color="BFBFBF" w:sz="4"/>
              <w:left w:val="single" w:color="BFBFBF" w:sz="4"/>
              <w:bottom w:val="single" w:color="BFBFBF" w:sz="4"/>
              <w:right w:val="single" w:color="BFBFBF" w:sz="4"/>
            </w:tcBorders>
            <w:shd w:fill="FAF6EC" w:val="clear"/>
            <w:tcMar>
              <w:top w:type="dxa" w:w="80"/>
              <w:left w:type="dxa" w:w="120"/>
              <w:bottom w:type="dxa" w:w="80"/>
              <w:right w:type="dxa" w:w="120"/>
            </w:tcMar>
          </w:tcPr>
          <w:p>
            <w:r>
              <w:t xml:space="preserve">YouTube subscribers</w:t>
            </w:r>
          </w:p>
        </w:tc>
        <w:tc>
          <w:tcPr>
            <w:tcW w:type="dxa" w:w="2000"/>
            <w:tcBorders>
              <w:top w:val="single" w:color="BFBFBF" w:sz="4"/>
              <w:left w:val="single" w:color="BFBFBF" w:sz="4"/>
              <w:bottom w:val="single" w:color="BFBFBF" w:sz="4"/>
              <w:right w:val="single" w:color="BFBFBF" w:sz="4"/>
            </w:tcBorders>
            <w:shd w:fill="FAF6EC" w:val="clear"/>
            <w:tcMar>
              <w:top w:type="dxa" w:w="80"/>
              <w:left w:type="dxa" w:w="120"/>
              <w:bottom w:type="dxa" w:w="80"/>
              <w:right w:type="dxa" w:w="120"/>
            </w:tcMar>
          </w:tcPr>
          <w:p>
            <w:r>
              <w:t xml:space="preserve">+250 net</w:t>
            </w:r>
          </w:p>
        </w:tc>
        <w:tc>
          <w:tcPr>
            <w:tcW w:type="dxa" w:w="2400"/>
            <w:tcBorders>
              <w:top w:val="single" w:color="BFBFBF" w:sz="4"/>
              <w:left w:val="single" w:color="BFBFBF" w:sz="4"/>
              <w:bottom w:val="single" w:color="BFBFBF" w:sz="4"/>
              <w:right w:val="single" w:color="BFBFBF" w:sz="4"/>
            </w:tcBorders>
            <w:shd w:fill="FAF6EC" w:val="clear"/>
            <w:tcMar>
              <w:top w:type="dxa" w:w="80"/>
              <w:left w:type="dxa" w:w="120"/>
              <w:bottom w:type="dxa" w:w="80"/>
              <w:right w:type="dxa" w:w="120"/>
            </w:tcMar>
          </w:tcPr>
          <w:p>
            <w:r>
              <w:t xml:space="preserve">YouTube Studio</w:t>
            </w:r>
          </w:p>
        </w:tc>
        <w:tc>
          <w:tcPr>
            <w:tcW w:type="dxa" w:w="1200"/>
            <w:tcBorders>
              <w:top w:val="single" w:color="BFBFBF" w:sz="4"/>
              <w:left w:val="single" w:color="BFBFBF" w:sz="4"/>
              <w:bottom w:val="single" w:color="BFBFBF" w:sz="4"/>
              <w:right w:val="single" w:color="BFBFBF" w:sz="4"/>
            </w:tcBorders>
            <w:shd w:fill="FAF6EC" w:val="clear"/>
            <w:tcMar>
              <w:top w:type="dxa" w:w="80"/>
              <w:left w:type="dxa" w:w="120"/>
              <w:bottom w:type="dxa" w:w="80"/>
              <w:right w:type="dxa" w:w="120"/>
            </w:tcMar>
          </w:tcPr>
          <w:p>
            <w:r>
              <w:t xml:space="preserve">Weekly</w:t>
            </w:r>
          </w:p>
        </w:tc>
      </w:tr>
      <w:tr>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NDPC booth email captures</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 75</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Tally on a clipboard + post-event entry</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Daily during NDPC</w:t>
            </w:r>
          </w:p>
        </w:tc>
      </w:tr>
      <w:tr>
        <w:tc>
          <w:tcPr>
            <w:tcW w:type="dxa" w:w="3300"/>
            <w:tcBorders>
              <w:top w:val="single" w:color="BFBFBF" w:sz="4"/>
              <w:left w:val="single" w:color="BFBFBF" w:sz="4"/>
              <w:bottom w:val="single" w:color="BFBFBF" w:sz="4"/>
              <w:right w:val="single" w:color="BFBFBF" w:sz="4"/>
            </w:tcBorders>
            <w:shd w:fill="FAF6EC" w:val="clear"/>
            <w:tcMar>
              <w:top w:type="dxa" w:w="80"/>
              <w:left w:type="dxa" w:w="120"/>
              <w:bottom w:type="dxa" w:w="80"/>
              <w:right w:type="dxa" w:w="120"/>
            </w:tcMar>
          </w:tcPr>
          <w:p>
            <w:r>
              <w:t xml:space="preserve">Virtual game plays</w:t>
            </w:r>
          </w:p>
        </w:tc>
        <w:tc>
          <w:tcPr>
            <w:tcW w:type="dxa" w:w="2000"/>
            <w:tcBorders>
              <w:top w:val="single" w:color="BFBFBF" w:sz="4"/>
              <w:left w:val="single" w:color="BFBFBF" w:sz="4"/>
              <w:bottom w:val="single" w:color="BFBFBF" w:sz="4"/>
              <w:right w:val="single" w:color="BFBFBF" w:sz="4"/>
            </w:tcBorders>
            <w:shd w:fill="FAF6EC" w:val="clear"/>
            <w:tcMar>
              <w:top w:type="dxa" w:w="80"/>
              <w:left w:type="dxa" w:w="120"/>
              <w:bottom w:type="dxa" w:w="80"/>
              <w:right w:type="dxa" w:w="120"/>
            </w:tcMar>
          </w:tcPr>
          <w:p>
            <w:r>
              <w:t xml:space="preserve">≥ 200</w:t>
            </w:r>
          </w:p>
        </w:tc>
        <w:tc>
          <w:tcPr>
            <w:tcW w:type="dxa" w:w="2400"/>
            <w:tcBorders>
              <w:top w:val="single" w:color="BFBFBF" w:sz="4"/>
              <w:left w:val="single" w:color="BFBFBF" w:sz="4"/>
              <w:bottom w:val="single" w:color="BFBFBF" w:sz="4"/>
              <w:right w:val="single" w:color="BFBFBF" w:sz="4"/>
            </w:tcBorders>
            <w:shd w:fill="FAF6EC" w:val="clear"/>
            <w:tcMar>
              <w:top w:type="dxa" w:w="80"/>
              <w:left w:type="dxa" w:w="120"/>
              <w:bottom w:type="dxa" w:w="80"/>
              <w:right w:type="dxa" w:w="120"/>
            </w:tcMar>
          </w:tcPr>
          <w:p>
            <w:r>
              <w:t xml:space="preserve">In-app counter</w:t>
            </w:r>
          </w:p>
        </w:tc>
        <w:tc>
          <w:tcPr>
            <w:tcW w:type="dxa" w:w="1200"/>
            <w:tcBorders>
              <w:top w:val="single" w:color="BFBFBF" w:sz="4"/>
              <w:left w:val="single" w:color="BFBFBF" w:sz="4"/>
              <w:bottom w:val="single" w:color="BFBFBF" w:sz="4"/>
              <w:right w:val="single" w:color="BFBFBF" w:sz="4"/>
            </w:tcBorders>
            <w:shd w:fill="FAF6EC" w:val="clear"/>
            <w:tcMar>
              <w:top w:type="dxa" w:w="80"/>
              <w:left w:type="dxa" w:w="120"/>
              <w:bottom w:type="dxa" w:w="80"/>
              <w:right w:type="dxa" w:w="120"/>
            </w:tcMar>
          </w:tcPr>
          <w:p>
            <w:r>
              <w:t xml:space="preserve">Weekly</w:t>
            </w:r>
          </w:p>
        </w:tc>
      </w:tr>
      <w:tr>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Meta ads cost per click</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&lt; $1.50</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Meta Ads Manager</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Weekly during run</w:t>
            </w:r>
          </w:p>
        </w:tc>
      </w:tr>
      <w:tr>
        <w:tc>
          <w:tcPr>
            <w:tcW w:type="dxa" w:w="3300"/>
            <w:tcBorders>
              <w:top w:val="single" w:color="BFBFBF" w:sz="4"/>
              <w:left w:val="single" w:color="BFBFBF" w:sz="4"/>
              <w:bottom w:val="single" w:color="BFBFBF" w:sz="4"/>
              <w:right w:val="single" w:color="BFBFBF" w:sz="4"/>
            </w:tcBorders>
            <w:shd w:fill="FAF6EC" w:val="clear"/>
            <w:tcMar>
              <w:top w:type="dxa" w:w="80"/>
              <w:left w:type="dxa" w:w="120"/>
              <w:bottom w:type="dxa" w:w="80"/>
              <w:right w:type="dxa" w:w="120"/>
            </w:tcMar>
          </w:tcPr>
          <w:p>
            <w:r>
              <w:t xml:space="preserve">Founder post engagement rate</w:t>
            </w:r>
          </w:p>
        </w:tc>
        <w:tc>
          <w:tcPr>
            <w:tcW w:type="dxa" w:w="2000"/>
            <w:tcBorders>
              <w:top w:val="single" w:color="BFBFBF" w:sz="4"/>
              <w:left w:val="single" w:color="BFBFBF" w:sz="4"/>
              <w:bottom w:val="single" w:color="BFBFBF" w:sz="4"/>
              <w:right w:val="single" w:color="BFBFBF" w:sz="4"/>
            </w:tcBorders>
            <w:shd w:fill="FAF6EC" w:val="clear"/>
            <w:tcMar>
              <w:top w:type="dxa" w:w="80"/>
              <w:left w:type="dxa" w:w="120"/>
              <w:bottom w:type="dxa" w:w="80"/>
              <w:right w:type="dxa" w:w="120"/>
            </w:tcMar>
          </w:tcPr>
          <w:p>
            <w:r>
              <w:t xml:space="preserve">≥ 5% on top 3 posts</w:t>
            </w:r>
          </w:p>
        </w:tc>
        <w:tc>
          <w:tcPr>
            <w:tcW w:type="dxa" w:w="2400"/>
            <w:tcBorders>
              <w:top w:val="single" w:color="BFBFBF" w:sz="4"/>
              <w:left w:val="single" w:color="BFBFBF" w:sz="4"/>
              <w:bottom w:val="single" w:color="BFBFBF" w:sz="4"/>
              <w:right w:val="single" w:color="BFBFBF" w:sz="4"/>
            </w:tcBorders>
            <w:shd w:fill="FAF6EC" w:val="clear"/>
            <w:tcMar>
              <w:top w:type="dxa" w:w="80"/>
              <w:left w:type="dxa" w:w="120"/>
              <w:bottom w:type="dxa" w:w="80"/>
              <w:right w:type="dxa" w:w="120"/>
            </w:tcMar>
          </w:tcPr>
          <w:p>
            <w:r>
              <w:t xml:space="preserve">IG/FB insights</w:t>
            </w:r>
          </w:p>
        </w:tc>
        <w:tc>
          <w:tcPr>
            <w:tcW w:type="dxa" w:w="1200"/>
            <w:tcBorders>
              <w:top w:val="single" w:color="BFBFBF" w:sz="4"/>
              <w:left w:val="single" w:color="BFBFBF" w:sz="4"/>
              <w:bottom w:val="single" w:color="BFBFBF" w:sz="4"/>
              <w:right w:val="single" w:color="BFBFBF" w:sz="4"/>
            </w:tcBorders>
            <w:shd w:fill="FAF6EC" w:val="clear"/>
            <w:tcMar>
              <w:top w:type="dxa" w:w="80"/>
              <w:left w:type="dxa" w:w="120"/>
              <w:bottom w:type="dxa" w:w="80"/>
              <w:right w:type="dxa" w:w="120"/>
            </w:tcMar>
          </w:tcPr>
          <w:p>
            <w:r>
              <w:t xml:space="preserve">Weekly</w:t>
            </w:r>
          </w:p>
        </w:tc>
      </w:tr>
    </w:tbl>
    <w:p>
      <w:pPr>
        <w:pStyle w:val="Heading2"/>
        <w:spacing w:after="120" w:before="240"/>
      </w:pPr>
      <w:r>
        <w:rPr>
          <w:b/>
          <w:bCs/>
          <w:color w:val="5B3A1F"/>
          <w:sz w:val="28"/>
          <w:szCs w:val="28"/>
        </w:rPr>
        <w:t xml:space="preserve">Reporting Cadence</w:t>
      </w:r>
    </w:p>
    <w:p>
      <w:pPr>
        <w:spacing w:after="100"/>
      </w:pPr>
      <w:r>
        <w:t xml:space="preserve">Sunday evening, 30 minutes: write a 5-line update in a running notes file — sign-ups this week, top post, what surprised you, what to change next week. That is your only required reporting.</w:t>
      </w:r>
    </w:p>
    <w:p>
      <w:pPr>
        <w:pStyle w:val="Heading1"/>
        <w:spacing w:after="160" w:before="360"/>
      </w:pPr>
      <w:r>
        <w:rPr>
          <w:b/>
          <w:bCs/>
          <w:color w:val="5B3A1F"/>
          <w:sz w:val="36"/>
          <w:szCs w:val="36"/>
        </w:rPr>
        <w:t xml:space="preserve">8. Budget Allocation</w:t>
      </w:r>
    </w:p>
    <w:p>
      <w:pPr>
        <w:spacing w:after="100"/>
      </w:pPr>
      <w:r>
        <w:t xml:space="preserve">Working budget: $1,200 (midpoint of your $500–$2,000 range). Front-loaded toward the two highest-leverage moments: the W3–W4 ad amplification and the NDPC week.</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400"/>
      </w:tblGrid>
      <w:tr>
        <w:trPr>
          <w:tblHeader/>
        </w:trPr>
        <w:tc>
          <w:tcPr>
            <w:tcW w:type="dxa" w:w="3000"/>
            <w:tcBorders>
              <w:top w:val="single" w:color="BFBFBF" w:sz="4"/>
              <w:left w:val="single" w:color="BFBFBF" w:sz="4"/>
              <w:bottom w:val="single" w:color="BFBFBF" w:sz="4"/>
              <w:right w:val="single" w:color="BFBFBF" w:sz="4"/>
            </w:tcBorders>
            <w:shd w:fill="F2E6D0" w:val="clear"/>
            <w:tcMar>
              <w:top w:type="dxa" w:w="80"/>
              <w:left w:type="dxa" w:w="120"/>
              <w:bottom w:type="dxa" w:w="80"/>
              <w:right w:type="dxa" w:w="120"/>
            </w:tcMar>
          </w:tcPr>
          <w:p>
            <w:r>
              <w:rPr>
                <w:b/>
                <w:bCs/>
                <w:color w:val="5B3A1F"/>
              </w:rPr>
              <w:t xml:space="preserve">Bucket</w:t>
            </w:r>
          </w:p>
        </w:tc>
        <w:tc>
          <w:tcPr>
            <w:tcW w:type="dxa" w:w="1500"/>
            <w:tcBorders>
              <w:top w:val="single" w:color="BFBFBF" w:sz="4"/>
              <w:left w:val="single" w:color="BFBFBF" w:sz="4"/>
              <w:bottom w:val="single" w:color="BFBFBF" w:sz="4"/>
              <w:right w:val="single" w:color="BFBFBF" w:sz="4"/>
            </w:tcBorders>
            <w:shd w:fill="F2E6D0" w:val="clear"/>
            <w:tcMar>
              <w:top w:type="dxa" w:w="80"/>
              <w:left w:type="dxa" w:w="120"/>
              <w:bottom w:type="dxa" w:w="80"/>
              <w:right w:type="dxa" w:w="120"/>
            </w:tcMar>
          </w:tcPr>
          <w:p>
            <w:r>
              <w:rPr>
                <w:b/>
                <w:bCs/>
                <w:color w:val="5B3A1F"/>
              </w:rPr>
              <w:t xml:space="preserve">Allocation</w:t>
            </w:r>
          </w:p>
        </w:tc>
        <w:tc>
          <w:tcPr>
            <w:tcW w:type="dxa" w:w="4400"/>
            <w:tcBorders>
              <w:top w:val="single" w:color="BFBFBF" w:sz="4"/>
              <w:left w:val="single" w:color="BFBFBF" w:sz="4"/>
              <w:bottom w:val="single" w:color="BFBFBF" w:sz="4"/>
              <w:right w:val="single" w:color="BFBFBF" w:sz="4"/>
            </w:tcBorders>
            <w:shd w:fill="F2E6D0" w:val="clear"/>
            <w:tcMar>
              <w:top w:type="dxa" w:w="80"/>
              <w:left w:type="dxa" w:w="120"/>
              <w:bottom w:type="dxa" w:w="80"/>
              <w:right w:type="dxa" w:w="120"/>
            </w:tcMar>
          </w:tcPr>
          <w:p>
            <w:r>
              <w:rPr>
                <w:b/>
                <w:bCs/>
                <w:color w:val="5B3A1F"/>
              </w:rPr>
              <w:t xml:space="preserve">Notes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Meta paid ads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$400</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Boost the single best-performing founder post (W3), then retargeting ads in W4 + W7. Pause if CPC &gt; $2.</w:t>
            </w:r>
          </w:p>
        </w:tc>
      </w:tr>
      <w:tr>
        <w:tc>
          <w:tcPr>
            <w:tcW w:type="dxa" w:w="3000"/>
            <w:tcBorders>
              <w:top w:val="single" w:color="BFBFBF" w:sz="4"/>
              <w:left w:val="single" w:color="BFBFBF" w:sz="4"/>
              <w:bottom w:val="single" w:color="BFBFBF" w:sz="4"/>
              <w:right w:val="single" w:color="BFBFBF" w:sz="4"/>
            </w:tcBorders>
            <w:shd w:fill="FAF6EC" w:val="clear"/>
            <w:tcMar>
              <w:top w:type="dxa" w:w="80"/>
              <w:left w:type="dxa" w:w="120"/>
              <w:bottom w:type="dxa" w:w="80"/>
              <w:right w:type="dxa" w:w="120"/>
            </w:tcMar>
          </w:tcPr>
          <w:p>
            <w:r>
              <w:t xml:space="preserve">NDPC print + signage</w:t>
            </w:r>
          </w:p>
        </w:tc>
        <w:tc>
          <w:tcPr>
            <w:tcW w:type="dxa" w:w="1500"/>
            <w:tcBorders>
              <w:top w:val="single" w:color="BFBFBF" w:sz="4"/>
              <w:left w:val="single" w:color="BFBFBF" w:sz="4"/>
              <w:bottom w:val="single" w:color="BFBFBF" w:sz="4"/>
              <w:right w:val="single" w:color="BFBFBF" w:sz="4"/>
            </w:tcBorders>
            <w:shd w:fill="FAF6EC" w:val="clear"/>
            <w:tcMar>
              <w:top w:type="dxa" w:w="80"/>
              <w:left w:type="dxa" w:w="120"/>
              <w:bottom w:type="dxa" w:w="80"/>
              <w:right w:type="dxa" w:w="120"/>
            </w:tcMar>
          </w:tcPr>
          <w:p>
            <w:r>
              <w:t xml:space="preserve">$300</w:t>
            </w:r>
          </w:p>
        </w:tc>
        <w:tc>
          <w:tcPr>
            <w:tcW w:type="dxa" w:w="4400"/>
            <w:tcBorders>
              <w:top w:val="single" w:color="BFBFBF" w:sz="4"/>
              <w:left w:val="single" w:color="BFBFBF" w:sz="4"/>
              <w:bottom w:val="single" w:color="BFBFBF" w:sz="4"/>
              <w:right w:val="single" w:color="BFBFBF" w:sz="4"/>
            </w:tcBorders>
            <w:shd w:fill="FAF6EC" w:val="clear"/>
            <w:tcMar>
              <w:top w:type="dxa" w:w="80"/>
              <w:left w:type="dxa" w:w="120"/>
              <w:bottom w:type="dxa" w:w="80"/>
              <w:right w:type="dxa" w:w="120"/>
            </w:tcMar>
          </w:tcPr>
          <w:p>
            <w:r>
              <w:t xml:space="preserve">Postcards (250), table banner, business cards, QR stand.</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NDPC prize fulfillment top-ups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$150</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Small extras to round out vendor donations — ribbons, branded notebooks, a hospitality basket.</w:t>
            </w:r>
          </w:p>
        </w:tc>
      </w:tr>
      <w:tr>
        <w:tc>
          <w:tcPr>
            <w:tcW w:type="dxa" w:w="3000"/>
            <w:tcBorders>
              <w:top w:val="single" w:color="BFBFBF" w:sz="4"/>
              <w:left w:val="single" w:color="BFBFBF" w:sz="4"/>
              <w:bottom w:val="single" w:color="BFBFBF" w:sz="4"/>
              <w:right w:val="single" w:color="BFBFBF" w:sz="4"/>
            </w:tcBorders>
            <w:shd w:fill="FAF6EC" w:val="clear"/>
            <w:tcMar>
              <w:top w:type="dxa" w:w="80"/>
              <w:left w:type="dxa" w:w="120"/>
              <w:bottom w:type="dxa" w:w="80"/>
              <w:right w:type="dxa" w:w="120"/>
            </w:tcMar>
          </w:tcPr>
          <w:p>
            <w:r>
              <w:t xml:space="preserve">Email tool month upgrade (if needed)</w:t>
            </w:r>
          </w:p>
        </w:tc>
        <w:tc>
          <w:tcPr>
            <w:tcW w:type="dxa" w:w="1500"/>
            <w:tcBorders>
              <w:top w:val="single" w:color="BFBFBF" w:sz="4"/>
              <w:left w:val="single" w:color="BFBFBF" w:sz="4"/>
              <w:bottom w:val="single" w:color="BFBFBF" w:sz="4"/>
              <w:right w:val="single" w:color="BFBFBF" w:sz="4"/>
            </w:tcBorders>
            <w:shd w:fill="FAF6EC" w:val="clear"/>
            <w:tcMar>
              <w:top w:type="dxa" w:w="80"/>
              <w:left w:type="dxa" w:w="120"/>
              <w:bottom w:type="dxa" w:w="80"/>
              <w:right w:type="dxa" w:w="120"/>
            </w:tcMar>
          </w:tcPr>
          <w:p>
            <w:r>
              <w:t xml:space="preserve">$100</w:t>
            </w:r>
          </w:p>
        </w:tc>
        <w:tc>
          <w:tcPr>
            <w:tcW w:type="dxa" w:w="4400"/>
            <w:tcBorders>
              <w:top w:val="single" w:color="BFBFBF" w:sz="4"/>
              <w:left w:val="single" w:color="BFBFBF" w:sz="4"/>
              <w:bottom w:val="single" w:color="BFBFBF" w:sz="4"/>
              <w:right w:val="single" w:color="BFBFBF" w:sz="4"/>
            </w:tcBorders>
            <w:shd w:fill="FAF6EC" w:val="clear"/>
            <w:tcMar>
              <w:top w:type="dxa" w:w="80"/>
              <w:left w:type="dxa" w:w="120"/>
              <w:bottom w:type="dxa" w:w="80"/>
              <w:right w:type="dxa" w:w="120"/>
            </w:tcMar>
          </w:tcPr>
          <w:p>
            <w:r>
              <w:t xml:space="preserve">One paid month of Mailerlite or similar to handle list growth + segmentation.</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Contingency</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$250</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Reactive boosts, unexpected printing, last-minute travel needs.</w:t>
            </w:r>
          </w:p>
        </w:tc>
      </w:tr>
      <w:tr>
        <w:tc>
          <w:tcPr>
            <w:tcW w:type="dxa" w:w="3000"/>
            <w:tcBorders>
              <w:top w:val="single" w:color="BFBFBF" w:sz="4"/>
              <w:left w:val="single" w:color="BFBFBF" w:sz="4"/>
              <w:bottom w:val="single" w:color="BFBFBF" w:sz="4"/>
              <w:right w:val="single" w:color="BFBFBF" w:sz="4"/>
            </w:tcBorders>
            <w:shd w:fill="FAF6EC" w:val="clear"/>
            <w:tcMar>
              <w:top w:type="dxa" w:w="80"/>
              <w:left w:type="dxa" w:w="120"/>
              <w:bottom w:type="dxa" w:w="80"/>
              <w:right w:type="dxa" w:w="120"/>
            </w:tcMar>
          </w:tcPr>
          <w:p>
            <w:r>
              <w:rPr>
                <w:b/>
                <w:bCs/>
              </w:rPr>
              <w:t xml:space="preserve">Total</w:t>
            </w:r>
          </w:p>
        </w:tc>
        <w:tc>
          <w:tcPr>
            <w:tcW w:type="dxa" w:w="1500"/>
            <w:tcBorders>
              <w:top w:val="single" w:color="BFBFBF" w:sz="4"/>
              <w:left w:val="single" w:color="BFBFBF" w:sz="4"/>
              <w:bottom w:val="single" w:color="BFBFBF" w:sz="4"/>
              <w:right w:val="single" w:color="BFBFBF" w:sz="4"/>
            </w:tcBorders>
            <w:shd w:fill="FAF6EC" w:val="clear"/>
            <w:tcMar>
              <w:top w:type="dxa" w:w="80"/>
              <w:left w:type="dxa" w:w="120"/>
              <w:bottom w:type="dxa" w:w="80"/>
              <w:right w:type="dxa" w:w="120"/>
            </w:tcMar>
          </w:tcPr>
          <w:p>
            <w:r>
              <w:rPr>
                <w:b/>
                <w:bCs/>
              </w:rPr>
              <w:t xml:space="preserve">$1,200</w:t>
            </w:r>
          </w:p>
        </w:tc>
        <w:tc>
          <w:tcPr>
            <w:tcW w:type="dxa" w:w="4400"/>
            <w:tcBorders>
              <w:top w:val="single" w:color="BFBFBF" w:sz="4"/>
              <w:left w:val="single" w:color="BFBFBF" w:sz="4"/>
              <w:bottom w:val="single" w:color="BFBFBF" w:sz="4"/>
              <w:right w:val="single" w:color="BFBFBF" w:sz="4"/>
            </w:tcBorders>
            <w:shd w:fill="FAF6EC" w:val="clear"/>
            <w:tcMar>
              <w:top w:type="dxa" w:w="80"/>
              <w:left w:type="dxa" w:w="120"/>
              <w:bottom w:type="dxa" w:w="80"/>
              <w:right w:type="dxa" w:w="120"/>
            </w:tcMar>
          </w:tcPr>
          <w:p>
            <w:r>
              <w:rPr>
                <w:i/>
                <w:iCs/>
              </w:rPr>
              <w:t xml:space="preserve">Within the $500–$2,000 range, leaves room to flex up if a channel is over-performing.</w:t>
            </w:r>
          </w:p>
        </w:tc>
      </w:tr>
    </w:tbl>
    <w:p>
      <w:pPr>
        <w:spacing w:after="100"/>
      </w:pPr>
      <w:r>
        <w:t xml:space="preserve">If you have to cut: drop the email-tool upgrade first ($100) and trim ad spend to $250. NDPC print and prize budget should be protected — it is the campaign’s physical credibility.</w:t>
      </w:r>
    </w:p>
    <w:p>
      <w:pPr>
        <w:pStyle w:val="Heading1"/>
        <w:spacing w:after="160" w:before="360"/>
      </w:pPr>
      <w:r>
        <w:rPr>
          <w:b/>
          <w:bCs/>
          <w:color w:val="5B3A1F"/>
          <w:sz w:val="36"/>
          <w:szCs w:val="36"/>
        </w:rPr>
        <w:t xml:space="preserve">9. Risks and Mitigations</w:t>
      </w:r>
    </w:p>
    <w:p>
      <w:pPr>
        <w:pStyle w:val="Heading3"/>
        <w:spacing w:after="80" w:before="180"/>
      </w:pPr>
      <w:r>
        <w:rPr>
          <w:b/>
          <w:bCs/>
          <w:color w:val="B08A3E"/>
          <w:sz w:val="24"/>
          <w:szCs w:val="24"/>
        </w:rPr>
        <w:t xml:space="preserve">Risk: Solo bandwidth crunch</w:t>
      </w:r>
    </w:p>
    <w:p>
      <w:pPr>
        <w:spacing w:after="100"/>
      </w:pPr>
      <w:r>
        <w:t xml:space="preserve">One person cannot run paid ads, write content, manage a booth, and answer support all in the same week. Mitigation: batch content into a single weekly production block (suggest Monday morning), schedule everything in advance, and accept that NDPC week is exec-mode only — nothing new gets created on-site.</w:t>
      </w:r>
    </w:p>
    <w:p>
      <w:pPr>
        <w:pStyle w:val="Heading3"/>
        <w:spacing w:after="80" w:before="180"/>
      </w:pPr>
      <w:r>
        <w:rPr>
          <w:b/>
          <w:bCs/>
          <w:color w:val="B08A3E"/>
          <w:sz w:val="24"/>
          <w:szCs w:val="24"/>
        </w:rPr>
        <w:t xml:space="preserve">Risk: NDPC booth weather, crowd, or logistics disruption</w:t>
      </w:r>
    </w:p>
    <w:p>
      <w:pPr>
        <w:spacing w:after="100"/>
      </w:pPr>
      <w:r>
        <w:t xml:space="preserve">If foot traffic is lower than hoped, lean harder on the virtual YDJ game and digital channels for that week. Pre-stage the daily NDPC story templates so they post even if the booth is quiet.</w:t>
      </w:r>
    </w:p>
    <w:p>
      <w:pPr>
        <w:pStyle w:val="Heading3"/>
        <w:spacing w:after="80" w:before="180"/>
      </w:pPr>
      <w:r>
        <w:rPr>
          <w:b/>
          <w:bCs/>
          <w:color w:val="B08A3E"/>
          <w:sz w:val="24"/>
          <w:szCs w:val="24"/>
        </w:rPr>
        <w:t xml:space="preserve">Risk: IC adoption slow through mid-June</w:t>
      </w:r>
    </w:p>
    <w:p>
      <w:pPr>
        <w:spacing w:after="100"/>
      </w:pPr>
      <w:r>
        <w:t xml:space="preserve">If IC sign-ups are below 20 by June 15, run a 1-day founder “office hours” Live, send a personal email to every active pilot user with their name and one specific pattern from their data, and double the W7 ad budget.</w:t>
      </w:r>
    </w:p>
    <w:p>
      <w:pPr>
        <w:pStyle w:val="Heading3"/>
        <w:spacing w:after="80" w:before="180"/>
      </w:pPr>
      <w:r>
        <w:rPr>
          <w:b/>
          <w:bCs/>
          <w:color w:val="B08A3E"/>
          <w:sz w:val="24"/>
          <w:szCs w:val="24"/>
        </w:rPr>
        <w:t xml:space="preserve">Risk: Pilot users feel pushed</w:t>
      </w:r>
    </w:p>
    <w:p>
      <w:pPr>
        <w:spacing w:after="100"/>
      </w:pPr>
      <w:r>
        <w:t xml:space="preserve">Mitigation: every pilot conversion email leads with appreciation, explains the grace window clearly, and gives an honest “no hard feelings if you skip” opt-out line. The pilot relationship is more valuable than any single conversion.</w:t>
      </w:r>
    </w:p>
    <w:p>
      <w:pPr>
        <w:pStyle w:val="Heading1"/>
        <w:spacing w:after="160" w:before="360"/>
      </w:pPr>
      <w:r>
        <w:rPr>
          <w:b/>
          <w:bCs/>
          <w:color w:val="5B3A1F"/>
          <w:sz w:val="36"/>
          <w:szCs w:val="36"/>
        </w:rPr>
        <w:t xml:space="preserve">10. Next Steps (This Week, May 11–17)</w:t>
      </w:r>
    </w:p>
    <w:p>
      <w:pPr>
        <w:pStyle w:val="ListParagraph"/>
        <w:numPr>
          <w:ilvl w:val="0"/>
          <w:numId w:val="2"/>
        </w:numPr>
        <w:spacing w:after="60"/>
      </w:pPr>
      <w:r>
        <w:t xml:space="preserve">Lock IC Stripe coupons in test mode by May 13, then promote to live.</w:t>
      </w:r>
    </w:p>
    <w:p>
      <w:pPr>
        <w:pStyle w:val="ListParagraph"/>
        <w:numPr>
          <w:ilvl w:val="0"/>
          <w:numId w:val="2"/>
        </w:numPr>
        <w:spacing w:after="60"/>
      </w:pPr>
      <w:r>
        <w:t xml:space="preserve">Finalize the IC pricing page and the FAQ section by May 17.</w:t>
      </w:r>
    </w:p>
    <w:p>
      <w:pPr>
        <w:pStyle w:val="ListParagraph"/>
        <w:numPr>
          <w:ilvl w:val="0"/>
          <w:numId w:val="2"/>
        </w:numPr>
        <w:spacing w:after="60"/>
      </w:pPr>
      <w:r>
        <w:t xml:space="preserve">Email NDPC organizers to confirm the June 8–15 partnership-post window.</w:t>
      </w:r>
    </w:p>
    <w:p>
      <w:pPr>
        <w:pStyle w:val="ListParagraph"/>
        <w:numPr>
          <w:ilvl w:val="0"/>
          <w:numId w:val="2"/>
        </w:numPr>
        <w:spacing w:after="60"/>
      </w:pPr>
      <w:r>
        <w:t xml:space="preserve">Choose the 3 anchor YouTube videos for W2, W3, W4 releases. Write captions for each.</w:t>
      </w:r>
    </w:p>
    <w:p>
      <w:pPr>
        <w:pStyle w:val="ListParagraph"/>
        <w:numPr>
          <w:ilvl w:val="0"/>
          <w:numId w:val="2"/>
        </w:numPr>
        <w:spacing w:after="60"/>
      </w:pPr>
      <w:r>
        <w:t xml:space="preserve">Pull a list of the top 10 most-engaged pilot users for personal DMs in W2.</w:t>
      </w:r>
    </w:p>
    <w:p>
      <w:pPr>
        <w:pStyle w:val="ListParagraph"/>
        <w:numPr>
          <w:ilvl w:val="0"/>
          <w:numId w:val="2"/>
        </w:numPr>
        <w:spacing w:after="60"/>
      </w:pPr>
      <w:r>
        <w:t xml:space="preserve">Block off Monday mornings on your calendar for the next 9 weeks as content production time.</w:t>
      </w:r>
    </w:p>
    <w:p>
      <w:pPr>
        <w:pStyle w:val="ListParagraph"/>
        <w:numPr>
          <w:ilvl w:val="0"/>
          <w:numId w:val="2"/>
        </w:numPr>
        <w:spacing w:after="60"/>
      </w:pPr>
      <w:r>
        <w:t xml:space="preserve">Open a single running file (Notes app or Google Doc) for your Sunday 5-line weekly update.</w:t>
      </w:r>
    </w:p>
    <w:p>
      <w:pPr>
        <w:pStyle w:val="Heading2"/>
        <w:spacing w:after="120" w:before="240"/>
      </w:pPr>
      <w:r>
        <w:rPr>
          <w:b/>
          <w:bCs/>
          <w:color w:val="5B3A1F"/>
          <w:sz w:val="28"/>
          <w:szCs w:val="28"/>
        </w:rPr>
        <w:t xml:space="preserve">Want me to go deeper?</w:t>
      </w:r>
    </w:p>
    <w:p>
      <w:pPr>
        <w:spacing w:after="100"/>
      </w:pPr>
      <w:r>
        <w:t xml:space="preserve">Happy to draft the actual pilot conversion email sequence, the founder “Why I built this” post, NDPC postcard copy, the IC pricing page hero copy, or a tighter visual ad creative brief. Just say which one to start with.</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r>
    <w:r>
      <w:fldChar w:fldCharType="begin"/>
      <w:instrText xml:space="preserve">PAGE</w:instrText>
      <w:fldChar w:fldCharType="separate"/>
      <w:fldChar w:fldCharType="end"/>
    </w:r>
    <w:r>
      <w:t xml:space="preserve"> of </w:t>
    </w:r>
    <w: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b/>
        <w:bCs/>
        <w:color w:val="5B3A1F"/>
      </w:rPr>
      <w:t xml:space="preserve">YDJ Marketing Plan</w:t>
    </w:r>
    <w:r>
      <w:rPr>
        <w:color w:val="B08A3E"/>
      </w:rPr>
      <w:t xml:space="preserve">	Centerline Founders — May 10 to July 7,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5B3A1F"/>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5B3A1F"/>
      <w:sz w:val="28"/>
      <w:szCs w:val="28"/>
    </w:rPr>
  </w:style>
  <w:style w:type="paragraph" w:styleId="Heading3">
    <w:name w:val="Heading 3"/>
    <w:basedOn w:val="Normal"/>
    <w:next w:val="Normal"/>
    <w:qFormat/>
    <w:pPr>
      <w:spacing w:after="80" w:before="180"/>
      <w:outlineLvl w:val="2"/>
    </w:pPr>
    <w:rPr>
      <w:rFonts w:ascii="Arial" w:cs="Arial" w:eastAsia="Arial" w:hAnsi="Arial"/>
      <w:b/>
      <w:bCs/>
      <w:color w:val="B08A3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YDJ Centerline Founders Launch — Marketing Plan</dc:title>
  <dc:creator>Barb — Your Dressage Journey</dc:creator>
  <dc:description>Solo founder-led marketing plan, May 10 – July 7, 2026.</dc:description>
  <cp:lastModifiedBy>Un-named</cp:lastModifiedBy>
  <cp:revision>1</cp:revision>
  <dcterms:created xsi:type="dcterms:W3CDTF">2026-05-10T14:21:13.301Z</dcterms:created>
  <dcterms:modified xsi:type="dcterms:W3CDTF">2026-05-10T14:21:13.301Z</dcterms:modified>
</cp:coreProperties>
</file>

<file path=docProps/custom.xml><?xml version="1.0" encoding="utf-8"?>
<Properties xmlns="http://schemas.openxmlformats.org/officeDocument/2006/custom-properties" xmlns:vt="http://schemas.openxmlformats.org/officeDocument/2006/docPropsVTypes"/>
</file>