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NRS 520</w:t>
        <w:br w:type="textWrapping"/>
        <w:t xml:space="preserve">5 Dec 2022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Assigned Reading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Afonso AS, Roque P, Fidelis L, Veras L, Conde A, Maranhão P, Leandro S and Hazin FHV (2020) Does Lack of Knowledge Lead to Misperceptions? Disentangling the Factors Modulating Public Knowledge About and Perceptions Toward Sharks. Front. Mar. Sci. 7:663. doi: 10.3389/fmars.2020.00663.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Discussion Questions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did the authors choose to split up the REC, FENtour, and FENres groups? 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 some of the predictor variables used in the study. Next, list some of the response variables used in the study.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steps did researchers take to minimize sampling bias? 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Interpret the coefficients in Table 3. What do they tell us?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Discuss your interpretations of Figure 1 (knowledge) and 3 (perceptions).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are some of the local scale implications of this study? What are some broad scale implications of this study?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