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Final</w:t>
      </w:r>
      <w:r>
        <w:t xml:space="preserve"> </w:t>
      </w:r>
      <w:r>
        <w:t xml:space="preserve">Project</w:t>
      </w:r>
    </w:p>
    <w:p>
      <w:pPr>
        <w:pStyle w:val="Subtitle"/>
      </w:pPr>
      <w:r>
        <w:t xml:space="preserve">Trends</w:t>
      </w:r>
      <w:r>
        <w:t xml:space="preserve"> </w:t>
      </w:r>
      <w:r>
        <w:t xml:space="preserve">in</w:t>
      </w:r>
      <w:r>
        <w:t xml:space="preserve"> </w:t>
      </w:r>
      <w:r>
        <w:t xml:space="preserve">New</w:t>
      </w:r>
      <w:r>
        <w:t xml:space="preserve"> </w:t>
      </w:r>
      <w:r>
        <w:t xml:space="preserve">HIV</w:t>
      </w:r>
      <w:r>
        <w:t xml:space="preserve"> </w:t>
      </w:r>
      <w:r>
        <w:t xml:space="preserve">Diagnoses</w:t>
      </w:r>
      <w:r>
        <w:t xml:space="preserve"> </w:t>
      </w:r>
      <w:r>
        <w:t xml:space="preserve">in</w:t>
      </w:r>
      <w:r>
        <w:t xml:space="preserve"> </w:t>
      </w:r>
      <w:r>
        <w:t xml:space="preserve">the</w:t>
      </w:r>
      <w:r>
        <w:t xml:space="preserve"> </w:t>
      </w:r>
      <w:r>
        <w:t xml:space="preserve">US,</w:t>
      </w:r>
      <w:r>
        <w:t xml:space="preserve"> </w:t>
      </w:r>
      <w:r>
        <w:t xml:space="preserve">2008-2022</w:t>
      </w:r>
    </w:p>
    <w:p>
      <w:pPr>
        <w:pStyle w:val="Author"/>
      </w:pPr>
      <w:r>
        <w:t xml:space="preserve">Nicole</w:t>
      </w:r>
      <w:r>
        <w:t xml:space="preserve"> </w:t>
      </w:r>
      <w:r>
        <w:t xml:space="preserve">Luisi</w:t>
      </w:r>
    </w:p>
    <w:p>
      <w:pPr>
        <w:pStyle w:val="Date"/>
      </w:pPr>
      <w:r>
        <w:t xml:space="preserve">2023-02-24</w:t>
      </w:r>
    </w:p>
    <w:p>
      <w:pPr>
        <w:pStyle w:val="FirstParagraph"/>
      </w:pPr>
      <w:r>
        <w:t xml:space="preserve">Note: There seem to be lot of issues getting tables to render well in Word doc format, need to come back to this. I tried 5 or so different methods and they all look terrible when in a doc vs html. Also having issues with resolving crossrefs.</w:t>
      </w:r>
    </w:p>
    <w:p>
      <w:pPr>
        <w:pStyle w:val="SourceCode"/>
      </w:pPr>
      <w:r>
        <w:rPr>
          <w:rStyle w:val="VerbatimChar"/>
        </w:rPr>
        <w:t xml:space="preserve">Warning: package 'ggplot2' was built under R version 4.2.2</w:t>
      </w:r>
    </w:p>
    <w:p>
      <w:pPr>
        <w:pStyle w:val="SourceCode"/>
      </w:pPr>
      <w:r>
        <w:rPr>
          <w:rStyle w:val="VerbatimChar"/>
        </w:rPr>
        <w:t xml:space="preserve">Warning: package 'skimr' was built under R version 4.2.2</w:t>
      </w:r>
    </w:p>
    <w:p>
      <w:pPr>
        <w:pStyle w:val="SourceCode"/>
      </w:pPr>
      <w:r>
        <w:rPr>
          <w:rStyle w:val="VerbatimChar"/>
        </w:rPr>
        <w:t xml:space="preserve">Warning: package 'plotly' was built under R version 4.2.2</w:t>
      </w:r>
    </w:p>
    <w:p>
      <w:pPr>
        <w:pStyle w:val="SourceCode"/>
      </w:pPr>
      <w:r>
        <w:rPr>
          <w:rStyle w:val="VerbatimChar"/>
        </w:rPr>
        <w:t xml:space="preserve">Warning: package 'gt' was built under R version 4.2.2</w:t>
      </w:r>
    </w:p>
    <w:bookmarkStart w:id="21" w:name="summaryabstract"/>
    <w:p>
      <w:pPr>
        <w:pStyle w:val="Heading1"/>
      </w:pPr>
      <w:r>
        <w:t xml:space="preserve">1. Summary/Abstract</w:t>
      </w:r>
    </w:p>
    <w:p>
      <w:pPr>
        <w:pStyle w:val="FirstParagraph"/>
      </w:pPr>
      <w:r>
        <w:t xml:space="preserve">The purpose of this analysis is to analyze US trends in new HIV diagnoses over the past 10 years. Previous research by</w:t>
      </w:r>
      <w:r>
        <w:t xml:space="preserve"> </w:t>
      </w:r>
      <w:hyperlink r:id="rId20">
        <w:r>
          <w:rPr>
            <w:rStyle w:val="Hyperlink"/>
          </w:rPr>
          <w:t xml:space="preserve">Chapin-Bardales et al. (2017)</w:t>
        </w:r>
      </w:hyperlink>
      <w:r>
        <w:t xml:space="preserve"> </w:t>
      </w:r>
      <w:r>
        <w:t xml:space="preserve">evaluated trends in AIDS diagnosis rates by race/ethnicity between 1984-2013. This analysis will focus on new HIV diagnosesbetween 2008-2022; subgroups will include region, age group, gender, and race/ethnicity.</w:t>
      </w:r>
      <w:r>
        <w:t xml:space="preserve"> </w:t>
      </w:r>
      <w:r>
        <w:t xml:space="preserve">(Chapin-Bardales, Rosenberg, &amp; Sullivan, 2017)</w:t>
      </w:r>
    </w:p>
    <w:bookmarkEnd w:id="21"/>
    <w:bookmarkStart w:id="27" w:name="introduction"/>
    <w:p>
      <w:pPr>
        <w:pStyle w:val="Heading1"/>
      </w:pPr>
      <w:r>
        <w:t xml:space="preserve">2. Introduction</w:t>
      </w:r>
    </w:p>
    <w:bookmarkStart w:id="22"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2"/>
    <w:bookmarkStart w:id="25" w:name="description-of-data-and-data-source"/>
    <w:p>
      <w:pPr>
        <w:pStyle w:val="Heading2"/>
      </w:pPr>
      <w:r>
        <w:t xml:space="preserve">2.2 Description of data and data source</w:t>
      </w:r>
    </w:p>
    <w:p>
      <w:pPr>
        <w:pStyle w:val="FirstParagraph"/>
      </w:pPr>
      <w:r>
        <w:rPr>
          <w:bCs/>
          <w:b/>
        </w:rPr>
        <w:t xml:space="preserve">Data Source</w:t>
      </w:r>
      <w:r>
        <w:t xml:space="preserve">:</w:t>
      </w:r>
    </w:p>
    <w:p>
      <w:pPr>
        <w:pStyle w:val="BodyText"/>
      </w:pPr>
      <w:r>
        <w:rPr>
          <w:iCs/>
          <w:i/>
        </w:rPr>
        <w:t xml:space="preserve">Note: New diagnoses data are currently available through 2020. If 2021-2022 data are not available by the time the analysis needs to be completed, the analysis will be temporarily restricted to 2012-2020.</w:t>
      </w:r>
    </w:p>
    <w:p>
      <w:pPr>
        <w:numPr>
          <w:ilvl w:val="0"/>
          <w:numId w:val="1001"/>
        </w:numPr>
        <w:pStyle w:val="Compact"/>
      </w:pPr>
      <w:r>
        <w:t xml:space="preserve">HIV New Diagnoses:</w:t>
      </w:r>
      <w:r>
        <w:t xml:space="preserve"> </w:t>
      </w:r>
      <w:hyperlink r:id="rId23">
        <w:r>
          <w:rPr>
            <w:rStyle w:val="Hyperlink"/>
          </w:rPr>
          <w:t xml:space="preserve">AIDSVu</w:t>
        </w:r>
      </w:hyperlink>
      <w:r>
        <w:t xml:space="preserve"> </w:t>
      </w:r>
      <w:r>
        <w:t xml:space="preserve">(Sullivan et al., 2020)</w:t>
      </w:r>
    </w:p>
    <w:p>
      <w:pPr>
        <w:pStyle w:val="FirstParagraph"/>
      </w:pPr>
      <w:r>
        <w:rPr>
          <w:bCs/>
          <w:b/>
        </w:rPr>
        <w:t xml:space="preserve">Analysis</w:t>
      </w:r>
      <w:r>
        <w:t xml:space="preserve">:</w:t>
      </w:r>
    </w:p>
    <w:p>
      <w:pPr>
        <w:numPr>
          <w:ilvl w:val="0"/>
          <w:numId w:val="1002"/>
        </w:numPr>
        <w:pStyle w:val="Compact"/>
      </w:pPr>
      <w:r>
        <w:t xml:space="preserve">Rate (per 100,000) of new HIV diagnoses by age, gender, and race/ethnicity (national, regional)</w:t>
      </w:r>
    </w:p>
    <w:p>
      <w:pPr>
        <w:numPr>
          <w:ilvl w:val="0"/>
          <w:numId w:val="1002"/>
        </w:numPr>
        <w:pStyle w:val="Compact"/>
      </w:pPr>
      <w:r>
        <w:t xml:space="preserve">Rate ratios for new HIV diagnoses by age, gender, and race/ethnicity (national, regional)</w:t>
      </w:r>
    </w:p>
    <w:p>
      <w:pPr>
        <w:numPr>
          <w:ilvl w:val="0"/>
          <w:numId w:val="1002"/>
        </w:numPr>
        <w:pStyle w:val="Compact"/>
      </w:pPr>
      <w:r>
        <w:t xml:space="preserve">Estimated annual percent change (EAPC) for incidence</w:t>
      </w:r>
    </w:p>
    <w:p>
      <w:pPr>
        <w:numPr>
          <w:ilvl w:val="1"/>
          <w:numId w:val="1003"/>
        </w:numPr>
        <w:pStyle w:val="Compact"/>
      </w:pPr>
      <w:r>
        <w:t xml:space="preserve">Calculated using</w:t>
      </w:r>
      <w:r>
        <w:t xml:space="preserve"> </w:t>
      </w:r>
      <w:hyperlink r:id="rId24">
        <w:r>
          <w:rPr>
            <w:rStyle w:val="Hyperlink"/>
          </w:rPr>
          <w:t xml:space="preserve">Joinpoint Regression Software (R-Callable Command-Line Version 4.9.0.0)</w:t>
        </w:r>
      </w:hyperlink>
    </w:p>
    <w:p>
      <w:pPr>
        <w:numPr>
          <w:ilvl w:val="0"/>
          <w:numId w:val="1002"/>
        </w:numPr>
        <w:pStyle w:val="Compact"/>
      </w:pPr>
      <w:r>
        <w:t xml:space="preserve">Other modeling TBD based on course modules</w:t>
      </w:r>
    </w:p>
    <w:bookmarkEnd w:id="25"/>
    <w:bookmarkStart w:id="26"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r>
        <w:br w:type="page"/>
      </w:r>
    </w:p>
    <w:bookmarkEnd w:id="26"/>
    <w:bookmarkEnd w:id="27"/>
    <w:bookmarkStart w:id="31"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8" w:name="data-aquisition"/>
    <w:p>
      <w:pPr>
        <w:pStyle w:val="Heading2"/>
      </w:pPr>
      <w:r>
        <w:t xml:space="preserve">3.1 Data aquisition</w:t>
      </w:r>
    </w:p>
    <w:p>
      <w:pPr>
        <w:pStyle w:val="FirstParagraph"/>
      </w:pPr>
      <w:r>
        <w:t xml:space="preserve">Data files were downloaded from</w:t>
      </w:r>
      <w:r>
        <w:t xml:space="preserve"> </w:t>
      </w:r>
      <w:hyperlink r:id="rId23">
        <w:r>
          <w:rPr>
            <w:rStyle w:val="Hyperlink"/>
          </w:rPr>
          <w:t xml:space="preserve">AIDSVu</w:t>
        </w:r>
      </w:hyperlink>
      <w:r>
        <w:t xml:space="preserve"> </w:t>
      </w:r>
      <w:r>
        <w:t xml:space="preserve">and placed in the</w:t>
      </w:r>
      <w:r>
        <w:t xml:space="preserve"> </w:t>
      </w:r>
      <w:r>
        <w:rPr>
          <w:rStyle w:val="VerbatimChar"/>
        </w:rPr>
        <w:t xml:space="preserve">data/raw_data/AIDSVu</w:t>
      </w:r>
      <w:r>
        <w:t xml:space="preserve"> </w:t>
      </w:r>
      <w:r>
        <w:t xml:space="preserve">subfolder. The new diagnosis files consist of one xlsx file per year for each level (national, regional, etc.).</w:t>
      </w:r>
    </w:p>
    <w:bookmarkEnd w:id="28"/>
    <w:bookmarkStart w:id="29" w:name="data-import-and-cleaning"/>
    <w:p>
      <w:pPr>
        <w:pStyle w:val="Heading2"/>
      </w:pPr>
      <w:r>
        <w:t xml:space="preserve">3.2 Data import and cleaning</w:t>
      </w:r>
    </w:p>
    <w:p>
      <w:pPr>
        <w:pStyle w:val="FirstParagraph"/>
      </w:pPr>
      <w:r>
        <w:t xml:space="preserve">The</w:t>
      </w:r>
      <w:r>
        <w:t xml:space="preserve"> </w:t>
      </w:r>
      <w:r>
        <w:rPr>
          <w:rStyle w:val="VerbatimChar"/>
        </w:rPr>
        <w:t xml:space="preserve">processingcode.R</w:t>
      </w:r>
      <w:r>
        <w:t xml:space="preserve"> </w:t>
      </w:r>
      <w:r>
        <w:t xml:space="preserve">file includes the following steps:</w:t>
      </w:r>
      <w:r>
        <w:t xml:space="preserve"> </w:t>
      </w:r>
      <w:r>
        <w:t xml:space="preserve">+ Read in xlsx data files and combine all years for each level</w:t>
      </w:r>
      <w:r>
        <w:t xml:space="preserve"> </w:t>
      </w:r>
      <w:r>
        <w:t xml:space="preserve">+ Subset variables of interest and rename variables so all levels are consistent</w:t>
      </w:r>
      <w:r>
        <w:t xml:space="preserve"> </w:t>
      </w:r>
      <w:r>
        <w:t xml:space="preserve">+ View/explore data</w:t>
      </w:r>
      <w:r>
        <w:t xml:space="preserve"> </w:t>
      </w:r>
      <w:r>
        <w:t xml:space="preserve">+ Calculate new rate ratio variables for subgroups</w:t>
      </w:r>
      <w:r>
        <w:t xml:space="preserve"> </w:t>
      </w:r>
      <w:r>
        <w:t xml:space="preserve">+ Prepare combined national and regional file with all variables</w:t>
      </w:r>
    </w:p>
    <w:bookmarkEnd w:id="29"/>
    <w:bookmarkStart w:id="30"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30"/>
    <w:bookmarkEnd w:id="31"/>
    <w:bookmarkStart w:id="52" w:name="results"/>
    <w:p>
      <w:pPr>
        <w:pStyle w:val="Heading1"/>
      </w:pPr>
      <w:r>
        <w:t xml:space="preserve">4. Results</w:t>
      </w:r>
    </w:p>
    <w:bookmarkStart w:id="48" w:name="exploratorydescriptive-analysis"/>
    <w:p>
      <w:pPr>
        <w:pStyle w:val="Heading2"/>
      </w:pPr>
      <w:r>
        <w:t xml:space="preserve">4.1 Exploratory/Descriptive analysis</w:t>
      </w:r>
    </w:p>
    <w:p>
      <w:pPr>
        <w:pStyle w:val="FirstParagraph"/>
      </w:pPr>
      <w:r>
        <w:rPr>
          <w:bCs/>
          <w:b/>
        </w:rPr>
        <w:t xml:space="preserve">?@tbl-natsummarytable</w:t>
      </w:r>
      <w:r>
        <w:t xml:space="preserve"> </w:t>
      </w:r>
      <w:r>
        <w:t xml:space="preserve">shows a full summary of the National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National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Year</w:t>
            </w:r>
          </w:p>
        </w:tc>
        <w:tc>
          <w:tcPr>
            <w:tcBorders>
              <w:top w:val="single" w:sz="16" w:space="0" w:color="D3D3D3"/>
              <w:bottom w:val="single" w:sz="16" w:space="0" w:color="D3D3D3"/>
            </w:tcBorders>
          </w:tcPr>
          <w:p>
            <w:pPr>
              <w:spacing w:before="0" w:after="60"/>
              <w:keepNext/>
            </w:pPr>
            <w:r>
              <w:rPr>
                <w:rFonts w:ascii="Calibri" w:hAnsi="Calibri"/>
                <w:sz w:val="20"/>
              </w:rPr>
              <w:t xml:space="default">Geo</w:t>
            </w:r>
          </w:p>
        </w:tc>
        <w:tc>
          <w:tcPr>
            <w:tcBorders>
              <w:top w:val="single" w:sz="16" w:space="0" w:color="D3D3D3"/>
              <w:bottom w:val="single" w:sz="16" w:space="0" w:color="D3D3D3"/>
            </w:tcBorders>
          </w:tcPr>
          <w:p>
            <w:pPr>
              <w:spacing w:before="0" w:after="60"/>
              <w:keepNext/>
            </w:pPr>
            <w:r>
              <w:rPr>
                <w:rFonts w:ascii="Calibri" w:hAnsi="Calibri"/>
                <w:sz w:val="20"/>
              </w:rPr>
              <w:t xml:space="default">Overall_Rate</w:t>
            </w:r>
          </w:p>
        </w:tc>
        <w:tc>
          <w:tcPr>
            <w:tcBorders>
              <w:top w:val="single" w:sz="16" w:space="0" w:color="D3D3D3"/>
              <w:bottom w:val="single" w:sz="16" w:space="0" w:color="D3D3D3"/>
            </w:tcBorders>
          </w:tcPr>
          <w:p>
            <w:pPr>
              <w:spacing w:before="0" w:after="60"/>
              <w:keepNext/>
            </w:pPr>
            <w:r>
              <w:rPr>
                <w:rFonts w:ascii="Calibri" w:hAnsi="Calibri"/>
                <w:sz w:val="20"/>
              </w:rPr>
              <w:t xml:space="default">Male_Rate</w:t>
            </w:r>
          </w:p>
        </w:tc>
        <w:tc>
          <w:tcPr>
            <w:tcBorders>
              <w:top w:val="single" w:sz="16" w:space="0" w:color="D3D3D3"/>
              <w:bottom w:val="single" w:sz="16" w:space="0" w:color="D3D3D3"/>
            </w:tcBorders>
          </w:tcPr>
          <w:p>
            <w:pPr>
              <w:spacing w:before="0" w:after="60"/>
              <w:keepNext/>
            </w:pPr>
            <w:r>
              <w:rPr>
                <w:rFonts w:ascii="Calibri" w:hAnsi="Calibri"/>
                <w:sz w:val="20"/>
              </w:rPr>
              <w:t xml:space="default">Female_Rate</w:t>
            </w:r>
          </w:p>
        </w:tc>
        <w:tc>
          <w:tcPr>
            <w:tcBorders>
              <w:top w:val="single" w:sz="16" w:space="0" w:color="D3D3D3"/>
              <w:bottom w:val="single" w:sz="16" w:space="0" w:color="D3D3D3"/>
            </w:tcBorders>
          </w:tcPr>
          <w:p>
            <w:pPr>
              <w:spacing w:before="0" w:after="60"/>
              <w:keepNext/>
            </w:pPr>
            <w:r>
              <w:rPr>
                <w:rFonts w:ascii="Calibri" w:hAnsi="Calibri"/>
                <w:sz w:val="20"/>
              </w:rPr>
              <w:t xml:space="default">Black_Rate</w:t>
            </w:r>
          </w:p>
        </w:tc>
        <w:tc>
          <w:tcPr>
            <w:tcBorders>
              <w:top w:val="single" w:sz="16" w:space="0" w:color="D3D3D3"/>
              <w:bottom w:val="single" w:sz="16" w:space="0" w:color="D3D3D3"/>
            </w:tcBorders>
          </w:tcPr>
          <w:p>
            <w:pPr>
              <w:spacing w:before="0" w:after="60"/>
              <w:keepNext/>
            </w:pPr>
            <w:r>
              <w:rPr>
                <w:rFonts w:ascii="Calibri" w:hAnsi="Calibri"/>
                <w:sz w:val="20"/>
              </w:rPr>
              <w:t xml:space="default">White_Rate</w:t>
            </w:r>
          </w:p>
        </w:tc>
        <w:tc>
          <w:tcPr>
            <w:tcBorders>
              <w:top w:val="single" w:sz="16" w:space="0" w:color="D3D3D3"/>
              <w:bottom w:val="single" w:sz="16" w:space="0" w:color="D3D3D3"/>
            </w:tcBorders>
          </w:tcPr>
          <w:p>
            <w:pPr>
              <w:spacing w:before="0" w:after="60"/>
              <w:keepNext/>
            </w:pPr>
            <w:r>
              <w:rPr>
                <w:rFonts w:ascii="Calibri" w:hAnsi="Calibri"/>
                <w:sz w:val="20"/>
              </w:rPr>
              <w:t xml:space="default">Hispanic_Rate</w:t>
            </w:r>
          </w:p>
        </w:tc>
        <w:tc>
          <w:tcPr>
            <w:tcBorders>
              <w:top w:val="single" w:sz="16" w:space="0" w:color="D3D3D3"/>
              <w:bottom w:val="single" w:sz="16" w:space="0" w:color="D3D3D3"/>
            </w:tcBorders>
          </w:tcPr>
          <w:p>
            <w:pPr>
              <w:spacing w:before="0" w:after="60"/>
              <w:keepNext/>
            </w:pPr>
            <w:r>
              <w:rPr>
                <w:rFonts w:ascii="Calibri" w:hAnsi="Calibri"/>
                <w:sz w:val="20"/>
              </w:rPr>
              <w:t xml:space="default">Asian_Rate</w:t>
            </w:r>
          </w:p>
        </w:tc>
        <w:tc>
          <w:tcPr>
            <w:tcBorders>
              <w:top w:val="single" w:sz="16" w:space="0" w:color="D3D3D3"/>
              <w:bottom w:val="single" w:sz="16" w:space="0" w:color="D3D3D3"/>
            </w:tcBorders>
          </w:tcPr>
          <w:p>
            <w:pPr>
              <w:spacing w:before="0" w:after="60"/>
              <w:keepNext/>
            </w:pPr>
            <w:r>
              <w:rPr>
                <w:rFonts w:ascii="Calibri" w:hAnsi="Calibri"/>
                <w:sz w:val="20"/>
              </w:rPr>
              <w:t xml:space="default">AIAN_Rate</w:t>
            </w:r>
          </w:p>
        </w:tc>
        <w:tc>
          <w:tcPr>
            <w:tcBorders>
              <w:top w:val="single" w:sz="16" w:space="0" w:color="D3D3D3"/>
              <w:bottom w:val="single" w:sz="16" w:space="0" w:color="D3D3D3"/>
            </w:tcBorders>
          </w:tcPr>
          <w:p>
            <w:pPr>
              <w:spacing w:before="0" w:after="60"/>
              <w:keepNext/>
            </w:pPr>
            <w:r>
              <w:rPr>
                <w:rFonts w:ascii="Calibri" w:hAnsi="Calibri"/>
                <w:sz w:val="20"/>
              </w:rPr>
              <w:t xml:space="default">MultRace_Rate</w:t>
            </w:r>
          </w:p>
        </w:tc>
        <w:tc>
          <w:tcPr>
            <w:tcBorders>
              <w:top w:val="single" w:sz="16" w:space="0" w:color="D3D3D3"/>
              <w:bottom w:val="single" w:sz="16" w:space="0" w:color="D3D3D3"/>
            </w:tcBorders>
          </w:tcPr>
          <w:p>
            <w:pPr>
              <w:spacing w:before="0" w:after="60"/>
              <w:keepNext/>
            </w:pPr>
            <w:r>
              <w:rPr>
                <w:rFonts w:ascii="Calibri" w:hAnsi="Calibri"/>
                <w:sz w:val="20"/>
              </w:rPr>
              <w:t xml:space="default">NHPI_Rate</w:t>
            </w:r>
          </w:p>
        </w:tc>
        <w:tc>
          <w:tcPr>
            <w:tcBorders>
              <w:top w:val="single" w:sz="16" w:space="0" w:color="D3D3D3"/>
              <w:bottom w:val="single" w:sz="16" w:space="0" w:color="D3D3D3"/>
            </w:tcBorders>
          </w:tcPr>
          <w:p>
            <w:pPr>
              <w:spacing w:before="0" w:after="60"/>
              <w:keepNext/>
            </w:pPr>
            <w:r>
              <w:rPr>
                <w:rFonts w:ascii="Calibri" w:hAnsi="Calibri"/>
                <w:sz w:val="20"/>
              </w:rPr>
              <w:t xml:space="default">Age13t24_Rate</w:t>
            </w:r>
          </w:p>
        </w:tc>
        <w:tc>
          <w:tcPr>
            <w:tcBorders>
              <w:top w:val="single" w:sz="16" w:space="0" w:color="D3D3D3"/>
              <w:bottom w:val="single" w:sz="16" w:space="0" w:color="D3D3D3"/>
            </w:tcBorders>
          </w:tcPr>
          <w:p>
            <w:pPr>
              <w:spacing w:before="0" w:after="60"/>
              <w:keepNext/>
            </w:pPr>
            <w:r>
              <w:rPr>
                <w:rFonts w:ascii="Calibri" w:hAnsi="Calibri"/>
                <w:sz w:val="20"/>
              </w:rPr>
              <w:t xml:space="default">Age25t34_Rate</w:t>
            </w:r>
          </w:p>
        </w:tc>
        <w:tc>
          <w:tcPr>
            <w:tcBorders>
              <w:top w:val="single" w:sz="16" w:space="0" w:color="D3D3D3"/>
              <w:bottom w:val="single" w:sz="16" w:space="0" w:color="D3D3D3"/>
            </w:tcBorders>
          </w:tcPr>
          <w:p>
            <w:pPr>
              <w:spacing w:before="0" w:after="60"/>
              <w:keepNext/>
            </w:pPr>
            <w:r>
              <w:rPr>
                <w:rFonts w:ascii="Calibri" w:hAnsi="Calibri"/>
                <w:sz w:val="20"/>
              </w:rPr>
              <w:t xml:space="default">Age35t44_Rate</w:t>
            </w:r>
          </w:p>
        </w:tc>
        <w:tc>
          <w:tcPr>
            <w:tcBorders>
              <w:top w:val="single" w:sz="16" w:space="0" w:color="D3D3D3"/>
              <w:bottom w:val="single" w:sz="16" w:space="0" w:color="D3D3D3"/>
            </w:tcBorders>
          </w:tcPr>
          <w:p>
            <w:pPr>
              <w:spacing w:before="0" w:after="60"/>
              <w:keepNext/>
            </w:pPr>
            <w:r>
              <w:rPr>
                <w:rFonts w:ascii="Calibri" w:hAnsi="Calibri"/>
                <w:sz w:val="20"/>
              </w:rPr>
              <w:t xml:space="default">Age45t54_Rate</w:t>
            </w:r>
          </w:p>
        </w:tc>
        <w:tc>
          <w:tcPr>
            <w:tcBorders>
              <w:top w:val="single" w:sz="16" w:space="0" w:color="D3D3D3"/>
              <w:bottom w:val="single" w:sz="16" w:space="0" w:color="D3D3D3"/>
            </w:tcBorders>
          </w:tcPr>
          <w:p>
            <w:pPr>
              <w:spacing w:before="0" w:after="60"/>
              <w:keepNext/>
            </w:pPr>
            <w:r>
              <w:rPr>
                <w:rFonts w:ascii="Calibri" w:hAnsi="Calibri"/>
                <w:sz w:val="20"/>
              </w:rPr>
              <w:t xml:space="default">Age55p_Rate</w:t>
            </w:r>
          </w:p>
        </w:tc>
        <w:tc>
          <w:tcPr>
            <w:tcBorders>
              <w:top w:val="single" w:sz="16" w:space="0" w:color="D3D3D3"/>
              <w:bottom w:val="single" w:sz="16" w:space="0" w:color="D3D3D3"/>
            </w:tcBorders>
          </w:tcPr>
          <w:p>
            <w:pPr>
              <w:spacing w:before="0" w:after="60"/>
              <w:keepNext/>
            </w:pPr>
            <w:r>
              <w:rPr>
                <w:rFonts w:ascii="Calibri" w:hAnsi="Calibri"/>
                <w:sz w:val="20"/>
              </w:rPr>
              <w:t xml:space="default">black_white_rateratio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hispanic_white_rateratio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asian_white_rateratio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aian_white_rateratio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multrace_white_rateratio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nhpi_white_rateratio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female_male_rateratio</w:t>
            </w:r>
          </w:p>
        </w:tc>
        <w:tc>
          <w:tcPr>
            <w:tcBorders>
              <w:top w:val="single" w:sz="16" w:space="0" w:color="D3D3D3"/>
              <w:bottom w:val="single" w:sz="16" w:space="0" w:color="D3D3D3"/>
            </w:tcBorders>
          </w:tcPr>
          <w:p>
            <w:pPr>
              <w:spacing w:before="0" w:after="60"/>
              <w:keepNext/>
            </w:pPr>
            <w:r>
              <w:rPr>
                <w:rFonts w:ascii="Calibri" w:hAnsi="Calibri"/>
                <w:sz w:val="20"/>
              </w:rPr>
              <w:t xml:space="default">age13t24_age35t44_rateratio</w:t>
            </w:r>
          </w:p>
        </w:tc>
        <w:tc>
          <w:tcPr>
            <w:tcBorders>
              <w:top w:val="single" w:sz="16" w:space="0" w:color="D3D3D3"/>
              <w:bottom w:val="single" w:sz="16" w:space="0" w:color="D3D3D3"/>
            </w:tcBorders>
          </w:tcPr>
          <w:p>
            <w:pPr>
              <w:spacing w:before="0" w:after="60"/>
              <w:keepNext/>
            </w:pPr>
            <w:r>
              <w:rPr>
                <w:rFonts w:ascii="Calibri" w:hAnsi="Calibri"/>
                <w:sz w:val="20"/>
              </w:rPr>
              <w:t xml:space="default">age25t34_age35t44_rateratio</w:t>
            </w:r>
          </w:p>
        </w:tc>
        <w:tc>
          <w:tcPr>
            <w:tcBorders>
              <w:top w:val="single" w:sz="16" w:space="0" w:color="D3D3D3"/>
              <w:bottom w:val="single" w:sz="16" w:space="0" w:color="D3D3D3"/>
            </w:tcBorders>
          </w:tcPr>
          <w:p>
            <w:pPr>
              <w:spacing w:before="0" w:after="60"/>
              <w:keepNext/>
            </w:pPr>
            <w:r>
              <w:rPr>
                <w:rFonts w:ascii="Calibri" w:hAnsi="Calibri"/>
                <w:sz w:val="20"/>
              </w:rPr>
              <w:t xml:space="default">age45t54_age35t44_rateratio</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age45t54_age55p_rateratio</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bl>
    <w:p>
      <w:pPr>
        <w:pStyle w:val="BodyText"/>
      </w:pPr>
      <w:r>
        <w:rPr>
          <w:bCs/>
          <w:b/>
        </w:rPr>
        <w:t xml:space="preserve">?@fig-natplots</w:t>
      </w:r>
      <w:r>
        <w:t xml:space="preserve"> </w:t>
      </w:r>
      <w:r>
        <w:t xml:space="preserve">shows exploratory plots for the national rates by subgroup.</w:t>
      </w:r>
    </w:p>
    <w:tbl>
      <w:tblPr>
        <w:tblStyle w:val="Table"/>
        <w:tblW w:type="pct" w:w="5000"/>
        <w:tblLook w:firstRow="0" w:lastRow="0" w:firstColumn="0" w:lastColumn="0" w:noHBand="0" w:noVBand="0" w:val="0000"/>
      </w:tblPr>
      <w:tblGrid>
        <w:gridCol w:w="7920"/>
      </w:tblGrid>
      <w:tr>
        <w:tc>
          <w:tcPr/>
          <w:bookmarkStart w:id="35" w:name="fig-natplots-1"/>
          <w:p>
            <w:pPr>
              <w:pStyle w:val="Figure"/>
              <w:jc w:val="center"/>
            </w:pPr>
            <w:r>
              <w:drawing>
                <wp:inline>
                  <wp:extent cx="4572000" cy="3657600"/>
                  <wp:effectExtent b="0" l="0" r="0" t="0"/>
                  <wp:docPr descr="" title="" id="33" name="Picture"/>
                  <a:graphic>
                    <a:graphicData uri="http://schemas.openxmlformats.org/drawingml/2006/picture">
                      <pic:pic>
                        <pic:nvPicPr>
                          <pic:cNvPr descr="Manuscript_files/figure-docx/fig-natplots-1.png" id="34" name="Picture"/>
                          <pic:cNvPicPr>
                            <a:picLocks noChangeArrowheads="1" noChangeAspect="1"/>
                          </pic:cNvPicPr>
                        </pic:nvPicPr>
                        <pic:blipFill>
                          <a:blip r:embed="rId32"/>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National rates by subgroup</w:t>
            </w:r>
          </w:p>
          <w:bookmarkEnd w:id="35"/>
        </w:tc>
      </w:tr>
    </w:tbl>
    <w:tbl>
      <w:tblPr>
        <w:tblStyle w:val="Table"/>
        <w:tblW w:type="pct" w:w="5000"/>
        <w:tblLook w:firstRow="0" w:lastRow="0" w:firstColumn="0" w:lastColumn="0" w:noHBand="0" w:noVBand="0" w:val="0000"/>
      </w:tblPr>
      <w:tblGrid>
        <w:gridCol w:w="7920"/>
      </w:tblGrid>
      <w:tr>
        <w:tc>
          <w:tcPr/>
          <w:bookmarkStart w:id="39" w:name="fig-natplots-2"/>
          <w:p>
            <w:pPr>
              <w:pStyle w:val="Figure"/>
              <w:jc w:val="center"/>
            </w:pPr>
            <w:r>
              <w:drawing>
                <wp:inline>
                  <wp:extent cx="4572000" cy="3657600"/>
                  <wp:effectExtent b="0" l="0" r="0" t="0"/>
                  <wp:docPr descr="" title="" id="37" name="Picture"/>
                  <a:graphic>
                    <a:graphicData uri="http://schemas.openxmlformats.org/drawingml/2006/picture">
                      <pic:pic>
                        <pic:nvPicPr>
                          <pic:cNvPr descr="Manuscript_files/figure-docx/fig-natplots-2.png" id="38" name="Picture"/>
                          <pic:cNvPicPr>
                            <a:picLocks noChangeArrowheads="1" noChangeAspect="1"/>
                          </pic:cNvPicPr>
                        </pic:nvPicPr>
                        <pic:blipFill>
                          <a:blip r:embed="rId36"/>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National rates by subgroup</w:t>
            </w:r>
          </w:p>
          <w:bookmarkEnd w:id="39"/>
        </w:tc>
      </w:tr>
    </w:tbl>
    <w:tbl>
      <w:tblPr>
        <w:tblStyle w:val="Table"/>
        <w:tblW w:type="pct" w:w="5000"/>
        <w:tblLook w:firstRow="0" w:lastRow="0" w:firstColumn="0" w:lastColumn="0" w:noHBand="0" w:noVBand="0" w:val="0000"/>
      </w:tblPr>
      <w:tblGrid>
        <w:gridCol w:w="7920"/>
      </w:tblGrid>
      <w:tr>
        <w:tc>
          <w:tcPr/>
          <w:bookmarkStart w:id="43" w:name="fig-natplots-3"/>
          <w:p>
            <w:pPr>
              <w:pStyle w:val="Figure"/>
              <w:jc w:val="center"/>
            </w:pPr>
            <w:r>
              <w:drawing>
                <wp:inline>
                  <wp:extent cx="4572000" cy="3657600"/>
                  <wp:effectExtent b="0" l="0" r="0" t="0"/>
                  <wp:docPr descr="" title="" id="41" name="Picture"/>
                  <a:graphic>
                    <a:graphicData uri="http://schemas.openxmlformats.org/drawingml/2006/picture">
                      <pic:pic>
                        <pic:nvPicPr>
                          <pic:cNvPr descr="Manuscript_files/figure-docx/fig-natplots-3.png" id="42" name="Picture"/>
                          <pic:cNvPicPr>
                            <a:picLocks noChangeArrowheads="1" noChangeAspect="1"/>
                          </pic:cNvPicPr>
                        </pic:nvPicPr>
                        <pic:blipFill>
                          <a:blip r:embed="rId40"/>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National rates by subgroup</w:t>
            </w:r>
          </w:p>
          <w:bookmarkEnd w:id="43"/>
        </w:tc>
      </w:tr>
    </w:tbl>
    <w:p>
      <w:pPr>
        <w:pStyle w:val="BodyText"/>
      </w:pPr>
      <w:r>
        <w:rPr>
          <w:bCs/>
          <w:b/>
        </w:rPr>
        <w:t xml:space="preserve">?@tbl-natratios</w:t>
      </w:r>
      <w:r>
        <w:t xml:space="preserve"> </w:t>
      </w:r>
      <w:r>
        <w:t xml:space="preserve">shows a summary of selected rate ratios for race/ethnicity and sex.</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Rate Ratios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Year</w:t>
            </w:r>
          </w:p>
        </w:tc>
        <w:tc>
          <w:tcPr>
            <w:tcBorders>
              <w:top w:val="single" w:sz="16" w:space="0" w:color="D3D3D3"/>
              <w:bottom w:val="single" w:sz="16" w:space="0" w:color="D3D3D3"/>
            </w:tcBorders>
          </w:tcPr>
          <w:p>
            <w:pPr>
              <w:spacing w:before="0" w:after="60"/>
              <w:keepNext/>
            </w:pPr>
            <w:r>
              <w:rPr>
                <w:rFonts w:ascii="Calibri" w:hAnsi="Calibri"/>
                <w:sz w:val="20"/>
              </w:rPr>
              <w:t xml:space="default">Black_Rate</w:t>
            </w:r>
          </w:p>
        </w:tc>
        <w:tc>
          <w:tcPr>
            <w:tcBorders>
              <w:top w:val="single" w:sz="16" w:space="0" w:color="D3D3D3"/>
              <w:bottom w:val="single" w:sz="16" w:space="0" w:color="D3D3D3"/>
            </w:tcBorders>
          </w:tcPr>
          <w:p>
            <w:pPr>
              <w:spacing w:before="0" w:after="60"/>
              <w:keepNext/>
            </w:pPr>
            <w:r>
              <w:rPr>
                <w:rFonts w:ascii="Calibri" w:hAnsi="Calibri"/>
                <w:sz w:val="20"/>
              </w:rPr>
              <w:t xml:space="default">White_Rate</w:t>
            </w:r>
          </w:p>
        </w:tc>
        <w:tc>
          <w:tcPr>
            <w:tcBorders>
              <w:top w:val="single" w:sz="16" w:space="0" w:color="D3D3D3"/>
              <w:bottom w:val="single" w:sz="16" w:space="0" w:color="D3D3D3"/>
            </w:tcBorders>
          </w:tcPr>
          <w:p>
            <w:pPr>
              <w:spacing w:before="0" w:after="60"/>
              <w:keepNext/>
            </w:pPr>
            <w:r>
              <w:rPr>
                <w:rFonts w:ascii="Calibri" w:hAnsi="Calibri"/>
                <w:sz w:val="20"/>
              </w:rPr>
              <w:t xml:space="default">Hispanic_Rate</w:t>
            </w:r>
          </w:p>
        </w:tc>
        <w:tc>
          <w:tcPr>
            <w:tcBorders>
              <w:top w:val="single" w:sz="16" w:space="0" w:color="D3D3D3"/>
              <w:bottom w:val="single" w:sz="16" w:space="0" w:color="D3D3D3"/>
            </w:tcBorders>
          </w:tcPr>
          <w:p>
            <w:pPr>
              <w:spacing w:before="0" w:after="60"/>
              <w:keepNext/>
            </w:pPr>
            <w:r>
              <w:rPr>
                <w:rFonts w:ascii="Calibri" w:hAnsi="Calibri"/>
                <w:sz w:val="20"/>
              </w:rPr>
              <w:t xml:space="default">black_white_rateratio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hispanic_white_rateratio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Male_Rate</w:t>
            </w:r>
          </w:p>
        </w:tc>
        <w:tc>
          <w:tcPr>
            <w:tcBorders>
              <w:top w:val="single" w:sz="16" w:space="0" w:color="D3D3D3"/>
              <w:bottom w:val="single" w:sz="16" w:space="0" w:color="D3D3D3"/>
            </w:tcBorders>
          </w:tcPr>
          <w:p>
            <w:pPr>
              <w:spacing w:before="0" w:after="60"/>
              <w:keepNext/>
            </w:pPr>
            <w:r>
              <w:rPr>
                <w:rFonts w:ascii="Calibri" w:hAnsi="Calibri"/>
                <w:sz w:val="20"/>
              </w:rPr>
              <w:t xml:space="default">Female_Rate</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female_male_rateratio</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9.7</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0.3</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9.7</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0.3</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9.4</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0.3</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9.3</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0.3</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8.7</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24.0</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8.7</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8.7</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8.8</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8.7</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8.7</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8.5</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8.6</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8.1</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shd w:val="clear" w:color="auto" w:fill="F1EB9C"/>
          </w:tcPr>
          <w:p>
            <w:pPr>
              <w:spacing w:before="0" w:after="60"/>
              <w:keepNext/>
            </w:pPr>
            <w:r>
              <w:rPr>
                <w:rFonts w:ascii="Calibri" w:hAnsi="Calibri"/>
                <w:sz w:val="20"/>
                <w:b w:val="true"/>
              </w:rPr>
              <w:t xml:space="default">0.2</w:t>
            </w:r>
          </w:p>
        </w:tc>
      </w:tr>
    </w:tbl>
    <w:p>
      <w:pPr>
        <w:pStyle w:val="BodyText"/>
      </w:pPr>
      <w:r>
        <w:rPr>
          <w:bCs/>
          <w:b/>
        </w:rPr>
        <w:t xml:space="preserve">?@tbl-regsummarytable</w:t>
      </w:r>
      <w:r>
        <w:t xml:space="preserve"> </w:t>
      </w:r>
      <w:r>
        <w:t xml:space="preserve">shows a full summary of the Regional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Regional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Year</w:t>
            </w:r>
          </w:p>
        </w:tc>
        <w:tc>
          <w:tcPr>
            <w:tcBorders>
              <w:top w:val="single" w:sz="16" w:space="0" w:color="D3D3D3"/>
              <w:bottom w:val="single" w:sz="16" w:space="0" w:color="D3D3D3"/>
            </w:tcBorders>
          </w:tcPr>
          <w:p>
            <w:pPr>
              <w:spacing w:before="0" w:after="60"/>
              <w:keepNext/>
            </w:pPr>
            <w:r>
              <w:rPr>
                <w:rFonts w:ascii="Calibri" w:hAnsi="Calibri"/>
                <w:sz w:val="20"/>
              </w:rPr>
              <w:t xml:space="default">Geo</w:t>
            </w:r>
          </w:p>
        </w:tc>
        <w:tc>
          <w:tcPr>
            <w:tcBorders>
              <w:top w:val="single" w:sz="16" w:space="0" w:color="D3D3D3"/>
              <w:bottom w:val="single" w:sz="16" w:space="0" w:color="D3D3D3"/>
            </w:tcBorders>
          </w:tcPr>
          <w:p>
            <w:pPr>
              <w:spacing w:before="0" w:after="60"/>
              <w:keepNext/>
            </w:pPr>
            <w:r>
              <w:rPr>
                <w:rFonts w:ascii="Calibri" w:hAnsi="Calibri"/>
                <w:sz w:val="20"/>
              </w:rPr>
              <w:t xml:space="default">Overall_Rate</w:t>
            </w:r>
          </w:p>
        </w:tc>
        <w:tc>
          <w:tcPr>
            <w:tcBorders>
              <w:top w:val="single" w:sz="16" w:space="0" w:color="D3D3D3"/>
              <w:bottom w:val="single" w:sz="16" w:space="0" w:color="D3D3D3"/>
            </w:tcBorders>
          </w:tcPr>
          <w:p>
            <w:pPr>
              <w:spacing w:before="0" w:after="60"/>
              <w:keepNext/>
            </w:pPr>
            <w:r>
              <w:rPr>
                <w:rFonts w:ascii="Calibri" w:hAnsi="Calibri"/>
                <w:sz w:val="20"/>
              </w:rPr>
              <w:t xml:space="default">Male_Rate</w:t>
            </w:r>
          </w:p>
        </w:tc>
        <w:tc>
          <w:tcPr>
            <w:tcBorders>
              <w:top w:val="single" w:sz="16" w:space="0" w:color="D3D3D3"/>
              <w:bottom w:val="single" w:sz="16" w:space="0" w:color="D3D3D3"/>
            </w:tcBorders>
          </w:tcPr>
          <w:p>
            <w:pPr>
              <w:spacing w:before="0" w:after="60"/>
              <w:keepNext/>
            </w:pPr>
            <w:r>
              <w:rPr>
                <w:rFonts w:ascii="Calibri" w:hAnsi="Calibri"/>
                <w:sz w:val="20"/>
              </w:rPr>
              <w:t xml:space="default">Female_Rate</w:t>
            </w:r>
          </w:p>
        </w:tc>
        <w:tc>
          <w:tcPr>
            <w:tcBorders>
              <w:top w:val="single" w:sz="16" w:space="0" w:color="D3D3D3"/>
              <w:bottom w:val="single" w:sz="16" w:space="0" w:color="D3D3D3"/>
            </w:tcBorders>
          </w:tcPr>
          <w:p>
            <w:pPr>
              <w:spacing w:before="0" w:after="60"/>
              <w:keepNext/>
            </w:pPr>
            <w:r>
              <w:rPr>
                <w:rFonts w:ascii="Calibri" w:hAnsi="Calibri"/>
                <w:sz w:val="20"/>
              </w:rPr>
              <w:t xml:space="default">Black_Rate</w:t>
            </w:r>
          </w:p>
        </w:tc>
        <w:tc>
          <w:tcPr>
            <w:tcBorders>
              <w:top w:val="single" w:sz="16" w:space="0" w:color="D3D3D3"/>
              <w:bottom w:val="single" w:sz="16" w:space="0" w:color="D3D3D3"/>
            </w:tcBorders>
          </w:tcPr>
          <w:p>
            <w:pPr>
              <w:spacing w:before="0" w:after="60"/>
              <w:keepNext/>
            </w:pPr>
            <w:r>
              <w:rPr>
                <w:rFonts w:ascii="Calibri" w:hAnsi="Calibri"/>
                <w:sz w:val="20"/>
              </w:rPr>
              <w:t xml:space="default">White_Rate</w:t>
            </w:r>
          </w:p>
        </w:tc>
        <w:tc>
          <w:tcPr>
            <w:tcBorders>
              <w:top w:val="single" w:sz="16" w:space="0" w:color="D3D3D3"/>
              <w:bottom w:val="single" w:sz="16" w:space="0" w:color="D3D3D3"/>
            </w:tcBorders>
          </w:tcPr>
          <w:p>
            <w:pPr>
              <w:spacing w:before="0" w:after="60"/>
              <w:keepNext/>
            </w:pPr>
            <w:r>
              <w:rPr>
                <w:rFonts w:ascii="Calibri" w:hAnsi="Calibri"/>
                <w:sz w:val="20"/>
              </w:rPr>
              <w:t xml:space="default">Hispanic_Rate</w:t>
            </w:r>
          </w:p>
        </w:tc>
        <w:tc>
          <w:tcPr>
            <w:tcBorders>
              <w:top w:val="single" w:sz="16" w:space="0" w:color="D3D3D3"/>
              <w:bottom w:val="single" w:sz="16" w:space="0" w:color="D3D3D3"/>
            </w:tcBorders>
          </w:tcPr>
          <w:p>
            <w:pPr>
              <w:spacing w:before="0" w:after="60"/>
              <w:keepNext/>
            </w:pPr>
            <w:r>
              <w:rPr>
                <w:rFonts w:ascii="Calibri" w:hAnsi="Calibri"/>
                <w:sz w:val="20"/>
              </w:rPr>
              <w:t xml:space="default">Asian_Rate</w:t>
            </w:r>
          </w:p>
        </w:tc>
        <w:tc>
          <w:tcPr>
            <w:tcBorders>
              <w:top w:val="single" w:sz="16" w:space="0" w:color="D3D3D3"/>
              <w:bottom w:val="single" w:sz="16" w:space="0" w:color="D3D3D3"/>
            </w:tcBorders>
          </w:tcPr>
          <w:p>
            <w:pPr>
              <w:spacing w:before="0" w:after="60"/>
              <w:keepNext/>
            </w:pPr>
            <w:r>
              <w:rPr>
                <w:rFonts w:ascii="Calibri" w:hAnsi="Calibri"/>
                <w:sz w:val="20"/>
              </w:rPr>
              <w:t xml:space="default">AIAN_Rate</w:t>
            </w:r>
          </w:p>
        </w:tc>
        <w:tc>
          <w:tcPr>
            <w:tcBorders>
              <w:top w:val="single" w:sz="16" w:space="0" w:color="D3D3D3"/>
              <w:bottom w:val="single" w:sz="16" w:space="0" w:color="D3D3D3"/>
            </w:tcBorders>
          </w:tcPr>
          <w:p>
            <w:pPr>
              <w:spacing w:before="0" w:after="60"/>
              <w:keepNext/>
            </w:pPr>
            <w:r>
              <w:rPr>
                <w:rFonts w:ascii="Calibri" w:hAnsi="Calibri"/>
                <w:sz w:val="20"/>
              </w:rPr>
              <w:t xml:space="default">MultRace_Rate</w:t>
            </w:r>
          </w:p>
        </w:tc>
        <w:tc>
          <w:tcPr>
            <w:tcBorders>
              <w:top w:val="single" w:sz="16" w:space="0" w:color="D3D3D3"/>
              <w:bottom w:val="single" w:sz="16" w:space="0" w:color="D3D3D3"/>
            </w:tcBorders>
          </w:tcPr>
          <w:p>
            <w:pPr>
              <w:spacing w:before="0" w:after="60"/>
              <w:keepNext/>
            </w:pPr>
            <w:r>
              <w:rPr>
                <w:rFonts w:ascii="Calibri" w:hAnsi="Calibri"/>
                <w:sz w:val="20"/>
              </w:rPr>
              <w:t xml:space="default">NHPI_Rate</w:t>
            </w:r>
          </w:p>
        </w:tc>
        <w:tc>
          <w:tcPr>
            <w:tcBorders>
              <w:top w:val="single" w:sz="16" w:space="0" w:color="D3D3D3"/>
              <w:bottom w:val="single" w:sz="16" w:space="0" w:color="D3D3D3"/>
            </w:tcBorders>
          </w:tcPr>
          <w:p>
            <w:pPr>
              <w:spacing w:before="0" w:after="60"/>
              <w:keepNext/>
            </w:pPr>
            <w:r>
              <w:rPr>
                <w:rFonts w:ascii="Calibri" w:hAnsi="Calibri"/>
                <w:sz w:val="20"/>
              </w:rPr>
              <w:t xml:space="default">Age13t24_Rate</w:t>
            </w:r>
          </w:p>
        </w:tc>
        <w:tc>
          <w:tcPr>
            <w:tcBorders>
              <w:top w:val="single" w:sz="16" w:space="0" w:color="D3D3D3"/>
              <w:bottom w:val="single" w:sz="16" w:space="0" w:color="D3D3D3"/>
            </w:tcBorders>
          </w:tcPr>
          <w:p>
            <w:pPr>
              <w:spacing w:before="0" w:after="60"/>
              <w:keepNext/>
            </w:pPr>
            <w:r>
              <w:rPr>
                <w:rFonts w:ascii="Calibri" w:hAnsi="Calibri"/>
                <w:sz w:val="20"/>
              </w:rPr>
              <w:t xml:space="default">Age25t34_Rate</w:t>
            </w:r>
          </w:p>
        </w:tc>
        <w:tc>
          <w:tcPr>
            <w:tcBorders>
              <w:top w:val="single" w:sz="16" w:space="0" w:color="D3D3D3"/>
              <w:bottom w:val="single" w:sz="16" w:space="0" w:color="D3D3D3"/>
            </w:tcBorders>
          </w:tcPr>
          <w:p>
            <w:pPr>
              <w:spacing w:before="0" w:after="60"/>
              <w:keepNext/>
            </w:pPr>
            <w:r>
              <w:rPr>
                <w:rFonts w:ascii="Calibri" w:hAnsi="Calibri"/>
                <w:sz w:val="20"/>
              </w:rPr>
              <w:t xml:space="default">Age35t44_Rate</w:t>
            </w:r>
          </w:p>
        </w:tc>
        <w:tc>
          <w:tcPr>
            <w:tcBorders>
              <w:top w:val="single" w:sz="16" w:space="0" w:color="D3D3D3"/>
              <w:bottom w:val="single" w:sz="16" w:space="0" w:color="D3D3D3"/>
            </w:tcBorders>
          </w:tcPr>
          <w:p>
            <w:pPr>
              <w:spacing w:before="0" w:after="60"/>
              <w:keepNext/>
            </w:pPr>
            <w:r>
              <w:rPr>
                <w:rFonts w:ascii="Calibri" w:hAnsi="Calibri"/>
                <w:sz w:val="20"/>
              </w:rPr>
              <w:t xml:space="default">Age45t54_Rate</w:t>
            </w:r>
          </w:p>
        </w:tc>
        <w:tc>
          <w:tcPr>
            <w:tcBorders>
              <w:top w:val="single" w:sz="16" w:space="0" w:color="D3D3D3"/>
              <w:bottom w:val="single" w:sz="16" w:space="0" w:color="D3D3D3"/>
            </w:tcBorders>
          </w:tcPr>
          <w:p>
            <w:pPr>
              <w:spacing w:before="0" w:after="60"/>
              <w:keepNext/>
            </w:pPr>
            <w:r>
              <w:rPr>
                <w:rFonts w:ascii="Calibri" w:hAnsi="Calibri"/>
                <w:sz w:val="20"/>
              </w:rPr>
              <w:t xml:space="default">Age55p_Rate</w:t>
            </w:r>
          </w:p>
        </w:tc>
        <w:tc>
          <w:tcPr>
            <w:tcBorders>
              <w:top w:val="single" w:sz="16" w:space="0" w:color="D3D3D3"/>
              <w:bottom w:val="single" w:sz="16" w:space="0" w:color="D3D3D3"/>
            </w:tcBorders>
          </w:tcPr>
          <w:p>
            <w:pPr>
              <w:spacing w:before="0" w:after="60"/>
              <w:keepNext/>
            </w:pPr>
            <w:r>
              <w:rPr>
                <w:rFonts w:ascii="Calibri" w:hAnsi="Calibri"/>
                <w:sz w:val="20"/>
              </w:rPr>
              <w:t xml:space="default">black_white_rateratio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hispanic_white_rateratio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asian_white_rateratio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aian_white_rateratio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multrace_white_rateratio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nhpi_white_rateratio</w:t>
            </w:r>
          </w:p>
        </w:tc>
        <w:tc>
          <w:tcPr>
            <w:tcBorders>
              <w:top w:val="single" w:sz="16" w:space="0" w:color="D3D3D3"/>
              <w:bottom w:val="single" w:sz="16" w:space="0" w:color="D3D3D3"/>
            </w:tcBorders>
          </w:tcPr>
          <w:p>
            <w:pPr>
              <w:spacing w:before="0" w:after="60"/>
              <w:keepNext/>
            </w:pPr>
            <w:r>
              <w:rPr>
                <w:rFonts w:ascii="Calibri" w:hAnsi="Calibri"/>
                <w:sz w:val="20"/>
              </w:rPr>
              <w:t xml:space="default">female_male_rateratio</w:t>
            </w:r>
          </w:p>
        </w:tc>
        <w:tc>
          <w:tcPr>
            <w:tcBorders>
              <w:top w:val="single" w:sz="16" w:space="0" w:color="D3D3D3"/>
              <w:bottom w:val="single" w:sz="16" w:space="0" w:color="D3D3D3"/>
            </w:tcBorders>
          </w:tcPr>
          <w:p>
            <w:pPr>
              <w:spacing w:before="0" w:after="60"/>
              <w:keepNext/>
            </w:pPr>
            <w:r>
              <w:rPr>
                <w:rFonts w:ascii="Calibri" w:hAnsi="Calibri"/>
                <w:sz w:val="20"/>
              </w:rPr>
              <w:t xml:space="default">age13t24_age35t44_rateratio</w:t>
            </w:r>
          </w:p>
        </w:tc>
        <w:tc>
          <w:tcPr>
            <w:tcBorders>
              <w:top w:val="single" w:sz="16" w:space="0" w:color="D3D3D3"/>
              <w:bottom w:val="single" w:sz="16" w:space="0" w:color="D3D3D3"/>
            </w:tcBorders>
          </w:tcPr>
          <w:p>
            <w:pPr>
              <w:spacing w:before="0" w:after="60"/>
              <w:keepNext/>
            </w:pPr>
            <w:r>
              <w:rPr>
                <w:rFonts w:ascii="Calibri" w:hAnsi="Calibri"/>
                <w:sz w:val="20"/>
              </w:rPr>
              <w:t xml:space="default">age25t34_age35t44_rateratio</w:t>
            </w:r>
          </w:p>
        </w:tc>
        <w:tc>
          <w:tcPr>
            <w:tcBorders>
              <w:top w:val="single" w:sz="16" w:space="0" w:color="D3D3D3"/>
              <w:bottom w:val="single" w:sz="16" w:space="0" w:color="D3D3D3"/>
            </w:tcBorders>
          </w:tcPr>
          <w:p>
            <w:pPr>
              <w:spacing w:before="0" w:after="60"/>
              <w:keepNext/>
            </w:pPr>
            <w:r>
              <w:rPr>
                <w:rFonts w:ascii="Calibri" w:hAnsi="Calibri"/>
                <w:sz w:val="20"/>
              </w:rPr>
              <w:t xml:space="default">age45t54_age35t44_rateratio</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age45t54_age55p_rateratio</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Northeast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shd w:val="clear" w:color="auto" w:fill="7CB9E8"/>
          </w:tcPr>
          <w:p>
            <w:pPr>
              <w:spacing w:before="0" w:after="60"/>
              <w:keepNext/>
            </w:pPr>
            <w:r>
              <w:rPr>
                <w:rFonts w:ascii="Calibri" w:hAnsi="Calibri"/>
                <w:sz w:val="20"/>
                <w:b w:val="true"/>
              </w:rPr>
              <w:t xml:space="default">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bl>
    <w:p>
      <w:pPr>
        <w:pStyle w:val="BodyText"/>
      </w:pPr>
      <w:hyperlink w:anchor="fig-regplots">
        <w:r>
          <w:rPr>
            <w:rStyle w:val="Hyperlink"/>
          </w:rPr>
          <w:t xml:space="preserve">Figure 4</w:t>
        </w:r>
      </w:hyperlink>
      <w:r>
        <w:t xml:space="preserve"> </w:t>
      </w:r>
      <w:r>
        <w:t xml:space="preserve">shows an exploratory plot for regional overall new diagnosis rates with female-male rate ratios.</w:t>
      </w:r>
    </w:p>
    <w:tbl>
      <w:tblPr>
        <w:tblStyle w:val="Table"/>
        <w:tblW w:type="pct" w:w="5000"/>
        <w:tblLook w:firstRow="0" w:lastRow="0" w:firstColumn="0" w:lastColumn="0" w:noHBand="0" w:noVBand="0" w:val="0000"/>
      </w:tblPr>
      <w:tblGrid>
        <w:gridCol w:w="7920"/>
      </w:tblGrid>
      <w:tr>
        <w:tc>
          <w:tcPr/>
          <w:bookmarkStart w:id="47" w:name="fig-regplots"/>
          <w:p>
            <w:pPr>
              <w:jc w:val="center"/>
            </w:pPr>
            <w:r>
              <w:drawing>
                <wp:inline>
                  <wp:extent cx="4620126" cy="3696101"/>
                  <wp:effectExtent b="0" l="0" r="0" t="0"/>
                  <wp:docPr descr="" title="" id="45" name="Picture"/>
                  <a:graphic>
                    <a:graphicData uri="http://schemas.openxmlformats.org/drawingml/2006/picture">
                      <pic:pic>
                        <pic:nvPicPr>
                          <pic:cNvPr descr="Manuscript_files/figure-docx/fig-regplot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rPr>
                <w:bCs/>
                <w:b/>
              </w:rPr>
              <w:t xml:space="preserve">?(caption)</w:t>
            </w:r>
          </w:p>
          <w:bookmarkEnd w:id="47"/>
        </w:tc>
      </w:tr>
    </w:tbl>
    <w:bookmarkEnd w:id="48"/>
    <w:bookmarkStart w:id="49"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bookmarkEnd w:id="49"/>
    <w:bookmarkStart w:id="51"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50" w:name="tbl-resulttable2"/>
    <w:p>
      <w:pPr>
        <w:pStyle w:val="BodyText"/>
      </w:pPr>
      <w:r>
        <w:rPr>
          <w:bCs/>
          <w:b/>
        </w:rPr>
        <w:t xml:space="preserve">?(caption)</w:t>
      </w:r>
    </w:p>
    <w:bookmarkEnd w:id="50"/>
    <w:p>
      <w:r>
        <w:br w:type="page"/>
      </w:r>
    </w:p>
    <w:bookmarkEnd w:id="51"/>
    <w:bookmarkEnd w:id="52"/>
    <w:bookmarkStart w:id="57" w:name="discussion"/>
    <w:p>
      <w:pPr>
        <w:pStyle w:val="Heading1"/>
      </w:pPr>
      <w:r>
        <w:t xml:space="preserve">5. Discussion</w:t>
      </w:r>
    </w:p>
    <w:bookmarkStart w:id="53"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53"/>
    <w:bookmarkStart w:id="54"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54"/>
    <w:bookmarkStart w:id="56"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 [] discusses types of analyses.</w:t>
      </w:r>
    </w:p>
    <w:p>
      <w:pPr>
        <w:pStyle w:val="BodyText"/>
      </w:pPr>
      <w:r>
        <w:t xml:space="preserve">These papers [] 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5">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56"/>
    <w:bookmarkEnd w:id="57"/>
    <w:bookmarkStart w:id="62" w:name="references"/>
    <w:p>
      <w:pPr>
        <w:pStyle w:val="Heading1"/>
      </w:pPr>
      <w:r>
        <w:t xml:space="preserve">6. References</w:t>
      </w:r>
    </w:p>
    <w:bookmarkStart w:id="61" w:name="refs"/>
    <w:bookmarkStart w:id="58" w:name="ref-Chapin2017"/>
    <w:p>
      <w:pPr>
        <w:pStyle w:val="Bibliography"/>
      </w:pPr>
      <w:r>
        <w:t xml:space="preserve">Chapin-Bardales, J., Rosenberg, E. S., &amp; Sullivan, P. S. (2017). Trends in racial/ethnic disparities of new AIDS diagnoses in the united states, 1984–2013.</w:t>
      </w:r>
      <w:r>
        <w:t xml:space="preserve"> </w:t>
      </w:r>
      <w:r>
        <w:rPr>
          <w:iCs/>
          <w:i/>
        </w:rPr>
        <w:t xml:space="preserve">Annals of Epidemiology</w:t>
      </w:r>
      <w:r>
        <w:t xml:space="preserve">,</w:t>
      </w:r>
      <w:r>
        <w:t xml:space="preserve"> </w:t>
      </w:r>
      <w:r>
        <w:rPr>
          <w:iCs/>
          <w:i/>
        </w:rPr>
        <w:t xml:space="preserve">27</w:t>
      </w:r>
      <w:r>
        <w:t xml:space="preserve">(5), 329–334.e2. https://doi.org/</w:t>
      </w:r>
      <w:hyperlink r:id="rId20">
        <w:r>
          <w:rPr>
            <w:rStyle w:val="Hyperlink"/>
          </w:rPr>
          <w:t xml:space="preserve">https://doi.org/10.1016/j.annepidem.2017.04.002</w:t>
        </w:r>
      </w:hyperlink>
    </w:p>
    <w:bookmarkEnd w:id="58"/>
    <w:bookmarkStart w:id="60" w:name="ref-Sullivan2020"/>
    <w:p>
      <w:pPr>
        <w:pStyle w:val="Bibliography"/>
      </w:pPr>
      <w:r>
        <w:t xml:space="preserve">Sullivan, P. S., Woodyatt, C., Koski, C., Pembleton, E., McGuinness, P., Taussig, J., … Sanchez, T. H. (2020). A data visualization and dissemination resource to support HIV prevention and care at the local level: Analysis and uses of the AIDSVu public data resource.</w:t>
      </w:r>
      <w:r>
        <w:t xml:space="preserve"> </w:t>
      </w:r>
      <w:r>
        <w:rPr>
          <w:iCs/>
          <w:i/>
        </w:rPr>
        <w:t xml:space="preserve">J Med Internet Res</w:t>
      </w:r>
      <w:r>
        <w:t xml:space="preserve">,</w:t>
      </w:r>
      <w:r>
        <w:t xml:space="preserve"> </w:t>
      </w:r>
      <w:r>
        <w:rPr>
          <w:iCs/>
          <w:i/>
        </w:rPr>
        <w:t xml:space="preserve">22</w:t>
      </w:r>
      <w:r>
        <w:t xml:space="preserve">(10), e23173.</w:t>
      </w:r>
      <w:r>
        <w:t xml:space="preserve"> </w:t>
      </w:r>
      <w:hyperlink r:id="rId59">
        <w:r>
          <w:rPr>
            <w:rStyle w:val="Hyperlink"/>
          </w:rPr>
          <w:t xml:space="preserve">https://doi.org/10.2196/23173</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23" Target="https://aidsvu.org/" TargetMode="External" /><Relationship Type="http://schemas.openxmlformats.org/officeDocument/2006/relationships/hyperlink" Id="rId20" Target="https://doi.org/10.1016/j.annepidem.2017.04.002" TargetMode="External" /><Relationship Type="http://schemas.openxmlformats.org/officeDocument/2006/relationships/hyperlink" Id="rId59" Target="https://doi.org/10.2196/23173" TargetMode="External" /><Relationship Type="http://schemas.openxmlformats.org/officeDocument/2006/relationships/hyperlink" Id="rId24" Target="https://surveillance.cancer.gov/help/joinpoint/tech-help/citation" TargetMode="External" /><Relationship Type="http://schemas.openxmlformats.org/officeDocument/2006/relationships/hyperlink" Id="rId5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3" Target="https://aidsvu.org/" TargetMode="External" /><Relationship Type="http://schemas.openxmlformats.org/officeDocument/2006/relationships/hyperlink" Id="rId20" Target="https://doi.org/10.1016/j.annepidem.2017.04.002" TargetMode="External" /><Relationship Type="http://schemas.openxmlformats.org/officeDocument/2006/relationships/hyperlink" Id="rId59" Target="https://doi.org/10.2196/23173" TargetMode="External" /><Relationship Type="http://schemas.openxmlformats.org/officeDocument/2006/relationships/hyperlink" Id="rId24" Target="https://surveillance.cancer.gov/help/joinpoint/tech-help/citation" TargetMode="External" /><Relationship Type="http://schemas.openxmlformats.org/officeDocument/2006/relationships/hyperlink" Id="rId5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Final Project</dc:title>
  <dc:creator>Nicole Luisi</dc:creator>
  <cp:keywords/>
  <dcterms:created xsi:type="dcterms:W3CDTF">2023-02-24T22:15:35Z</dcterms:created>
  <dcterms:modified xsi:type="dcterms:W3CDTF">2023-02-24T22:15:35Z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2023-02-24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Trends in New HIV Diagnoses in the US, 2008-2022</vt:lpwstr>
  </property>
  <property fmtid="{D5CDD505-2E9C-101B-9397-08002B2CF9AE}" pid="13" name="toc-title">
    <vt:lpwstr>Table of contents</vt:lpwstr>
  </property>
</Properties>
</file>