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mercadorias(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validade VARCHAR(11)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atacado VARCHAR(11)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quantidade VARCHAR(6)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preco VARCHAR(2)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id_PK VARCHAR(25)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PRIMARy KEY (id_PK)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supermercado(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nome VARCHAR(50)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endereco VARCHAR(20)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id_mercadorias_fk VARCHAR(20)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cnpj_PK VARCHAR(13)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PRIMARY KEY (cnpj_pk),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FOREIGN KEY (id_mercadorias_fk) REFERENCES mercadorias (id_pk)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produtos(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validade VARCHAR(11)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preco VARCHAR(20)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quantidade VARCHAR(11)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id_pk VARCHAR(10)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marca VARCHAR(15)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nome_supermercado_fk VARCHAR(15)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primary KEY (id_pk),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FOREIGN KEY (nome_supermercado_fk) REFERENCES supermercado (cnpj_pk)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funcionarios(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cpf_pk VARCHAR(11)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carteira_de_trabalho VARCHAR(15)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idade VARCHAR(2)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nome VARCHAR(15)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nome_supermercado_fk VARCHAR(20)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PRIMARY KEY (cpf_pk),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FOREIGN KEY (nome_supermercado_fk) REFERENCES supermercado (cnpj_pk)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mercadorias (validade, atacado, quantidade, preco, id_pk)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('291029', 'sim', '300', '25', '192831083')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supermercado (nome, endereco, id_mercadorias_fk, cnpj_pk)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 ('supermercado bg', 'rua alberto 21', '192831083', '573333370009')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produtos (validade, preco, quantidade, id_pk, marca, nome_supermercado_fk)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 ('290129', '230', '20', '829182910', 'nike', '573333370009')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funcionarios (cpf_pk, carteira_de_trabalho, idade, nome_supermercado_fk, nome)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('74865876', '912849129', '28', '573333370009', 'borges')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