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bar(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cnpj VARCHAR(14)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 VARCHAR(20)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localidade VARCHAR(20)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PRIMARY KEY (cnpj)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comidas_e_bebidas(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drinks VARCHAR(20)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refrigerante VARCHAR(20)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alcoolicos VARCHAR(20)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sucos VARCHAR(20)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salgados VARCHAR(20)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doces VARCHAR(15)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valor VARCHAR(25)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codigo_produto VARCHAR(3)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PRIMARy KEY (codigo_produto)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VARCHAR(20)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salario VARCHAR(20)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cpf VARCHAR(11)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primary KEY (cpf)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clientes(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nome VARCHAR(20)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cpf VARCHAR(11)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mesa VARCHAR(3)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 (cpf),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(nome) REFERENCES funcionarios (cpf)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