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E5C68"/>
          <w:sz w:val="52"/>
        </w:rPr>
        <w:t>Teste a 60 Hz</w:t>
      </w:r>
    </w:p>
    <w:p>
      <w:pPr>
        <w:pBdr>
          <w:bottom w:val="single" w:sz="6" w:space="1" w:color="C3CAD1"/>
        </w:pBdr>
      </w:pPr>
    </w:p>
    <w:p>
      <w:r>
        <w:rPr>
          <w:rFonts w:ascii="Arial" w:hAnsi="Arial"/>
          <w:color w:val="5B6672"/>
          <w:sz w:val="24"/>
        </w:rPr>
        <w:t>Motor de pequeno porte (1,5 hp) — partida direta, inversor V/F e inversor FOC</w:t>
      </w:r>
    </w:p>
    <w:p/>
    <w:p>
      <w:pPr>
        <w:spacing w:after="120"/>
      </w:pPr>
      <w:r>
        <w:rPr>
          <w:rFonts w:ascii="Consolas" w:hAnsi="Consolas"/>
          <w:color w:val="5B6672"/>
          <w:sz w:val="22"/>
        </w:rPr>
        <w:t xml:space="preserve">01  </w:t>
      </w:r>
      <w:r>
        <w:rPr>
          <w:rFonts w:ascii="Arial" w:hAnsi="Arial"/>
          <w:b/>
          <w:color w:val="0E5C68"/>
          <w:sz w:val="32"/>
        </w:rPr>
        <w:t>Objetivo e condições de ensaio</w:t>
      </w:r>
    </w:p>
    <w:p>
      <w:r>
        <w:t>Este relatório apresenta a resposta do motor a três formas de acionamento, todas em direção à frequência nominal de 60 Hz: fonte de corrente alternada ideal (partida direta), inversor com controle escalar V/F e inversor com controle vetorial por orientação de campo (FOC), este com a sintonia calculada automaticamente pela biblioteca. Após a acomodação em vazio, aplica-se um degrau de carga igual ao conjugado nominal do motor.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  <w:t>Parâmetro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Potência nominal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1.12 kW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Tensão nominal de fase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127.0 V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Frequência nominal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60 Hz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Polos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Velocidade nominal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1710 RPM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Conjugado nominal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6.25 N·m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Inércia do rotor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0.0372 kg·m²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Frequência de chaveamento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5000 Hz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Rampa de aceleração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0.6667 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Degrau de carga nominal em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t = 1.5 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Tempo total simulado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3 s</w:t>
            </w:r>
          </w:p>
        </w:tc>
      </w:tr>
    </w:tbl>
    <w:p>
      <w:pPr>
        <w:spacing w:after="120"/>
      </w:pPr>
      <w:r>
        <w:rPr>
          <w:rFonts w:ascii="Consolas" w:hAnsi="Consolas"/>
          <w:color w:val="5B6672"/>
          <w:sz w:val="22"/>
        </w:rPr>
        <w:t xml:space="preserve">02  </w:t>
      </w:r>
      <w:r>
        <w:rPr>
          <w:rFonts w:ascii="Arial" w:hAnsi="Arial"/>
          <w:b/>
          <w:color w:val="0E5C68"/>
          <w:sz w:val="32"/>
        </w:rPr>
        <w:t>Definições das marcações</w:t>
      </w:r>
    </w:p>
    <w:p>
      <w:r>
        <w:t>Todas as marcações são calculadas sobre o sinal suavizado por média móvel de 20 ms (o sinal bruto aparece ao fundo), para separar a dinâmica do acionamento da ondulação de chaveamento. A referência de velocidade é a velocidade nominal; a de conjugado é zero na partida em vazio e o conjugado nominal após a entrada da carga (reta tracejada). O tubo de acomodação é a referência ±5% (retas pontilhadas). O regime permanente é a média dos últimos 10% da janela de cada evento. O máximo sobressinal é o extremo do sinal, em relação ao regime, na direção do movimento; a acomodação é o primeiro instante a partir do qual o sinal permanece no tubo; e o tempo de subida é medido entre 10% e 90% da variação do valor inicial até o regime, com retas verticais marcando o início e o fim.</w:t>
      </w:r>
    </w:p>
    <w:p>
      <w:pPr>
        <w:spacing w:after="120"/>
      </w:pPr>
      <w:r>
        <w:rPr>
          <w:rFonts w:ascii="Consolas" w:hAnsi="Consolas"/>
          <w:color w:val="5B6672"/>
          <w:sz w:val="22"/>
        </w:rPr>
        <w:t xml:space="preserve">03  </w:t>
      </w:r>
      <w:r>
        <w:rPr>
          <w:rFonts w:ascii="Arial" w:hAnsi="Arial"/>
          <w:b/>
          <w:color w:val="0E5C68"/>
          <w:sz w:val="32"/>
        </w:rPr>
        <w:t>Figuras comparativas</w:t>
      </w:r>
    </w:p>
    <w:p>
      <w:r>
        <w:drawing>
          <wp:inline xmlns:a="http://schemas.openxmlformats.org/drawingml/2006/main" xmlns:pic="http://schemas.openxmlformats.org/drawingml/2006/picture">
            <wp:extent cx="5580000" cy="398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jugados_temp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B6672"/>
          <w:sz w:val="17"/>
        </w:rPr>
        <w:t>Conjugados eletromagnéticos</w:t>
      </w:r>
    </w:p>
    <w:p>
      <w:r>
        <w:drawing>
          <wp:inline xmlns:a="http://schemas.openxmlformats.org/drawingml/2006/main" xmlns:pic="http://schemas.openxmlformats.org/drawingml/2006/picture">
            <wp:extent cx="5580000" cy="3985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jugados_tempo_zoo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B6672"/>
          <w:sz w:val="17"/>
        </w:rPr>
        <w:t>Conjugados — zoom na entrada da carga</w:t>
      </w:r>
    </w:p>
    <w:p>
      <w:r>
        <w:drawing>
          <wp:inline xmlns:a="http://schemas.openxmlformats.org/drawingml/2006/main" xmlns:pic="http://schemas.openxmlformats.org/drawingml/2006/picture">
            <wp:extent cx="5580000" cy="3985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elocidade_temp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B6672"/>
          <w:sz w:val="17"/>
        </w:rPr>
        <w:t>Velocidade do rotor</w:t>
      </w:r>
    </w:p>
    <w:p>
      <w:r>
        <w:drawing>
          <wp:inline xmlns:a="http://schemas.openxmlformats.org/drawingml/2006/main" xmlns:pic="http://schemas.openxmlformats.org/drawingml/2006/picture">
            <wp:extent cx="5580000" cy="3985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elocidade_tempo_zo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B6672"/>
          <w:sz w:val="17"/>
        </w:rPr>
        <w:t>Velocidade — zoom na entrada da carga</w:t>
      </w:r>
    </w:p>
    <w:p>
      <w:r>
        <w:drawing>
          <wp:inline xmlns:a="http://schemas.openxmlformats.org/drawingml/2006/main" xmlns:pic="http://schemas.openxmlformats.org/drawingml/2006/picture">
            <wp:extent cx="5580000" cy="39857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rrente_fase_a_temp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B6672"/>
          <w:sz w:val="17"/>
        </w:rPr>
        <w:t>Corrente da fase A</w:t>
      </w:r>
    </w:p>
    <w:p>
      <w:r>
        <w:drawing>
          <wp:inline xmlns:a="http://schemas.openxmlformats.org/drawingml/2006/main" xmlns:pic="http://schemas.openxmlformats.org/drawingml/2006/picture">
            <wp:extent cx="5580000" cy="39857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rrente_fase_a_tempo_zo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B6672"/>
          <w:sz w:val="17"/>
        </w:rPr>
        <w:t>Corrente da fase A — zoom na entrada da carga</w:t>
      </w:r>
    </w:p>
    <w:p>
      <w:r>
        <w:drawing>
          <wp:inline xmlns:a="http://schemas.openxmlformats.org/drawingml/2006/main" xmlns:pic="http://schemas.openxmlformats.org/drawingml/2006/picture">
            <wp:extent cx="5580000" cy="39857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jugados_freq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B6672"/>
          <w:sz w:val="17"/>
        </w:rPr>
        <w:t>Espectro do conjugado</w:t>
      </w:r>
    </w:p>
    <w:p>
      <w:pPr>
        <w:spacing w:after="120"/>
      </w:pPr>
      <w:r>
        <w:rPr>
          <w:rFonts w:ascii="Consolas" w:hAnsi="Consolas"/>
          <w:color w:val="5B6672"/>
          <w:sz w:val="22"/>
        </w:rPr>
        <w:t xml:space="preserve">04  </w:t>
      </w:r>
      <w:r>
        <w:rPr>
          <w:rFonts w:ascii="Arial" w:hAnsi="Arial"/>
          <w:b/>
          <w:color w:val="0E5C68"/>
          <w:sz w:val="32"/>
        </w:rPr>
        <w:t>Métricas por evento</w:t>
      </w:r>
    </w:p>
    <w:p>
      <w:r>
        <w:t>Conjugado (N·m) — regime em N·m: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Cenário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Evento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Máx. sobressinal (%)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Acomodação ±5% (s)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Tempo de subida (s)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Regime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Fonte CA (partida direta)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Partida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+326.3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0.553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0.015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0.00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Fonte CA (partida direta)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Carga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+0.0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0.184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0.129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6.25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Inversor V/F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Partida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+315.4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1.082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0.632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0.00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Inversor V/F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Carga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+3.5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0.200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0.139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6.26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Inversor FOC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Partida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+184.8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não acomoda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0.009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5.27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Inversor FOC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Carga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+5.1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0.069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0.071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6.25</w:t>
            </w:r>
          </w:p>
        </w:tc>
      </w:tr>
    </w:tbl>
    <w:p/>
    <w:p>
      <w:r>
        <w:t>Velocidade — regime em RPM: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Cenário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Evento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Máx. sobressinal (%)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Acomodação ±5% (s)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Tempo de subida (s)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Regime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Fonte CA (partida direta)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Partida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+0.0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não acomoda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0.309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1799.9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Fonte CA (partida direta)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Carga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+0.0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0.001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0.139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1703.3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Inversor V/F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Partida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+0.0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não acomoda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0.595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1799.9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Inversor V/F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Carga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+0.2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0.000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0.139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1703.5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Inversor FOC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Partida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+8.7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1.463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0.491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1573.6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Inversor FOC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Carga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-1.2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0.000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0.000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1709.1</w:t>
            </w:r>
          </w:p>
        </w:tc>
      </w:tr>
    </w:tbl>
    <w:p/>
    <w:p>
      <w:r>
        <w:t>Após a entrada da carga, o conjugado do cenário “Inversor FOC” foi o que acomodou mais rápido no tubo de ±5% (0.069 s). Na velocidade, após a carga, todos os cenários acomodaram no tubo de ±5%.</w:t>
      </w:r>
    </w:p>
    <w:p>
      <w:pPr>
        <w:spacing w:after="120"/>
      </w:pPr>
      <w:r>
        <w:rPr>
          <w:rFonts w:ascii="Consolas" w:hAnsi="Consolas"/>
          <w:color w:val="5B6672"/>
          <w:sz w:val="22"/>
        </w:rPr>
        <w:t xml:space="preserve">05  </w:t>
      </w:r>
      <w:r>
        <w:rPr>
          <w:rFonts w:ascii="Arial" w:hAnsi="Arial"/>
          <w:b/>
          <w:color w:val="0E5C68"/>
          <w:sz w:val="32"/>
        </w:rPr>
        <w:t>Figuras anotadas</w:t>
      </w:r>
    </w:p>
    <w:p>
      <w:r>
        <w:rPr>
          <w:rFonts w:ascii="Arial" w:hAnsi="Arial"/>
          <w:b/>
          <w:color w:val="0E5C68"/>
        </w:rPr>
        <w:t>Fonte CA (partida direta)</w:t>
      </w:r>
    </w:p>
    <w:p>
      <w:r>
        <w:drawing>
          <wp:inline xmlns:a="http://schemas.openxmlformats.org/drawingml/2006/main" xmlns:pic="http://schemas.openxmlformats.org/drawingml/2006/picture">
            <wp:extent cx="5400000" cy="334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nte_ca_partida_direta_conjugado_parti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B6672"/>
          <w:sz w:val="17"/>
        </w:rPr>
        <w:t>Fonte CA (partida direta) — conjugado — entrada em velocidade nominal</w:t>
      </w:r>
    </w:p>
    <w:p>
      <w:r>
        <w:drawing>
          <wp:inline xmlns:a="http://schemas.openxmlformats.org/drawingml/2006/main" xmlns:pic="http://schemas.openxmlformats.org/drawingml/2006/picture">
            <wp:extent cx="5400000" cy="334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nte_ca_partida_direta_conjugado_carg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B6672"/>
          <w:sz w:val="17"/>
        </w:rPr>
        <w:t>Fonte CA (partida direta) — conjugado — após a entrada da carga</w:t>
      </w:r>
    </w:p>
    <w:p>
      <w:r>
        <w:drawing>
          <wp:inline xmlns:a="http://schemas.openxmlformats.org/drawingml/2006/main" xmlns:pic="http://schemas.openxmlformats.org/drawingml/2006/picture">
            <wp:extent cx="5400000" cy="334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nte_ca_partida_direta_conjugado_carga_zoo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B6672"/>
          <w:sz w:val="17"/>
        </w:rPr>
        <w:t>Fonte CA (partida direta) — conjugado — após a entrada da carga (zoom)</w:t>
      </w:r>
    </w:p>
    <w:p>
      <w:r>
        <w:drawing>
          <wp:inline xmlns:a="http://schemas.openxmlformats.org/drawingml/2006/main" xmlns:pic="http://schemas.openxmlformats.org/drawingml/2006/picture">
            <wp:extent cx="5400000" cy="334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nte_ca_partida_direta_velocidade_parti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B6672"/>
          <w:sz w:val="17"/>
        </w:rPr>
        <w:t>Fonte CA (partida direta) — velocidade — entrada em velocidade nominal</w:t>
      </w:r>
    </w:p>
    <w:p>
      <w:r>
        <w:drawing>
          <wp:inline xmlns:a="http://schemas.openxmlformats.org/drawingml/2006/main" xmlns:pic="http://schemas.openxmlformats.org/drawingml/2006/picture">
            <wp:extent cx="5400000" cy="334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nte_ca_partida_direta_velocidade_carg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B6672"/>
          <w:sz w:val="17"/>
        </w:rPr>
        <w:t>Fonte CA (partida direta) — velocidade — após a entrada da carga</w:t>
      </w:r>
    </w:p>
    <w:p>
      <w:r>
        <w:drawing>
          <wp:inline xmlns:a="http://schemas.openxmlformats.org/drawingml/2006/main" xmlns:pic="http://schemas.openxmlformats.org/drawingml/2006/picture">
            <wp:extent cx="5400000" cy="334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nte_ca_partida_direta_velocidade_carga_zoo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B6672"/>
          <w:sz w:val="17"/>
        </w:rPr>
        <w:t>Fonte CA (partida direta) — velocidade — após a entrada da carga (zoom)</w:t>
      </w:r>
    </w:p>
    <w:p>
      <w:r>
        <w:rPr>
          <w:rFonts w:ascii="Arial" w:hAnsi="Arial"/>
          <w:b/>
          <w:color w:val="0E5C68"/>
        </w:rPr>
        <w:t>Inversor V/F</w:t>
      </w:r>
    </w:p>
    <w:p>
      <w:r>
        <w:drawing>
          <wp:inline xmlns:a="http://schemas.openxmlformats.org/drawingml/2006/main" xmlns:pic="http://schemas.openxmlformats.org/drawingml/2006/picture">
            <wp:extent cx="5400000" cy="334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rsor_v_f_conjugado_partid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B6672"/>
          <w:sz w:val="17"/>
        </w:rPr>
        <w:t>Inversor V/F — conjugado — entrada em velocidade nominal</w:t>
      </w:r>
    </w:p>
    <w:p>
      <w:r>
        <w:drawing>
          <wp:inline xmlns:a="http://schemas.openxmlformats.org/drawingml/2006/main" xmlns:pic="http://schemas.openxmlformats.org/drawingml/2006/picture">
            <wp:extent cx="5400000" cy="3348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rsor_v_f_conjugado_carg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B6672"/>
          <w:sz w:val="17"/>
        </w:rPr>
        <w:t>Inversor V/F — conjugado — após a entrada da carga</w:t>
      </w:r>
    </w:p>
    <w:p>
      <w:r>
        <w:drawing>
          <wp:inline xmlns:a="http://schemas.openxmlformats.org/drawingml/2006/main" xmlns:pic="http://schemas.openxmlformats.org/drawingml/2006/picture">
            <wp:extent cx="5400000" cy="3348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rsor_v_f_conjugado_carga_zoo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B6672"/>
          <w:sz w:val="17"/>
        </w:rPr>
        <w:t>Inversor V/F — conjugado — após a entrada da carga (zoom)</w:t>
      </w:r>
    </w:p>
    <w:p>
      <w:r>
        <w:drawing>
          <wp:inline xmlns:a="http://schemas.openxmlformats.org/drawingml/2006/main" xmlns:pic="http://schemas.openxmlformats.org/drawingml/2006/picture">
            <wp:extent cx="5400000" cy="3348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rsor_v_f_velocidade_partid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B6672"/>
          <w:sz w:val="17"/>
        </w:rPr>
        <w:t>Inversor V/F — velocidade — entrada em velocidade nominal</w:t>
      </w:r>
    </w:p>
    <w:p>
      <w:r>
        <w:drawing>
          <wp:inline xmlns:a="http://schemas.openxmlformats.org/drawingml/2006/main" xmlns:pic="http://schemas.openxmlformats.org/drawingml/2006/picture">
            <wp:extent cx="5400000" cy="3348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rsor_v_f_velocidade_carg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B6672"/>
          <w:sz w:val="17"/>
        </w:rPr>
        <w:t>Inversor V/F — velocidade — após a entrada da carga</w:t>
      </w:r>
    </w:p>
    <w:p>
      <w:r>
        <w:drawing>
          <wp:inline xmlns:a="http://schemas.openxmlformats.org/drawingml/2006/main" xmlns:pic="http://schemas.openxmlformats.org/drawingml/2006/picture">
            <wp:extent cx="5400000" cy="3348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rsor_v_f_velocidade_carga_zoo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B6672"/>
          <w:sz w:val="17"/>
        </w:rPr>
        <w:t>Inversor V/F — velocidade — após a entrada da carga (zoom)</w:t>
      </w:r>
    </w:p>
    <w:p>
      <w:r>
        <w:rPr>
          <w:rFonts w:ascii="Arial" w:hAnsi="Arial"/>
          <w:b/>
          <w:color w:val="0E5C68"/>
        </w:rPr>
        <w:t>Inversor FOC</w:t>
      </w:r>
    </w:p>
    <w:p>
      <w:r>
        <w:drawing>
          <wp:inline xmlns:a="http://schemas.openxmlformats.org/drawingml/2006/main" xmlns:pic="http://schemas.openxmlformats.org/drawingml/2006/picture">
            <wp:extent cx="5400000" cy="3348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rsor_foc_conjugado_partid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B6672"/>
          <w:sz w:val="17"/>
        </w:rPr>
        <w:t>Inversor FOC — conjugado — entrada em velocidade nominal</w:t>
      </w:r>
    </w:p>
    <w:p>
      <w:r>
        <w:drawing>
          <wp:inline xmlns:a="http://schemas.openxmlformats.org/drawingml/2006/main" xmlns:pic="http://schemas.openxmlformats.org/drawingml/2006/picture">
            <wp:extent cx="5400000" cy="3348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rsor_foc_conjugado_carg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B6672"/>
          <w:sz w:val="17"/>
        </w:rPr>
        <w:t>Inversor FOC — conjugado — após a entrada da carga</w:t>
      </w:r>
    </w:p>
    <w:p>
      <w:r>
        <w:drawing>
          <wp:inline xmlns:a="http://schemas.openxmlformats.org/drawingml/2006/main" xmlns:pic="http://schemas.openxmlformats.org/drawingml/2006/picture">
            <wp:extent cx="5400000" cy="3348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rsor_foc_conjugado_carga_zoo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B6672"/>
          <w:sz w:val="17"/>
        </w:rPr>
        <w:t>Inversor FOC — conjugado — após a entrada da carga (zoom)</w:t>
      </w:r>
    </w:p>
    <w:p>
      <w:r>
        <w:drawing>
          <wp:inline xmlns:a="http://schemas.openxmlformats.org/drawingml/2006/main" xmlns:pic="http://schemas.openxmlformats.org/drawingml/2006/picture">
            <wp:extent cx="5400000" cy="3348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rsor_foc_velocidade_partid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B6672"/>
          <w:sz w:val="17"/>
        </w:rPr>
        <w:t>Inversor FOC — velocidade — entrada em velocidade nominal</w:t>
      </w:r>
    </w:p>
    <w:p>
      <w:r>
        <w:drawing>
          <wp:inline xmlns:a="http://schemas.openxmlformats.org/drawingml/2006/main" xmlns:pic="http://schemas.openxmlformats.org/drawingml/2006/picture">
            <wp:extent cx="5400000" cy="3348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rsor_foc_velocidade_carg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B6672"/>
          <w:sz w:val="17"/>
        </w:rPr>
        <w:t>Inversor FOC — velocidade — após a entrada da carga</w:t>
      </w:r>
    </w:p>
    <w:p>
      <w:r>
        <w:drawing>
          <wp:inline xmlns:a="http://schemas.openxmlformats.org/drawingml/2006/main" xmlns:pic="http://schemas.openxmlformats.org/drawingml/2006/picture">
            <wp:extent cx="5400000" cy="3348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rsor_foc_velocidade_carga_zoo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B6672"/>
          <w:sz w:val="17"/>
        </w:rPr>
        <w:t>Inversor FOC — velocidade — após a entrada da carga (zoom)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Arial" w:hAnsi="Arial"/>
      <w:color w:val="1A20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