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8416" w14:textId="77777777" w:rsidR="007E09E2" w:rsidRDefault="00000000">
      <w:r>
        <w:rPr>
          <w:b/>
          <w:color w:val="0E5C68"/>
          <w:sz w:val="52"/>
        </w:rPr>
        <w:t>Robustez da Sintonia PI</w:t>
      </w:r>
    </w:p>
    <w:p w14:paraId="2FCA24D9" w14:textId="77777777" w:rsidR="007E09E2" w:rsidRDefault="007E09E2">
      <w:pPr>
        <w:pBdr>
          <w:bottom w:val="single" w:sz="6" w:space="1" w:color="C3CAD1"/>
        </w:pBdr>
      </w:pPr>
    </w:p>
    <w:p w14:paraId="78F45F09" w14:textId="77777777" w:rsidR="007E09E2" w:rsidRDefault="00000000">
      <w:r>
        <w:rPr>
          <w:color w:val="5B6672"/>
          <w:sz w:val="24"/>
        </w:rPr>
        <w:t>Comparação entre acionamento escalar (V/F) e vetorial (FOC) em dois motores de indução de portes distintos — motor industrial de grande porte e motor de bancada de pequeno porte</w:t>
      </w:r>
    </w:p>
    <w:p w14:paraId="51EEE40A" w14:textId="77777777" w:rsidR="007E09E2" w:rsidRDefault="00000000">
      <w:pPr>
        <w:jc w:val="right"/>
      </w:pPr>
      <w:r>
        <w:rPr>
          <w:color w:val="5B6672"/>
          <w:sz w:val="18"/>
        </w:rPr>
        <w:t>Preparado em 22 de setembro de 2026</w:t>
      </w:r>
    </w:p>
    <w:p w14:paraId="54AF3291" w14:textId="77777777" w:rsidR="007E09E2" w:rsidRDefault="007E09E2"/>
    <w:p w14:paraId="6033C3D5" w14:textId="77777777" w:rsidR="007E09E2" w:rsidRDefault="00000000">
      <w:r>
        <w:rPr>
          <w:rFonts w:ascii="Consolas" w:hAnsi="Consolas"/>
          <w:color w:val="5B6672"/>
          <w:sz w:val="22"/>
        </w:rPr>
        <w:t xml:space="preserve">01  </w:t>
      </w:r>
      <w:r>
        <w:rPr>
          <w:b/>
          <w:color w:val="0E5C68"/>
          <w:sz w:val="32"/>
        </w:rPr>
        <w:t>Objetivo</w:t>
      </w:r>
    </w:p>
    <w:p w14:paraId="3CECB671" w14:textId="77777777" w:rsidR="007E09E2" w:rsidRDefault="00000000">
      <w:r>
        <w:t>Este relatório compara dois esquemas de controle de um motor de indução trifásico sob um degrau de torque de carga, com a referência de velocidade mantida constante: acionamento escalar em malha aberta (V/F) e acionamento vetorial por orientação de campo em malha fechada (FOC). Cada acionamento usa a sua própria sintonia de ganhos do controlador proporcional-integral, calculada automaticamente pelo método de banda passante já implementado no ambiente de simulação — nenhum ganho é copiado ou sobreposto entre cenários.</w:t>
      </w:r>
    </w:p>
    <w:p w14:paraId="601FF4C0" w14:textId="77777777" w:rsidR="007E09E2" w:rsidRDefault="00000000">
      <w:r>
        <w:t>A comparação é repetida em dois motores de porte muito diferente para verificar se a vantagem do controle em malha fechada se sustenta independentemente da escala da máquina.</w:t>
      </w:r>
    </w:p>
    <w:p w14:paraId="44FD5293" w14:textId="77777777" w:rsidR="007E09E2" w:rsidRDefault="00000000">
      <w:r>
        <w:rPr>
          <w:rFonts w:ascii="Consolas" w:hAnsi="Consolas"/>
          <w:color w:val="5B6672"/>
          <w:sz w:val="22"/>
        </w:rPr>
        <w:t xml:space="preserve">02  </w:t>
      </w:r>
      <w:r>
        <w:rPr>
          <w:b/>
          <w:color w:val="0E5C68"/>
          <w:sz w:val="32"/>
        </w:rPr>
        <w:t>Malha de controle sob teste</w:t>
      </w:r>
    </w:p>
    <w:p w14:paraId="4555AFAA" w14:textId="77777777" w:rsidR="007E09E2" w:rsidRDefault="00000000">
      <w:r>
        <w:t>Estrutura em cascata: a malha externa de velocidade gera a referência de corrente de torque; a malha interna de corrente segue essa referência e comanda o inversor por modulação vetorial de largura de pulso. O degrau de carga é injetado no eixo mecânico, com a referência de velocidade mantida constante durante todo o ensaio.</w:t>
      </w:r>
    </w:p>
    <w:p w14:paraId="0340D392" w14:textId="77777777" w:rsidR="007E09E2" w:rsidRDefault="00000000">
      <w:r>
        <w:rPr>
          <w:noProof/>
        </w:rPr>
        <w:drawing>
          <wp:inline distT="0" distB="0" distL="0" distR="0" wp14:anchorId="1866435B" wp14:editId="2632BE52">
            <wp:extent cx="5760000" cy="2161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malha_contro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2E1A" w14:textId="77777777" w:rsidR="007E09E2" w:rsidRDefault="00000000">
      <w:r>
        <w:rPr>
          <w:rFonts w:ascii="Consolas" w:hAnsi="Consolas"/>
          <w:color w:val="5B6672"/>
          <w:sz w:val="22"/>
        </w:rPr>
        <w:lastRenderedPageBreak/>
        <w:t xml:space="preserve">03  </w:t>
      </w:r>
      <w:r>
        <w:rPr>
          <w:b/>
          <w:color w:val="0E5C68"/>
          <w:sz w:val="32"/>
        </w:rPr>
        <w:t>Motores e condições de ensaio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09E2" w14:paraId="07C546B9" w14:textId="77777777" w:rsidTr="007E0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27FC6" w14:textId="77777777" w:rsidR="007E09E2" w:rsidRDefault="00000000">
            <w:r>
              <w:rPr>
                <w:sz w:val="18"/>
              </w:rPr>
              <w:t>Parâmetro</w:t>
            </w:r>
          </w:p>
        </w:tc>
        <w:tc>
          <w:tcPr>
            <w:tcW w:w="2880" w:type="dxa"/>
          </w:tcPr>
          <w:p w14:paraId="10FCC818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Motor industrial (grande porte)</w:t>
            </w:r>
          </w:p>
        </w:tc>
        <w:tc>
          <w:tcPr>
            <w:tcW w:w="2880" w:type="dxa"/>
          </w:tcPr>
          <w:p w14:paraId="4C94E941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Motor de bancada (pequeno porte)</w:t>
            </w:r>
          </w:p>
        </w:tc>
      </w:tr>
      <w:tr w:rsidR="007E09E2" w14:paraId="08409708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36CE19" w14:textId="77777777" w:rsidR="007E09E2" w:rsidRDefault="00000000">
            <w:r>
              <w:rPr>
                <w:sz w:val="18"/>
              </w:rPr>
              <w:t>Potência nominal</w:t>
            </w:r>
          </w:p>
        </w:tc>
        <w:tc>
          <w:tcPr>
            <w:tcW w:w="2880" w:type="dxa"/>
          </w:tcPr>
          <w:p w14:paraId="6F8D52F8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2.474 kW</w:t>
            </w:r>
          </w:p>
        </w:tc>
        <w:tc>
          <w:tcPr>
            <w:tcW w:w="2880" w:type="dxa"/>
          </w:tcPr>
          <w:p w14:paraId="1BB4F5A6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1,5 cv (≈ 1,12 kW)</w:t>
            </w:r>
          </w:p>
        </w:tc>
      </w:tr>
      <w:tr w:rsidR="007E09E2" w14:paraId="5CC37B0C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ECA73" w14:textId="77777777" w:rsidR="007E09E2" w:rsidRDefault="00000000">
            <w:r>
              <w:rPr>
                <w:sz w:val="18"/>
              </w:rPr>
              <w:t>Tensão nominal (linha)</w:t>
            </w:r>
          </w:p>
        </w:tc>
        <w:tc>
          <w:tcPr>
            <w:tcW w:w="2880" w:type="dxa"/>
          </w:tcPr>
          <w:p w14:paraId="53D96EA0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4000 V</w:t>
            </w:r>
          </w:p>
        </w:tc>
        <w:tc>
          <w:tcPr>
            <w:tcW w:w="2880" w:type="dxa"/>
          </w:tcPr>
          <w:p w14:paraId="5775C997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220 V</w:t>
            </w:r>
          </w:p>
        </w:tc>
      </w:tr>
      <w:tr w:rsidR="007E09E2" w14:paraId="689C0423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4695A" w14:textId="77777777" w:rsidR="007E09E2" w:rsidRDefault="00000000">
            <w:r>
              <w:rPr>
                <w:sz w:val="18"/>
              </w:rPr>
              <w:t>Frequência nominal</w:t>
            </w:r>
          </w:p>
        </w:tc>
        <w:tc>
          <w:tcPr>
            <w:tcW w:w="2880" w:type="dxa"/>
          </w:tcPr>
          <w:p w14:paraId="0B5A946A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 Hz</w:t>
            </w:r>
          </w:p>
        </w:tc>
        <w:tc>
          <w:tcPr>
            <w:tcW w:w="2880" w:type="dxa"/>
          </w:tcPr>
          <w:p w14:paraId="2CFC5D82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 Hz</w:t>
            </w:r>
          </w:p>
        </w:tc>
      </w:tr>
      <w:tr w:rsidR="007E09E2" w14:paraId="451E9C0E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57B098" w14:textId="77777777" w:rsidR="007E09E2" w:rsidRDefault="00000000">
            <w:r>
              <w:rPr>
                <w:sz w:val="18"/>
              </w:rPr>
              <w:t>Polos</w:t>
            </w:r>
          </w:p>
        </w:tc>
        <w:tc>
          <w:tcPr>
            <w:tcW w:w="2880" w:type="dxa"/>
          </w:tcPr>
          <w:p w14:paraId="731E970D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7795B3C6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7E09E2" w14:paraId="17806E03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598EE" w14:textId="77777777" w:rsidR="007E09E2" w:rsidRDefault="00000000">
            <w:r>
              <w:rPr>
                <w:sz w:val="18"/>
              </w:rPr>
              <w:t>Velocidade nominal</w:t>
            </w:r>
          </w:p>
        </w:tc>
        <w:tc>
          <w:tcPr>
            <w:tcW w:w="2880" w:type="dxa"/>
          </w:tcPr>
          <w:p w14:paraId="68D8C61D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1791 RPM</w:t>
            </w:r>
          </w:p>
        </w:tc>
        <w:tc>
          <w:tcPr>
            <w:tcW w:w="2880" w:type="dxa"/>
          </w:tcPr>
          <w:p w14:paraId="5F3536B4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1710 RPM</w:t>
            </w:r>
          </w:p>
        </w:tc>
      </w:tr>
      <w:tr w:rsidR="007E09E2" w14:paraId="2D9B5000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91BAB" w14:textId="77777777" w:rsidR="007E09E2" w:rsidRDefault="00000000">
            <w:r>
              <w:rPr>
                <w:sz w:val="18"/>
              </w:rPr>
              <w:t>Inércia do rotor</w:t>
            </w:r>
          </w:p>
        </w:tc>
        <w:tc>
          <w:tcPr>
            <w:tcW w:w="2880" w:type="dxa"/>
          </w:tcPr>
          <w:p w14:paraId="397739E6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57.5 kg·m²</w:t>
            </w:r>
          </w:p>
        </w:tc>
        <w:tc>
          <w:tcPr>
            <w:tcW w:w="2880" w:type="dxa"/>
          </w:tcPr>
          <w:p w14:paraId="2DF51109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0.0372 kg·m²</w:t>
            </w:r>
          </w:p>
        </w:tc>
      </w:tr>
      <w:tr w:rsidR="007E09E2" w14:paraId="0044294D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8DFA6" w14:textId="77777777" w:rsidR="007E09E2" w:rsidRDefault="00000000">
            <w:r>
              <w:rPr>
                <w:sz w:val="18"/>
              </w:rPr>
              <w:t>Frequência de chaveamento</w:t>
            </w:r>
          </w:p>
        </w:tc>
        <w:tc>
          <w:tcPr>
            <w:tcW w:w="2880" w:type="dxa"/>
          </w:tcPr>
          <w:p w14:paraId="7E88C05D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5000 Hz</w:t>
            </w:r>
          </w:p>
        </w:tc>
        <w:tc>
          <w:tcPr>
            <w:tcW w:w="2880" w:type="dxa"/>
          </w:tcPr>
          <w:p w14:paraId="5F48A08D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5000 Hz</w:t>
            </w:r>
          </w:p>
        </w:tc>
      </w:tr>
      <w:tr w:rsidR="007E09E2" w14:paraId="1659960B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F12DE9" w14:textId="77777777" w:rsidR="007E09E2" w:rsidRDefault="00000000">
            <w:r>
              <w:rPr>
                <w:sz w:val="18"/>
              </w:rPr>
              <w:t>Ensaio 1 — condição</w:t>
            </w:r>
          </w:p>
        </w:tc>
        <w:tc>
          <w:tcPr>
            <w:tcW w:w="2880" w:type="dxa"/>
          </w:tcPr>
          <w:p w14:paraId="2C7B33AA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 Hz, carga em t = 16 s</w:t>
            </w:r>
          </w:p>
        </w:tc>
        <w:tc>
          <w:tcPr>
            <w:tcW w:w="2880" w:type="dxa"/>
          </w:tcPr>
          <w:p w14:paraId="0D79D7D4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 Hz, carga em t = 1,5 s</w:t>
            </w:r>
          </w:p>
        </w:tc>
      </w:tr>
      <w:tr w:rsidR="007E09E2" w14:paraId="49EA051C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DDD60D" w14:textId="77777777" w:rsidR="007E09E2" w:rsidRDefault="00000000">
            <w:r>
              <w:rPr>
                <w:sz w:val="18"/>
              </w:rPr>
              <w:t>Ensaio 2 — condição</w:t>
            </w:r>
          </w:p>
        </w:tc>
        <w:tc>
          <w:tcPr>
            <w:tcW w:w="2880" w:type="dxa"/>
          </w:tcPr>
          <w:p w14:paraId="2A697116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Hz (50%), carga em t = 16 s</w:t>
            </w:r>
          </w:p>
        </w:tc>
        <w:tc>
          <w:tcPr>
            <w:tcW w:w="2880" w:type="dxa"/>
          </w:tcPr>
          <w:p w14:paraId="2A2433F5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Hz (50%), carga em t = 1,5 s</w:t>
            </w:r>
          </w:p>
        </w:tc>
      </w:tr>
    </w:tbl>
    <w:p w14:paraId="31D2EB79" w14:textId="77777777" w:rsidR="007E09E2" w:rsidRDefault="00000000">
      <w:r>
        <w:rPr>
          <w:sz w:val="18"/>
        </w:rPr>
        <w:t>Faixa de acomodação usada nas métricas abaixo: 10% do valor final, com um filtro de média móvel de 50 milissegundos para separar a dinâmica da malha de controle da ondulação de chaveamento do inversor.</w:t>
      </w:r>
    </w:p>
    <w:p w14:paraId="03A054CE" w14:textId="77777777" w:rsidR="007E09E2" w:rsidRDefault="00000000">
      <w:r>
        <w:rPr>
          <w:rFonts w:ascii="Consolas" w:hAnsi="Consolas"/>
          <w:color w:val="5B6672"/>
          <w:sz w:val="22"/>
        </w:rPr>
        <w:t xml:space="preserve">04  </w:t>
      </w:r>
      <w:r>
        <w:rPr>
          <w:b/>
          <w:color w:val="0E5C68"/>
          <w:sz w:val="32"/>
        </w:rPr>
        <w:t>Ensaio 1 — Degrau de carga à velocidade nominal (60 Hz)</w:t>
      </w:r>
    </w:p>
    <w:p w14:paraId="38E22021" w14:textId="77777777" w:rsidR="007E09E2" w:rsidRDefault="00000000">
      <w:r>
        <w:t>Motor de pequeno porte — partida direta, V/F e FOC:</w:t>
      </w:r>
    </w:p>
    <w:p w14:paraId="55F75BCB" w14:textId="77777777" w:rsidR="007E09E2" w:rsidRDefault="00000000">
      <w:r>
        <w:rPr>
          <w:noProof/>
        </w:rPr>
        <w:drawing>
          <wp:inline distT="0" distB="0" distL="0" distR="0" wp14:anchorId="03BC157A" wp14:editId="619099F2">
            <wp:extent cx="5400000" cy="385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515E" w14:textId="77777777" w:rsidR="007E09E2" w:rsidRDefault="00000000">
      <w:r>
        <w:rPr>
          <w:noProof/>
        </w:rPr>
        <w:lastRenderedPageBreak/>
        <w:drawing>
          <wp:inline distT="0" distB="0" distL="0" distR="0" wp14:anchorId="036ED4B3" wp14:editId="4DE28D33">
            <wp:extent cx="5400000" cy="3857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E09E2" w14:paraId="6067E440" w14:textId="77777777" w:rsidTr="007E0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0335B9" w14:textId="77777777" w:rsidR="007E09E2" w:rsidRDefault="00000000">
            <w:r>
              <w:rPr>
                <w:sz w:val="18"/>
              </w:rPr>
              <w:t>Ensaio</w:t>
            </w:r>
          </w:p>
        </w:tc>
        <w:tc>
          <w:tcPr>
            <w:tcW w:w="1728" w:type="dxa"/>
          </w:tcPr>
          <w:p w14:paraId="5E30EB59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Cenário</w:t>
            </w:r>
          </w:p>
        </w:tc>
        <w:tc>
          <w:tcPr>
            <w:tcW w:w="1728" w:type="dxa"/>
          </w:tcPr>
          <w:p w14:paraId="15C199D0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 de acomodação (s)</w:t>
            </w:r>
          </w:p>
        </w:tc>
        <w:tc>
          <w:tcPr>
            <w:tcW w:w="1728" w:type="dxa"/>
          </w:tcPr>
          <w:p w14:paraId="3F368A4B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Erro de regime</w:t>
            </w:r>
          </w:p>
        </w:tc>
        <w:tc>
          <w:tcPr>
            <w:tcW w:w="1728" w:type="dxa"/>
          </w:tcPr>
          <w:p w14:paraId="2A642EE6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Sobressinal (%)</w:t>
            </w:r>
          </w:p>
        </w:tc>
      </w:tr>
      <w:tr w:rsidR="007E09E2" w14:paraId="7272C8AA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AC5C05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4B52ED74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Fonte CA (partida direta)</w:t>
            </w:r>
          </w:p>
        </w:tc>
        <w:tc>
          <w:tcPr>
            <w:tcW w:w="1728" w:type="dxa"/>
          </w:tcPr>
          <w:p w14:paraId="476C597A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</w:t>
            </w:r>
          </w:p>
        </w:tc>
        <w:tc>
          <w:tcPr>
            <w:tcW w:w="1728" w:type="dxa"/>
          </w:tcPr>
          <w:p w14:paraId="22B16B19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-3.827e-09</w:t>
            </w:r>
          </w:p>
        </w:tc>
        <w:tc>
          <w:tcPr>
            <w:tcW w:w="1728" w:type="dxa"/>
          </w:tcPr>
          <w:p w14:paraId="0B666664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-92.45</w:t>
            </w:r>
          </w:p>
        </w:tc>
      </w:tr>
      <w:tr w:rsidR="007E09E2" w14:paraId="165FDB3E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8926C2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00A0A3D7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2DBA2DE6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0.1398</w:t>
            </w:r>
          </w:p>
        </w:tc>
        <w:tc>
          <w:tcPr>
            <w:tcW w:w="1728" w:type="dxa"/>
          </w:tcPr>
          <w:p w14:paraId="5A7F8C46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5.567e-05</w:t>
            </w:r>
          </w:p>
        </w:tc>
        <w:tc>
          <w:tcPr>
            <w:tcW w:w="1728" w:type="dxa"/>
          </w:tcPr>
          <w:p w14:paraId="6A3535DA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-92.78</w:t>
            </w:r>
          </w:p>
        </w:tc>
      </w:tr>
      <w:tr w:rsidR="007E09E2" w14:paraId="38F884BA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6A9457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71C9BDFF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638ACB28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0.5829</w:t>
            </w:r>
          </w:p>
        </w:tc>
        <w:tc>
          <w:tcPr>
            <w:tcW w:w="1728" w:type="dxa"/>
          </w:tcPr>
          <w:p w14:paraId="5EA0B08B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0.002777</w:t>
            </w:r>
          </w:p>
        </w:tc>
        <w:tc>
          <w:tcPr>
            <w:tcW w:w="1728" w:type="dxa"/>
          </w:tcPr>
          <w:p w14:paraId="55A1BDBB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-135.6</w:t>
            </w:r>
          </w:p>
        </w:tc>
      </w:tr>
      <w:tr w:rsidR="007E09E2" w14:paraId="0BB99B1D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08AC96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34D1C83D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Fonte CA (partida direta)</w:t>
            </w:r>
          </w:p>
        </w:tc>
        <w:tc>
          <w:tcPr>
            <w:tcW w:w="1728" w:type="dxa"/>
          </w:tcPr>
          <w:p w14:paraId="6EFBAC84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4816346C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-10.12</w:t>
            </w:r>
          </w:p>
        </w:tc>
        <w:tc>
          <w:tcPr>
            <w:tcW w:w="1728" w:type="dxa"/>
          </w:tcPr>
          <w:p w14:paraId="16E5DF70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-5.371</w:t>
            </w:r>
          </w:p>
        </w:tc>
      </w:tr>
      <w:tr w:rsidR="007E09E2" w14:paraId="66508CF5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806FB0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5C49B011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11F4630E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6788D29F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-10.11</w:t>
            </w:r>
          </w:p>
        </w:tc>
        <w:tc>
          <w:tcPr>
            <w:tcW w:w="1728" w:type="dxa"/>
          </w:tcPr>
          <w:p w14:paraId="070502FE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-5.363</w:t>
            </w:r>
          </w:p>
        </w:tc>
      </w:tr>
      <w:tr w:rsidR="007E09E2" w14:paraId="7E156F17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3C862B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1BF4006E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7AC14982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0.1971</w:t>
            </w:r>
          </w:p>
        </w:tc>
        <w:tc>
          <w:tcPr>
            <w:tcW w:w="1728" w:type="dxa"/>
          </w:tcPr>
          <w:p w14:paraId="642E005A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1.637</w:t>
            </w:r>
          </w:p>
        </w:tc>
        <w:tc>
          <w:tcPr>
            <w:tcW w:w="1728" w:type="dxa"/>
          </w:tcPr>
          <w:p w14:paraId="53D06DE9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-10.96</w:t>
            </w:r>
          </w:p>
        </w:tc>
      </w:tr>
    </w:tbl>
    <w:p w14:paraId="1753B154" w14:textId="77777777" w:rsidR="007E09E2" w:rsidRDefault="00000000">
      <w:r>
        <w:rPr>
          <w:i/>
          <w:color w:val="5B6672"/>
          <w:sz w:val="18"/>
        </w:rPr>
        <w:t>Detalhe em torno do instante de aplicação da carga (0.1 s antes a 0.2 s depois):</w:t>
      </w:r>
    </w:p>
    <w:p w14:paraId="00C6B39E" w14:textId="77777777" w:rsidR="007E09E2" w:rsidRDefault="00000000">
      <w:r>
        <w:rPr>
          <w:noProof/>
        </w:rPr>
        <w:lastRenderedPageBreak/>
        <w:drawing>
          <wp:inline distT="0" distB="0" distL="0" distR="0" wp14:anchorId="074FC3E2" wp14:editId="1A1A6D3A">
            <wp:extent cx="5400000" cy="385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_z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6E8B" w14:textId="77777777" w:rsidR="007E09E2" w:rsidRDefault="00000000">
      <w:r>
        <w:rPr>
          <w:noProof/>
        </w:rPr>
        <w:drawing>
          <wp:inline distT="0" distB="0" distL="0" distR="0" wp14:anchorId="02DCFF6C" wp14:editId="733F924C">
            <wp:extent cx="5400000" cy="3857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_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A28A" w14:textId="77777777" w:rsidR="007E09E2" w:rsidRDefault="007E09E2"/>
    <w:p w14:paraId="473E577B" w14:textId="77777777" w:rsidR="007E09E2" w:rsidRDefault="00000000">
      <w:r>
        <w:lastRenderedPageBreak/>
        <w:t>Motor industrial de grande porte — partida direta, V/F e FOC:</w:t>
      </w:r>
    </w:p>
    <w:p w14:paraId="3DAEF13C" w14:textId="77777777" w:rsidR="007E09E2" w:rsidRDefault="00000000">
      <w:r>
        <w:rPr>
          <w:noProof/>
        </w:rPr>
        <w:drawing>
          <wp:inline distT="0" distB="0" distL="0" distR="0" wp14:anchorId="68DC5310" wp14:editId="676B7B7B">
            <wp:extent cx="5400000" cy="3857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65AE" w14:textId="77777777" w:rsidR="007E09E2" w:rsidRDefault="00000000">
      <w:r>
        <w:rPr>
          <w:noProof/>
        </w:rPr>
        <w:drawing>
          <wp:inline distT="0" distB="0" distL="0" distR="0" wp14:anchorId="216D0264" wp14:editId="6E016E99">
            <wp:extent cx="5400000" cy="38571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E09E2" w14:paraId="42B3CE53" w14:textId="77777777" w:rsidTr="007E0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6ED114" w14:textId="77777777" w:rsidR="007E09E2" w:rsidRDefault="00000000">
            <w:r>
              <w:rPr>
                <w:sz w:val="18"/>
              </w:rPr>
              <w:lastRenderedPageBreak/>
              <w:t>Ensaio</w:t>
            </w:r>
          </w:p>
        </w:tc>
        <w:tc>
          <w:tcPr>
            <w:tcW w:w="1728" w:type="dxa"/>
          </w:tcPr>
          <w:p w14:paraId="5757B253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Cenário</w:t>
            </w:r>
          </w:p>
        </w:tc>
        <w:tc>
          <w:tcPr>
            <w:tcW w:w="1728" w:type="dxa"/>
          </w:tcPr>
          <w:p w14:paraId="5A60ED9F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 de acomodação (s)</w:t>
            </w:r>
          </w:p>
        </w:tc>
        <w:tc>
          <w:tcPr>
            <w:tcW w:w="1728" w:type="dxa"/>
          </w:tcPr>
          <w:p w14:paraId="5388D3F0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Erro de regime</w:t>
            </w:r>
          </w:p>
        </w:tc>
        <w:tc>
          <w:tcPr>
            <w:tcW w:w="1728" w:type="dxa"/>
          </w:tcPr>
          <w:p w14:paraId="43377C99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Sobressinal (%)</w:t>
            </w:r>
          </w:p>
        </w:tc>
      </w:tr>
      <w:tr w:rsidR="007E09E2" w14:paraId="00C36372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FF30B4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06FC281C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Fonte CA (partida direta)</w:t>
            </w:r>
          </w:p>
        </w:tc>
        <w:tc>
          <w:tcPr>
            <w:tcW w:w="1728" w:type="dxa"/>
          </w:tcPr>
          <w:p w14:paraId="129B6EED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0.4346</w:t>
            </w:r>
          </w:p>
        </w:tc>
        <w:tc>
          <w:tcPr>
            <w:tcW w:w="1728" w:type="dxa"/>
          </w:tcPr>
          <w:p w14:paraId="6FFB28C6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2.183e-11</w:t>
            </w:r>
          </w:p>
        </w:tc>
        <w:tc>
          <w:tcPr>
            <w:tcW w:w="1728" w:type="dxa"/>
          </w:tcPr>
          <w:p w14:paraId="11583A5B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-89.98</w:t>
            </w:r>
          </w:p>
        </w:tc>
      </w:tr>
      <w:tr w:rsidR="007E09E2" w14:paraId="461D7225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CAAA3C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13F1A4E1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384F0BF4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0.4342</w:t>
            </w:r>
          </w:p>
        </w:tc>
        <w:tc>
          <w:tcPr>
            <w:tcW w:w="1728" w:type="dxa"/>
          </w:tcPr>
          <w:p w14:paraId="4B8A5CAB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0.1286</w:t>
            </w:r>
          </w:p>
        </w:tc>
        <w:tc>
          <w:tcPr>
            <w:tcW w:w="1728" w:type="dxa"/>
          </w:tcPr>
          <w:p w14:paraId="1611DB79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-89.99</w:t>
            </w:r>
          </w:p>
        </w:tc>
      </w:tr>
      <w:tr w:rsidR="007E09E2" w14:paraId="03CC7A5C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B0D054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04350D06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02413EE1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5.26</w:t>
            </w:r>
          </w:p>
        </w:tc>
        <w:tc>
          <w:tcPr>
            <w:tcW w:w="1728" w:type="dxa"/>
          </w:tcPr>
          <w:p w14:paraId="1C15EAD9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0.01519</w:t>
            </w:r>
          </w:p>
        </w:tc>
        <w:tc>
          <w:tcPr>
            <w:tcW w:w="1728" w:type="dxa"/>
          </w:tcPr>
          <w:p w14:paraId="0FDF47A7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-250.6</w:t>
            </w:r>
          </w:p>
        </w:tc>
      </w:tr>
      <w:tr w:rsidR="007E09E2" w14:paraId="238702C5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7EC0BC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57B4D7AB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Fonte CA (partida direta)</w:t>
            </w:r>
          </w:p>
        </w:tc>
        <w:tc>
          <w:tcPr>
            <w:tcW w:w="1728" w:type="dxa"/>
          </w:tcPr>
          <w:p w14:paraId="4FC2A020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7885BFC4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-0.9152</w:t>
            </w:r>
          </w:p>
        </w:tc>
        <w:tc>
          <w:tcPr>
            <w:tcW w:w="1728" w:type="dxa"/>
          </w:tcPr>
          <w:p w14:paraId="3E1AC1BB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-2.271</w:t>
            </w:r>
          </w:p>
        </w:tc>
      </w:tr>
      <w:tr w:rsidR="007E09E2" w14:paraId="62BCA3F0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81FF42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4F2A4996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2455EBB1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0F3FA3DF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-0.9138</w:t>
            </w:r>
          </w:p>
        </w:tc>
        <w:tc>
          <w:tcPr>
            <w:tcW w:w="1728" w:type="dxa"/>
          </w:tcPr>
          <w:p w14:paraId="177E48D4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-2.267</w:t>
            </w:r>
          </w:p>
        </w:tc>
      </w:tr>
      <w:tr w:rsidR="007E09E2" w14:paraId="7D21EBEE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EA0D7E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23149CC7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68CF3776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5.128</w:t>
            </w:r>
          </w:p>
        </w:tc>
        <w:tc>
          <w:tcPr>
            <w:tcW w:w="1728" w:type="dxa"/>
          </w:tcPr>
          <w:p w14:paraId="708F9A68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0.6984</w:t>
            </w:r>
          </w:p>
        </w:tc>
        <w:tc>
          <w:tcPr>
            <w:tcW w:w="1728" w:type="dxa"/>
          </w:tcPr>
          <w:p w14:paraId="5023813D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-65.63</w:t>
            </w:r>
          </w:p>
        </w:tc>
      </w:tr>
    </w:tbl>
    <w:p w14:paraId="19650372" w14:textId="77777777" w:rsidR="007E09E2" w:rsidRDefault="00000000">
      <w:r>
        <w:rPr>
          <w:i/>
          <w:color w:val="5B6672"/>
          <w:sz w:val="18"/>
        </w:rPr>
        <w:t>Detalhe em torno do instante de aplicação da carga (0.5 s antes a 1 s depois):</w:t>
      </w:r>
    </w:p>
    <w:p w14:paraId="5341FB2A" w14:textId="77777777" w:rsidR="007E09E2" w:rsidRDefault="00000000">
      <w:r>
        <w:rPr>
          <w:noProof/>
        </w:rPr>
        <w:drawing>
          <wp:inline distT="0" distB="0" distL="0" distR="0" wp14:anchorId="47FCCD3B" wp14:editId="485A2EC5">
            <wp:extent cx="5400000" cy="38571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_z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506D" w14:textId="77777777" w:rsidR="007E09E2" w:rsidRDefault="00000000">
      <w:r>
        <w:rPr>
          <w:noProof/>
        </w:rPr>
        <w:lastRenderedPageBreak/>
        <w:drawing>
          <wp:inline distT="0" distB="0" distL="0" distR="0" wp14:anchorId="46C10958" wp14:editId="76903D46">
            <wp:extent cx="5400000" cy="3857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_z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3B18" w14:textId="77777777" w:rsidR="007E09E2" w:rsidRDefault="00000000">
      <w:r>
        <w:rPr>
          <w:rFonts w:ascii="Consolas" w:hAnsi="Consolas"/>
          <w:color w:val="5B6672"/>
          <w:sz w:val="22"/>
        </w:rPr>
        <w:t xml:space="preserve">05  </w:t>
      </w:r>
      <w:r>
        <w:rPr>
          <w:b/>
          <w:color w:val="0E5C68"/>
          <w:sz w:val="32"/>
        </w:rPr>
        <w:t>Ensaio 2 — Degrau de carga a 50% da velocidade (30 Hz)</w:t>
      </w:r>
    </w:p>
    <w:p w14:paraId="56CEC4DC" w14:textId="77777777" w:rsidR="007E09E2" w:rsidRDefault="00000000">
      <w:r>
        <w:t>Sem o cenário de partida direta (a fonte de corrente alternada ideal não admite referência de frequência reduzida). Motor de pequeno porte — V/F e FOC:</w:t>
      </w:r>
    </w:p>
    <w:p w14:paraId="55630E27" w14:textId="77777777" w:rsidR="007E09E2" w:rsidRDefault="00000000">
      <w:r>
        <w:rPr>
          <w:noProof/>
        </w:rPr>
        <w:lastRenderedPageBreak/>
        <w:drawing>
          <wp:inline distT="0" distB="0" distL="0" distR="0" wp14:anchorId="168B8B23" wp14:editId="026575FD">
            <wp:extent cx="5400000" cy="38571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CD07" w14:textId="77777777" w:rsidR="007E09E2" w:rsidRDefault="00000000">
      <w:r>
        <w:rPr>
          <w:noProof/>
        </w:rPr>
        <w:drawing>
          <wp:inline distT="0" distB="0" distL="0" distR="0" wp14:anchorId="096C2E33" wp14:editId="1635125B">
            <wp:extent cx="5400000" cy="3857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E09E2" w14:paraId="5D383A88" w14:textId="77777777" w:rsidTr="007E0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205DBC" w14:textId="77777777" w:rsidR="007E09E2" w:rsidRDefault="00000000">
            <w:r>
              <w:rPr>
                <w:sz w:val="18"/>
              </w:rPr>
              <w:t>Ensaio</w:t>
            </w:r>
          </w:p>
        </w:tc>
        <w:tc>
          <w:tcPr>
            <w:tcW w:w="1728" w:type="dxa"/>
          </w:tcPr>
          <w:p w14:paraId="32B8C71F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Cenário</w:t>
            </w:r>
          </w:p>
        </w:tc>
        <w:tc>
          <w:tcPr>
            <w:tcW w:w="1728" w:type="dxa"/>
          </w:tcPr>
          <w:p w14:paraId="75BBB139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Tempo de </w:t>
            </w:r>
            <w:r>
              <w:rPr>
                <w:sz w:val="18"/>
              </w:rPr>
              <w:lastRenderedPageBreak/>
              <w:t>acomodação (s)</w:t>
            </w:r>
          </w:p>
        </w:tc>
        <w:tc>
          <w:tcPr>
            <w:tcW w:w="1728" w:type="dxa"/>
          </w:tcPr>
          <w:p w14:paraId="3C8AC40E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Erro de regime</w:t>
            </w:r>
          </w:p>
        </w:tc>
        <w:tc>
          <w:tcPr>
            <w:tcW w:w="1728" w:type="dxa"/>
          </w:tcPr>
          <w:p w14:paraId="329019BD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Sobressinal (%)</w:t>
            </w:r>
          </w:p>
        </w:tc>
      </w:tr>
      <w:tr w:rsidR="007E09E2" w14:paraId="4C7F9F61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2A4933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5E47028A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6539603E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0.1753</w:t>
            </w:r>
          </w:p>
        </w:tc>
        <w:tc>
          <w:tcPr>
            <w:tcW w:w="1728" w:type="dxa"/>
          </w:tcPr>
          <w:p w14:paraId="652E0AE1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0.002497</w:t>
            </w:r>
          </w:p>
        </w:tc>
        <w:tc>
          <w:tcPr>
            <w:tcW w:w="1728" w:type="dxa"/>
          </w:tcPr>
          <w:p w14:paraId="32644A35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-93.83</w:t>
            </w:r>
          </w:p>
        </w:tc>
      </w:tr>
      <w:tr w:rsidR="007E09E2" w14:paraId="60D79437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123B0E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71707AB9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032107F7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0.02026</w:t>
            </w:r>
          </w:p>
        </w:tc>
        <w:tc>
          <w:tcPr>
            <w:tcW w:w="1728" w:type="dxa"/>
          </w:tcPr>
          <w:p w14:paraId="253B52D8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0.001049</w:t>
            </w:r>
          </w:p>
        </w:tc>
        <w:tc>
          <w:tcPr>
            <w:tcW w:w="1728" w:type="dxa"/>
          </w:tcPr>
          <w:p w14:paraId="6FE5E037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-50.57</w:t>
            </w:r>
          </w:p>
        </w:tc>
      </w:tr>
      <w:tr w:rsidR="007E09E2" w14:paraId="12D75C1C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5DF419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346A2F0F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689C3354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infinito</w:t>
            </w:r>
          </w:p>
        </w:tc>
        <w:tc>
          <w:tcPr>
            <w:tcW w:w="1728" w:type="dxa"/>
          </w:tcPr>
          <w:p w14:paraId="4B6A1866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-12.23</w:t>
            </w:r>
          </w:p>
        </w:tc>
        <w:tc>
          <w:tcPr>
            <w:tcW w:w="1728" w:type="dxa"/>
          </w:tcPr>
          <w:p w14:paraId="4036D6B3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-12.98</w:t>
            </w:r>
          </w:p>
        </w:tc>
      </w:tr>
      <w:tr w:rsidR="007E09E2" w14:paraId="4014B93D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F551CC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604FDEB7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732009FD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2F2C2440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-0.007124</w:t>
            </w:r>
          </w:p>
        </w:tc>
        <w:tc>
          <w:tcPr>
            <w:tcW w:w="1728" w:type="dxa"/>
          </w:tcPr>
          <w:p w14:paraId="4B77701C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-0.05042</w:t>
            </w:r>
          </w:p>
        </w:tc>
      </w:tr>
    </w:tbl>
    <w:p w14:paraId="7613358B" w14:textId="77777777" w:rsidR="007E09E2" w:rsidRDefault="00000000">
      <w:r>
        <w:rPr>
          <w:i/>
          <w:color w:val="5B6672"/>
          <w:sz w:val="18"/>
        </w:rPr>
        <w:t>Detalhe em torno do instante de aplicação da carga (0.1 s antes a 0.2 s depois):</w:t>
      </w:r>
    </w:p>
    <w:p w14:paraId="59FA1446" w14:textId="77777777" w:rsidR="007E09E2" w:rsidRDefault="00000000">
      <w:r>
        <w:rPr>
          <w:noProof/>
        </w:rPr>
        <w:drawing>
          <wp:inline distT="0" distB="0" distL="0" distR="0" wp14:anchorId="0D0DDD88" wp14:editId="67F862A3">
            <wp:extent cx="5400000" cy="3857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_zo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A827" w14:textId="77777777" w:rsidR="007E09E2" w:rsidRDefault="00000000">
      <w:r>
        <w:rPr>
          <w:noProof/>
        </w:rPr>
        <w:lastRenderedPageBreak/>
        <w:drawing>
          <wp:inline distT="0" distB="0" distL="0" distR="0" wp14:anchorId="3EED0090" wp14:editId="253B6157">
            <wp:extent cx="5400000" cy="3857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_z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E17F" w14:textId="77777777" w:rsidR="007E09E2" w:rsidRDefault="007E09E2"/>
    <w:p w14:paraId="00E28C3F" w14:textId="77777777" w:rsidR="007E09E2" w:rsidRDefault="00000000">
      <w:r>
        <w:t>Motor industrial de grande porte — V/F e FOC:</w:t>
      </w:r>
    </w:p>
    <w:p w14:paraId="0E2B0ED4" w14:textId="77777777" w:rsidR="007E09E2" w:rsidRDefault="00000000">
      <w:r>
        <w:rPr>
          <w:noProof/>
        </w:rPr>
        <w:lastRenderedPageBreak/>
        <w:drawing>
          <wp:inline distT="0" distB="0" distL="0" distR="0" wp14:anchorId="721215F4" wp14:editId="3AE11931">
            <wp:extent cx="5400000" cy="38571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B402" w14:textId="20C2A926" w:rsidR="006339DB" w:rsidRDefault="006339DB">
      <w:r>
        <w:rPr>
          <w:noProof/>
        </w:rPr>
        <w:drawing>
          <wp:inline distT="0" distB="0" distL="0" distR="0" wp14:anchorId="66DFDD4F" wp14:editId="353A1CFB">
            <wp:extent cx="5400000" cy="38571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jugados_tempo_zo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8880" w14:textId="77777777" w:rsidR="007E09E2" w:rsidRDefault="00000000">
      <w:r>
        <w:rPr>
          <w:noProof/>
        </w:rPr>
        <w:drawing>
          <wp:inline distT="0" distB="0" distL="0" distR="0" wp14:anchorId="689047D6" wp14:editId="0220D12F">
            <wp:extent cx="5400000" cy="38571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E09E2" w14:paraId="2128DCA4" w14:textId="77777777" w:rsidTr="007E0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555F4A" w14:textId="77777777" w:rsidR="007E09E2" w:rsidRDefault="00000000">
            <w:r>
              <w:rPr>
                <w:sz w:val="18"/>
              </w:rPr>
              <w:lastRenderedPageBreak/>
              <w:t>Ensaio</w:t>
            </w:r>
          </w:p>
        </w:tc>
        <w:tc>
          <w:tcPr>
            <w:tcW w:w="1728" w:type="dxa"/>
          </w:tcPr>
          <w:p w14:paraId="5C3598B3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Cenário</w:t>
            </w:r>
          </w:p>
        </w:tc>
        <w:tc>
          <w:tcPr>
            <w:tcW w:w="1728" w:type="dxa"/>
          </w:tcPr>
          <w:p w14:paraId="0F2FE22C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 de acomodação (s)</w:t>
            </w:r>
          </w:p>
        </w:tc>
        <w:tc>
          <w:tcPr>
            <w:tcW w:w="1728" w:type="dxa"/>
          </w:tcPr>
          <w:p w14:paraId="3B046EFA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Erro de regime</w:t>
            </w:r>
          </w:p>
        </w:tc>
        <w:tc>
          <w:tcPr>
            <w:tcW w:w="1728" w:type="dxa"/>
          </w:tcPr>
          <w:p w14:paraId="3422411E" w14:textId="77777777" w:rsidR="007E0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Sobressinal (%)</w:t>
            </w:r>
          </w:p>
        </w:tc>
      </w:tr>
      <w:tr w:rsidR="007E09E2" w14:paraId="678623F5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A530A8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574875E5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11DFBC5E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0.4979</w:t>
            </w:r>
          </w:p>
        </w:tc>
        <w:tc>
          <w:tcPr>
            <w:tcW w:w="1728" w:type="dxa"/>
          </w:tcPr>
          <w:p w14:paraId="4F4A2462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9.085e-06</w:t>
            </w:r>
          </w:p>
        </w:tc>
        <w:tc>
          <w:tcPr>
            <w:tcW w:w="1728" w:type="dxa"/>
          </w:tcPr>
          <w:p w14:paraId="6A62B351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-90.23</w:t>
            </w:r>
          </w:p>
        </w:tc>
      </w:tr>
      <w:tr w:rsidR="007E09E2" w14:paraId="71FE3438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1E5FAC" w14:textId="77777777" w:rsidR="007E09E2" w:rsidRDefault="00000000">
            <w:r>
              <w:rPr>
                <w:sz w:val="18"/>
              </w:rPr>
              <w:t>Degrau de carga - Torque</w:t>
            </w:r>
          </w:p>
        </w:tc>
        <w:tc>
          <w:tcPr>
            <w:tcW w:w="1728" w:type="dxa"/>
          </w:tcPr>
          <w:p w14:paraId="48491204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3644F6B3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</w:t>
            </w:r>
          </w:p>
        </w:tc>
        <w:tc>
          <w:tcPr>
            <w:tcW w:w="1728" w:type="dxa"/>
          </w:tcPr>
          <w:p w14:paraId="0EB9034D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-0.007884</w:t>
            </w:r>
          </w:p>
        </w:tc>
        <w:tc>
          <w:tcPr>
            <w:tcW w:w="1728" w:type="dxa"/>
          </w:tcPr>
          <w:p w14:paraId="6AC06561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-50</w:t>
            </w:r>
          </w:p>
        </w:tc>
      </w:tr>
      <w:tr w:rsidR="007E09E2" w14:paraId="64BE17D4" w14:textId="77777777" w:rsidTr="007E0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263D75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161087C0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Inversor V/F</w:t>
            </w:r>
          </w:p>
        </w:tc>
        <w:tc>
          <w:tcPr>
            <w:tcW w:w="1728" w:type="dxa"/>
          </w:tcPr>
          <w:p w14:paraId="133486DA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61261237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-0.9192</w:t>
            </w:r>
          </w:p>
        </w:tc>
        <w:tc>
          <w:tcPr>
            <w:tcW w:w="1728" w:type="dxa"/>
          </w:tcPr>
          <w:p w14:paraId="0C95AA97" w14:textId="77777777" w:rsidR="007E0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-4.565</w:t>
            </w:r>
          </w:p>
        </w:tc>
      </w:tr>
      <w:tr w:rsidR="007E09E2" w14:paraId="6B9C99D6" w14:textId="77777777" w:rsidTr="007E0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A509F6" w14:textId="77777777" w:rsidR="007E09E2" w:rsidRDefault="00000000">
            <w:r>
              <w:rPr>
                <w:sz w:val="18"/>
              </w:rPr>
              <w:t>Degrau de carga - Velocidade</w:t>
            </w:r>
          </w:p>
        </w:tc>
        <w:tc>
          <w:tcPr>
            <w:tcW w:w="1728" w:type="dxa"/>
          </w:tcPr>
          <w:p w14:paraId="357C1C6D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Inversor FOC</w:t>
            </w:r>
          </w:p>
        </w:tc>
        <w:tc>
          <w:tcPr>
            <w:tcW w:w="1728" w:type="dxa"/>
          </w:tcPr>
          <w:p w14:paraId="755B5763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4C347058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5.61e-07</w:t>
            </w:r>
          </w:p>
        </w:tc>
        <w:tc>
          <w:tcPr>
            <w:tcW w:w="1728" w:type="dxa"/>
          </w:tcPr>
          <w:p w14:paraId="12C6B1B8" w14:textId="77777777" w:rsidR="007E09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-0.01588</w:t>
            </w:r>
          </w:p>
        </w:tc>
      </w:tr>
    </w:tbl>
    <w:p w14:paraId="71C69735" w14:textId="77777777" w:rsidR="007E09E2" w:rsidRDefault="00000000">
      <w:r>
        <w:rPr>
          <w:i/>
          <w:color w:val="5B6672"/>
          <w:sz w:val="18"/>
        </w:rPr>
        <w:t>Detalhe em torno do instante de aplicação da carga (0.5 s antes a 1 s depois):</w:t>
      </w:r>
    </w:p>
    <w:p w14:paraId="6AA3BED1" w14:textId="53F58FD6" w:rsidR="007E09E2" w:rsidRDefault="007E09E2"/>
    <w:p w14:paraId="26DC4DCA" w14:textId="77777777" w:rsidR="007E09E2" w:rsidRDefault="00000000">
      <w:r>
        <w:rPr>
          <w:noProof/>
        </w:rPr>
        <w:drawing>
          <wp:inline distT="0" distB="0" distL="0" distR="0" wp14:anchorId="7B17837E" wp14:editId="501C71A2">
            <wp:extent cx="5400000" cy="38571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locidade_tempo_zoo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0D81" w14:textId="77777777" w:rsidR="007E09E2" w:rsidRDefault="00000000">
      <w:r>
        <w:rPr>
          <w:rFonts w:ascii="Consolas" w:hAnsi="Consolas"/>
          <w:color w:val="5B6672"/>
          <w:sz w:val="22"/>
        </w:rPr>
        <w:t xml:space="preserve">06  </w:t>
      </w:r>
      <w:r>
        <w:rPr>
          <w:b/>
          <w:color w:val="0E5C68"/>
          <w:sz w:val="32"/>
        </w:rPr>
        <w:t>Síntese e conclusão</w:t>
      </w:r>
    </w:p>
    <w:p w14:paraId="799006DF" w14:textId="77777777" w:rsidR="007E09E2" w:rsidRDefault="00000000">
      <w:r>
        <w:t>No motor de pequeno porte, a 50% da velocidade nominal, o erro de regime permanente de velocidade após o degrau de carga foi de -12.23 radianos por segundo no acionamento V/F, contra -0.0071 radianos por segundo no FOC — a malha fechada praticamente elimina o escorregamento induzido pela carga, enquanto o V/F, em malha aberta, apresenta um desvio permanente que cresce proporcionalmente conforme a frequência de referência diminui, um comportamento já conhecido dos acionamentos escalares.</w:t>
      </w:r>
    </w:p>
    <w:p w14:paraId="25648057" w14:textId="77777777" w:rsidR="007E09E2" w:rsidRDefault="00000000">
      <w:r>
        <w:t xml:space="preserve">No motor industrial de grande porte, o quadro é mais heterogêneo. No Ensaio 2 (30 Hz), o FOC repete o padrão do motor pequeno: acomoda o conjugado bem mais rápido que o V/F (0,02 s contra 0,50 s) e praticamente anula o erro de regime de velocidade. Já no Ensaio 1 </w:t>
      </w:r>
      <w:r>
        <w:lastRenderedPageBreak/>
        <w:t>(60 Hz, velocidade nominal), o FOC — com a mesma sintonia calculada automaticamente pelo método de banda passante, sem qualquer ajuste manual — leva bem mais tempo para acomodar tanto o conjugado quanto a velocidade (cerca de 5,2 s, contra frações de segundo no V/F) e apresenta sobressinal acentuado. O erro de regime de velocidade ainda é menor no FOC (0,70 rad/s) que no V/F (0,91 rad/s), mas a resposta transitória nessa condição específica é claramente pior — um resultado que sugere que a sintonia automática, adequada para esse motor a 30 Hz, não se transporta bem para a condição de carga nominal a 60 Hz.</w:t>
      </w:r>
    </w:p>
    <w:p w14:paraId="1B9C4FAA" w14:textId="77777777" w:rsidR="007E09E2" w:rsidRDefault="00000000">
      <w:r>
        <w:t>Conclusão geral: o controle FOC corrige o desvio de velocidade sob carga de forma consistente em todos os motores e condições testados — a vantagem clássica da malha fechada sobre o V/F em malha aberta. Já o tempo de acomodação não é uniformemente melhor: no motor pequeno e no motor grande a 30 Hz o FOC acomoda mais rápido que o V/F, mas no motor grande à velocidade nominal (60 Hz) o FOC acomoda bem mais devagar, com sobressinal elevado, usando a mesma sintonia automática sem qualquer ajuste manual. Isso indica que a robustez da sintonia calculada pelo método de banda passante não pode ser presumida em todas as condições de operação — o desempenho dinâmico deve ser verificado caso a caso, especialmente em motores de maior inércia.</w:t>
      </w:r>
    </w:p>
    <w:p w14:paraId="56A9003A" w14:textId="77777777" w:rsidR="007E09E2" w:rsidRDefault="00000000">
      <w:r>
        <w:t>Como próximos passos, sugere-se (i) revisar manualmente a sintonia do FOC no motor de grande porte na condição de carga nominal a 60 Hz, onde a resposta transitória se mostrou bem mais lenta que a do V/F, e (ii) repetir a mesma análise em um par de motores de porte semelhante, caso o objetivo seja subsidiar uma decisão real de substituição de equipamento.</w:t>
      </w:r>
    </w:p>
    <w:p w14:paraId="2C7A9840" w14:textId="77777777" w:rsidR="007E09E2" w:rsidRDefault="00000000">
      <w:r>
        <w:rPr>
          <w:rFonts w:ascii="Consolas" w:hAnsi="Consolas"/>
          <w:color w:val="5B6672"/>
          <w:sz w:val="22"/>
        </w:rPr>
        <w:t xml:space="preserve">07  </w:t>
      </w:r>
      <w:r>
        <w:rPr>
          <w:b/>
          <w:color w:val="0E5C68"/>
          <w:sz w:val="32"/>
        </w:rPr>
        <w:t>Nota metodológica</w:t>
      </w:r>
    </w:p>
    <w:p w14:paraId="762F874B" w14:textId="77777777" w:rsidR="007E09E2" w:rsidRDefault="00000000">
      <w:r>
        <w:t>Cada motor foi simulado nas mesmas condições elétricas e mecânicas sob cada forma de acionamento, com a carga nominal aplicada em degrau depois de a velocidade já estar estabilizada na referência. As quatro métricas de resposta ao degrau — tempo de acomodação, erro de regime permanente e sobressinal, além da verificação de convergência — foram calculadas sobre os sinais de torque e de velocidade simulados, após filtragem por média móvel para separar a dinâmica de controle da ondulação de chaveamento inerente ao inversor. Em nenhum momento um ganho de controlador foi lido, copiado ou sobreposto entre motores ou cenários: cada acionamento usa exclusivamente a sintonia calculada para o motor que está sendo simulado naquele momento.</w:t>
      </w:r>
    </w:p>
    <w:sectPr w:rsidR="007E0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692226">
    <w:abstractNumId w:val="8"/>
  </w:num>
  <w:num w:numId="2" w16cid:durableId="1836847153">
    <w:abstractNumId w:val="6"/>
  </w:num>
  <w:num w:numId="3" w16cid:durableId="2133086280">
    <w:abstractNumId w:val="5"/>
  </w:num>
  <w:num w:numId="4" w16cid:durableId="1845195872">
    <w:abstractNumId w:val="4"/>
  </w:num>
  <w:num w:numId="5" w16cid:durableId="1624267801">
    <w:abstractNumId w:val="7"/>
  </w:num>
  <w:num w:numId="6" w16cid:durableId="977761373">
    <w:abstractNumId w:val="3"/>
  </w:num>
  <w:num w:numId="7" w16cid:durableId="26957656">
    <w:abstractNumId w:val="2"/>
  </w:num>
  <w:num w:numId="8" w16cid:durableId="1373068271">
    <w:abstractNumId w:val="1"/>
  </w:num>
  <w:num w:numId="9" w16cid:durableId="31649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9DB"/>
    <w:rsid w:val="007E09E2"/>
    <w:rsid w:val="00AA1D8D"/>
    <w:rsid w:val="00B47730"/>
    <w:rsid w:val="00CB0664"/>
    <w:rsid w:val="00E50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CAC6E"/>
  <w14:defaultImageDpi w14:val="300"/>
  <w15:docId w15:val="{5E904318-ADFB-401E-9848-DB8A634B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color w:val="1A202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1193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G G L Zambolini Vicente</cp:lastModifiedBy>
  <cp:revision>2</cp:revision>
  <dcterms:created xsi:type="dcterms:W3CDTF">2013-12-23T23:15:00Z</dcterms:created>
  <dcterms:modified xsi:type="dcterms:W3CDTF">2026-09-24T18:07:00Z</dcterms:modified>
  <cp:category/>
</cp:coreProperties>
</file>