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Times New Roman" w:hAnsi="Times New Roman" w:eastAsia="黑体"/>
          <w:b/>
          <w:sz w:val="48"/>
        </w:rPr>
        <w:t>本科毕业论文</w:t>
      </w:r>
    </w:p>
    <w:p>
      <w:pPr>
        <w:spacing w:before="960" w:line="360" w:lineRule="auto"/>
        <w:jc w:val="center"/>
      </w:pPr>
      <w:r>
        <w:rPr>
          <w:rFonts w:ascii="Times New Roman" w:hAnsi="Times New Roman" w:eastAsia="黑体"/>
          <w:b/>
          <w:sz w:val="44"/>
        </w:rPr>
        <w:t>基于OpenGL的CAE软件数据预处理方法研究与实践</w:t>
      </w:r>
    </w:p>
    <w:p>
      <w:r>
        <w:br w:type="page"/>
      </w:r>
    </w:p>
    <w:p>
      <w:pPr>
        <w:pStyle w:val="1"/>
        <w:spacing w:line="360" w:lineRule="auto" w:before="240" w:after="120"/>
        <w:jc w:val="center"/>
      </w:pPr>
      <w:r>
        <w:rPr>
          <w:rFonts w:ascii="Times New Roman" w:hAnsi="Times New Roman" w:eastAsia="黑体"/>
          <w:b/>
          <w:sz w:val="32"/>
        </w:rPr>
        <w:t>摘  要</w:t>
      </w:r>
    </w:p>
    <w:p>
      <w:pPr>
        <w:spacing w:line="360" w:lineRule="auto" w:after="0"/>
        <w:ind w:firstLine="420"/>
      </w:pPr>
      <w:r>
        <w:rPr>
          <w:rFonts w:ascii="Times New Roman" w:hAnsi="Times New Roman" w:eastAsia="宋体"/>
          <w:sz w:val="24"/>
        </w:rPr>
        <w:t>计算机辅助工程（CAE）后处理阶段需要将求解器输出的网格模型、节点场、单元场和派生物理量转换为便于分析、对比和可视化呈现的数据表达。梯度计算、局部数值扰动抑制和结果导出是后处理数据准备中的基础环节，直接影响物理场变化趋势分析、局部异常识别和后续可视化观察。OpenGL 是跨平台图形接口，现代 OpenGL 提供的 Compute Shader 支持通用并行计算，适合将大量点或单元上的局部重复计算映射到 GPU 端执行。本文围绕 CAE 后处理阶段的数据预处理问题，设计并实现了一套基于 OpenGL 的原型系统。</w:t>
      </w:r>
    </w:p>
    <w:p>
      <w:pPr>
        <w:spacing w:line="360" w:lineRule="auto" w:after="0"/>
        <w:ind w:firstLine="420"/>
      </w:pPr>
      <w:r>
        <w:rPr>
          <w:rFonts w:ascii="Times New Roman" w:hAnsi="Times New Roman" w:eastAsia="宋体"/>
          <w:sz w:val="24"/>
        </w:rPr>
        <w:t>系统基于 C++17、VTK、Qt 和 OpenGL Compute Shader 开发。VTK 用于数据读写、工程参考基准和结果导出，Qt 用于基础图形界面，OpenGL 计算着色器用于执行核心预处理计算。系统首先将 VTK 数据转换为统一内部数据对象，保存点坐标、单元连接、单元类型、点数据、单元数据和邻域关系；随后根据网格类型和字段关联方式调度不同算法；最后将计算结果写回内部字段数组，并支持导出为 VTK 文件供 ParaView 等工具观察。</w:t>
      </w:r>
    </w:p>
    <w:p>
      <w:pPr>
        <w:spacing w:line="360" w:lineRule="auto" w:after="0"/>
        <w:ind w:firstLine="420"/>
      </w:pPr>
      <w:r>
        <w:rPr>
          <w:rFonts w:ascii="Times New Roman" w:hAnsi="Times New Roman" w:eastAsia="宋体"/>
          <w:sz w:val="24"/>
        </w:rPr>
        <w:t>本文主要完成以下工作：一是建立适合 GPU 计算的 CAE 后处理数据组织方式，将结构化网格、非结构化网格、点数据和单元数据整理为统一内部数据对象，并在写回和导出阶段保持字段关联语义；二是实现结构化网格有限差分和非结构化网格形函数导数两类梯度计算路径；三是实现面向局部随机高频扰动的图双边滤波和多尺度融合流程；四是建立包含解析场验证、VTK 一致性对比、时间性能对比和数据优化实验的验证体系。</w:t>
      </w:r>
    </w:p>
    <w:p>
      <w:pPr>
        <w:spacing w:line="360" w:lineRule="auto" w:after="0"/>
        <w:ind w:firstLine="420"/>
      </w:pPr>
      <w:r>
        <w:rPr>
          <w:rFonts w:ascii="Times New Roman" w:hAnsi="Times New Roman" w:eastAsia="宋体"/>
          <w:sz w:val="24"/>
        </w:rPr>
        <w:t xml:space="preserve">实验结果表明，在本文测试数据和实验环境下，点数据线性解析场梯度误差保持在 </w:t>
      </w:r>
      <w:r>
        <w:rPr>
          <w:rFonts w:ascii="Cambria Math" w:hAnsi="Cambria Math" w:eastAsia="Cambria Math"/>
          <w:sz w:val="22"/>
        </w:rPr>
        <w:t>10^-7</w:t>
      </w:r>
      <w:r>
        <w:rPr>
          <w:rFonts w:ascii="Times New Roman" w:hAnsi="Times New Roman" w:eastAsia="宋体"/>
          <w:sz w:val="24"/>
        </w:rPr>
        <w:t xml:space="preserve"> 量级；与 </w:t>
      </w:r>
      <w:r>
        <w:rPr>
          <w:rFonts w:ascii="Consolas" w:hAnsi="Consolas" w:eastAsia="Consolas"/>
          <w:sz w:val="24"/>
        </w:rPr>
        <w:t>vtkGradientFilter</w:t>
      </w:r>
      <w:r>
        <w:rPr>
          <w:rFonts w:ascii="Times New Roman" w:hAnsi="Times New Roman" w:eastAsia="宋体"/>
          <w:sz w:val="24"/>
        </w:rPr>
        <w:t xml:space="preserve"> 的一致性对比中，NMAE 保持在 </w:t>
      </w:r>
      <w:r>
        <w:rPr>
          <w:rFonts w:ascii="Cambria Math" w:hAnsi="Cambria Math" w:eastAsia="Cambria Math"/>
          <w:sz w:val="22"/>
        </w:rPr>
        <w:t>10^-8</w:t>
      </w:r>
      <w:r>
        <w:rPr>
          <w:rFonts w:ascii="Times New Roman" w:hAnsi="Times New Roman" w:eastAsia="宋体"/>
          <w:sz w:val="24"/>
        </w:rPr>
        <w:t xml:space="preserve"> 至 </w:t>
      </w:r>
      <w:r>
        <w:rPr>
          <w:rFonts w:ascii="Cambria Math" w:hAnsi="Cambria Math" w:eastAsia="Cambria Math"/>
          <w:sz w:val="22"/>
        </w:rPr>
        <w:t>10^-7</w:t>
      </w:r>
      <w:r>
        <w:rPr>
          <w:rFonts w:ascii="Times New Roman" w:hAnsi="Times New Roman" w:eastAsia="宋体"/>
          <w:sz w:val="24"/>
        </w:rPr>
        <w:t xml:space="preserve"> 量级；时间实验显示 OpenGL 实现相对本文构建的 VTK 参考流程具有较低端到端耗时。数据优化实验表明，在 </w:t>
      </w:r>
      <w:r>
        <w:rPr>
          <w:rFonts w:ascii="Consolas" w:hAnsi="Consolas" w:eastAsia="Consolas"/>
          <w:sz w:val="24"/>
        </w:rPr>
        <w:t>ShipHull_0</w:t>
      </w:r>
      <w:r>
        <w:rPr>
          <w:rFonts w:ascii="Times New Roman" w:hAnsi="Times New Roman" w:eastAsia="宋体"/>
          <w:sz w:val="24"/>
        </w:rPr>
        <w:t xml:space="preserve"> 数据集和当前参数设置下，图双边滤波与多尺度融合能够降低高斯随机扰动带来的字段误差。本文工作为 CAE 后处理数据准备与 GPU 并行计算提供了一个可运行、可导出、可验证的实现案例。</w:t>
      </w:r>
    </w:p>
    <w:p>
      <w:pPr>
        <w:spacing w:line="360" w:lineRule="auto" w:after="0"/>
        <w:ind w:firstLine="420"/>
      </w:pPr>
      <w:r>
        <w:rPr>
          <w:rFonts w:ascii="Times New Roman" w:hAnsi="Times New Roman" w:eastAsia="宋体"/>
          <w:b/>
          <w:sz w:val="24"/>
        </w:rPr>
        <w:t>关键词</w:t>
      </w:r>
      <w:r>
        <w:rPr>
          <w:rFonts w:ascii="Times New Roman" w:hAnsi="Times New Roman" w:eastAsia="宋体"/>
          <w:sz w:val="24"/>
        </w:rPr>
        <w:t>：CAE 后处理；OpenGL；Compute Shader；梯度计算；形函数导数；数据优化</w:t>
      </w:r>
    </w:p>
    <w:p>
      <w:r>
        <w:br w:type="page"/>
      </w:r>
    </w:p>
    <w:p>
      <w:pPr>
        <w:pStyle w:val="1"/>
        <w:spacing w:line="360" w:lineRule="auto" w:before="240" w:after="120"/>
        <w:jc w:val="center"/>
      </w:pPr>
      <w:r>
        <w:rPr>
          <w:rFonts w:ascii="Times New Roman" w:hAnsi="Times New Roman" w:eastAsia="黑体"/>
          <w:b/>
          <w:sz w:val="32"/>
        </w:rPr>
        <w:t>Abstract</w:t>
      </w:r>
    </w:p>
    <w:p>
      <w:pPr>
        <w:spacing w:line="360" w:lineRule="auto" w:after="0"/>
        <w:ind w:firstLine="420"/>
      </w:pPr>
      <w:r>
        <w:rPr>
          <w:rFonts w:ascii="Times New Roman" w:hAnsi="Times New Roman" w:eastAsia="宋体"/>
          <w:sz w:val="24"/>
        </w:rPr>
        <w:t>In computer-aided engineering (CAE) post-processing, solver outputs, including meshes, nodal fields, cell fields and derived physical quantities, need to be converted into data representations suitable for analysis, comparison and visualization. This thesis studies data preprocessing tasks in the post-processing workflow, including gradient computation, suppression of local numerical disturbances and result export. An OpenGL-based prototype system is designed and implemented using C++17, VTK, Qt and OpenGL compute shaders.</w:t>
      </w:r>
    </w:p>
    <w:p>
      <w:pPr>
        <w:spacing w:line="360" w:lineRule="auto" w:after="0"/>
        <w:ind w:firstLine="420"/>
      </w:pPr>
      <w:r>
        <w:rPr>
          <w:rFonts w:ascii="Times New Roman" w:hAnsi="Times New Roman" w:eastAsia="宋体"/>
          <w:sz w:val="24"/>
        </w:rPr>
        <w:t>The system converts VTK datasets into a unified internal data object that stores point coordinates, cell connectivity, cell types, point data, cell data and neighborhood relations. Different algorithm paths are then dispatched according to mesh type and field association type. Finite-difference gradient computation is implemented for regular grids, gradient computation based on shape function derivatives is implemented for unstructured grids, and graph bilateral filtering with multi-scale fusion is implemented for local random high-frequency field disturbances. The computed results are written back as new fields and can be exported as VTK files for observation in ParaView.</w:t>
      </w:r>
    </w:p>
    <w:p>
      <w:pPr>
        <w:spacing w:line="360" w:lineRule="auto" w:after="0"/>
        <w:ind w:firstLine="420"/>
      </w:pPr>
      <w:r>
        <w:rPr>
          <w:rFonts w:ascii="Times New Roman" w:hAnsi="Times New Roman" w:eastAsia="宋体"/>
          <w:sz w:val="24"/>
        </w:rPr>
        <w:t xml:space="preserve">Experimental results show that, on the selected datasets and in the runtime environment used in this thesis, point-data analytical linear-field tests keep gradient errors around </w:t>
      </w:r>
      <w:r>
        <w:rPr>
          <w:rFonts w:ascii="Cambria Math" w:hAnsi="Cambria Math" w:eastAsia="Cambria Math"/>
          <w:sz w:val="22"/>
        </w:rPr>
        <w:t>10^-7</w:t>
      </w:r>
      <w:r>
        <w:rPr>
          <w:rFonts w:ascii="Times New Roman" w:hAnsi="Times New Roman" w:eastAsia="宋体"/>
          <w:sz w:val="24"/>
        </w:rPr>
        <w:t xml:space="preserve">, and consistency comparisons with </w:t>
      </w:r>
      <w:r>
        <w:rPr>
          <w:rFonts w:ascii="Consolas" w:hAnsi="Consolas" w:eastAsia="Consolas"/>
          <w:sz w:val="24"/>
        </w:rPr>
        <w:t>vtkGradientFilter</w:t>
      </w:r>
      <w:r>
        <w:rPr>
          <w:rFonts w:ascii="Times New Roman" w:hAnsi="Times New Roman" w:eastAsia="宋体"/>
          <w:sz w:val="24"/>
        </w:rPr>
        <w:t xml:space="preserve"> keep NMAE values around </w:t>
      </w:r>
      <w:r>
        <w:rPr>
          <w:rFonts w:ascii="Cambria Math" w:hAnsi="Cambria Math" w:eastAsia="Cambria Math"/>
          <w:sz w:val="22"/>
        </w:rPr>
        <w:t>10^-8</w:t>
      </w:r>
      <w:r>
        <w:rPr>
          <w:rFonts w:ascii="Times New Roman" w:hAnsi="Times New Roman" w:eastAsia="宋体"/>
          <w:sz w:val="24"/>
        </w:rPr>
        <w:t xml:space="preserve"> to </w:t>
      </w:r>
      <w:r>
        <w:rPr>
          <w:rFonts w:ascii="Cambria Math" w:hAnsi="Cambria Math" w:eastAsia="Cambria Math"/>
          <w:sz w:val="22"/>
        </w:rPr>
        <w:t>10^-7</w:t>
      </w:r>
      <w:r>
        <w:rPr>
          <w:rFonts w:ascii="Times New Roman" w:hAnsi="Times New Roman" w:eastAsia="宋体"/>
          <w:sz w:val="24"/>
        </w:rPr>
        <w:t xml:space="preserve">. Timing experiments show that the OpenGL implementation has a lower end-to-end runtime than the VTK reference workflow constructed in this thesis. The data optimization experiment on </w:t>
      </w:r>
      <w:r>
        <w:rPr>
          <w:rFonts w:ascii="Consolas" w:hAnsi="Consolas" w:eastAsia="Consolas"/>
          <w:sz w:val="24"/>
        </w:rPr>
        <w:t>ShipHull_0</w:t>
      </w:r>
      <w:r>
        <w:rPr>
          <w:rFonts w:ascii="Times New Roman" w:hAnsi="Times New Roman" w:eastAsia="宋体"/>
          <w:sz w:val="24"/>
        </w:rPr>
        <w:t xml:space="preserve"> shows that the proposed filtering and fusion process reduces the field error caused by Gaussian random disturbances under the current parameter setting. This work provides a runnable, exportable and verifiable implementation case for CAE post-processing data preparation and GPU parallel computation.</w:t>
      </w:r>
    </w:p>
    <w:p>
      <w:pPr>
        <w:spacing w:line="360" w:lineRule="auto" w:after="0"/>
        <w:ind w:firstLine="420"/>
      </w:pPr>
      <w:r>
        <w:rPr>
          <w:rFonts w:ascii="Times New Roman" w:hAnsi="Times New Roman" w:eastAsia="宋体"/>
          <w:b/>
          <w:sz w:val="24"/>
        </w:rPr>
        <w:t>Keywords</w:t>
      </w:r>
      <w:r>
        <w:rPr>
          <w:rFonts w:ascii="Times New Roman" w:hAnsi="Times New Roman" w:eastAsia="宋体"/>
          <w:sz w:val="24"/>
        </w:rPr>
        <w:t>: CAE post-processing; OpenGL; Compute Shader; gradient computation; shape function derivative; data optimization</w:t>
      </w:r>
    </w:p>
    <w:p>
      <w:r>
        <w:br w:type="page"/>
      </w:r>
    </w:p>
    <w:p>
      <w:pPr>
        <w:spacing w:line="360" w:lineRule="auto" w:before="240" w:after="240"/>
        <w:jc w:val="center"/>
      </w:pPr>
      <w:r>
        <w:rPr>
          <w:rFonts w:ascii="Times New Roman" w:hAnsi="Times New Roman" w:eastAsia="黑体"/>
          <w:b/>
          <w:sz w:val="32"/>
        </w:rPr>
        <w:t>目  录</w:t>
      </w:r>
    </w:p>
    <w:p>
      <w:pPr>
        <w:jc w:val="left"/>
      </w:pPr>
      <w:r>
        <w:rPr>
          <w:rFonts w:ascii="Times New Roman" w:hAnsi="Times New Roman" w:eastAsia="宋体"/>
          <w:sz w:val="24"/>
        </w:rPr>
        <w:fldChar w:fldCharType="begin"/>
        <w:instrText xml:space="preserve">TOC \o "1-3" \h \z \u</w:instrText>
        <w:fldChar w:fldCharType="separate"/>
        <w:t>打开 Word 后右键更新域可生成目录页码。</w:t>
        <w:fldChar w:fldCharType="end"/>
      </w:r>
    </w:p>
    <w:p>
      <w:r>
        <w:br w:type="page"/>
      </w:r>
    </w:p>
    <w:p>
      <w:pPr>
        <w:pStyle w:val="1"/>
        <w:spacing w:line="360" w:lineRule="auto" w:before="240" w:after="120"/>
        <w:jc w:val="center"/>
      </w:pPr>
      <w:r>
        <w:rPr>
          <w:rFonts w:ascii="Times New Roman" w:hAnsi="Times New Roman" w:eastAsia="黑体"/>
          <w:b/>
          <w:sz w:val="32"/>
        </w:rPr>
        <w:t>第一章 绪论</w:t>
      </w:r>
    </w:p>
    <w:p>
      <w:pPr>
        <w:pStyle w:val="2"/>
        <w:spacing w:line="360" w:lineRule="auto" w:before="120" w:after="120"/>
        <w:jc w:val="left"/>
      </w:pPr>
      <w:r>
        <w:rPr>
          <w:rFonts w:ascii="Times New Roman" w:hAnsi="Times New Roman" w:eastAsia="黑体"/>
          <w:b/>
          <w:sz w:val="28"/>
        </w:rPr>
        <w:t>1.1 研究背景与意义</w:t>
      </w:r>
    </w:p>
    <w:p>
      <w:pPr>
        <w:spacing w:line="360" w:lineRule="auto" w:after="0"/>
        <w:ind w:firstLine="420"/>
      </w:pPr>
      <w:r>
        <w:rPr>
          <w:rFonts w:ascii="Times New Roman" w:hAnsi="Times New Roman" w:eastAsia="宋体"/>
          <w:sz w:val="24"/>
        </w:rPr>
        <w:t>计算机辅助工程（Computer Aided Engineering，CAE）是利用有限元、有限体积、边界元等数值方法对工程对象进行建模、求解与分析的重要技术手段。国内关于航空结构分析 CAE 软件、结构损伤与断裂力学分析 CAE 软件的发展研究表明，CAE 软件的功能已从单一求解逐步扩展到工程建模、结果分析、后处理观察和设计协同等环节[1][2]。从工程应用看，CAE 的价值在于将复杂物理问题转化为可计算、可验证、可比较的数据结果，从而支撑设计迭代、性能评估和结构优化。</w:t>
      </w:r>
    </w:p>
    <w:p>
      <w:pPr>
        <w:spacing w:line="360" w:lineRule="auto" w:after="0"/>
        <w:ind w:firstLine="420"/>
      </w:pPr>
      <w:r>
        <w:rPr>
          <w:rFonts w:ascii="Times New Roman" w:hAnsi="Times New Roman" w:eastAsia="宋体"/>
          <w:sz w:val="24"/>
        </w:rPr>
        <w:t>CAE 后处理是连接求解结果和工程判断的关键环节。求解器输出的数据通常由网格几何、单元拓扑、节点场、单元场以及派生物理量组成。工程人员需要在后处理阶段进一步完成结果筛选、场量解释和可视化观察，才能判断结构薄弱区域、物理场变化趋势和局部异常现象。因此，CAE 后处理的作用不仅是显示结果，还包括将离散的原始结果整理为可分析、可比较的数据表达。</w:t>
      </w:r>
    </w:p>
    <w:p>
      <w:pPr>
        <w:spacing w:line="360" w:lineRule="auto" w:after="0"/>
        <w:ind w:firstLine="420"/>
      </w:pPr>
      <w:r>
        <w:rPr>
          <w:rFonts w:ascii="Times New Roman" w:hAnsi="Times New Roman" w:eastAsia="宋体"/>
          <w:sz w:val="24"/>
        </w:rPr>
        <w:t>在 CAE 后处理阶段，数据预处理承担着从原始求解结果到可分析结果之间的转换作用。需要说明的是，本文所称“数据预处理”并非 CAE 求解前的几何建模、网格划分和边界条件设置，而是指后处理阶段中，为后续可视化观察和工程分析服务的字段派生计算、局部扰动抑制和结果导出准备过程。求解器输出的数据通常首先需要经过字段提取、网格拓扑整理和派生量计算，才能进入后续观察与对比流程。本文关注的梯度计算、数据优化和结果导出都属于这一阶段：梯度计算用于刻画物理场在空间中的变化方向和变化强度，可为局部特征识别、异常区域定位、派生量分析和可视分析提供依据；本文中的数据优化主要指对后处理字段数据进行平滑处理和局部扰动抑制，目标是在保留主要结构趋势的同时改善字段连续性和可读性；结果导出则保证新增字段能够继续被 ParaView 等工具读取和观察。上述任务都需要在大量点和单元上重复执行，因此计算效率也是数据预处理系统必须考虑的问题。</w:t>
      </w:r>
    </w:p>
    <w:p>
      <w:pPr>
        <w:spacing w:line="360" w:lineRule="auto" w:after="0"/>
        <w:ind w:firstLine="420"/>
      </w:pPr>
      <w:r>
        <w:rPr>
          <w:rFonts w:ascii="Times New Roman" w:hAnsi="Times New Roman" w:eastAsia="宋体"/>
          <w:sz w:val="24"/>
        </w:rPr>
        <w:t>OpenGL 是跨平台图形接口，其最初主要用于二维和三维图形渲染。随着可编程管线发展，OpenGL 中的 Compute Shader 能够在图形管线之外执行通用并行计算任务。与传统 CPU 顺序流程相比，Compute Shader 可以把相同类型的局部计算分配给大量 GPU 线程执行，适合处理梯度计算和邻域滤波这类具有数据并行特征的任务。同时，OpenGL 与图形显示生态联系紧密，便于与 VTK、Qt 和可视化观察流程结合。因此，本文选择基于 OpenGL Compute Shader 实现 CAE 数据预处理中的核心计算。</w:t>
      </w:r>
    </w:p>
    <w:p>
      <w:pPr>
        <w:spacing w:line="360" w:lineRule="auto" w:after="0"/>
        <w:ind w:firstLine="420"/>
      </w:pPr>
      <w:r>
        <w:rPr>
          <w:rFonts w:ascii="Times New Roman" w:hAnsi="Times New Roman" w:eastAsia="宋体"/>
          <w:sz w:val="24"/>
        </w:rPr>
        <w:t>基于上述背景，本文围绕 CAE 后处理阶段的数据预处理问题展开研究，重点关注梯度计算、数据优化和计算效率三个方面，并设计实现一套可运行、可验证的工程方案。该方案面向原始仿真结果与后续工程分析之间的数据预处理环节，用于支撑后续结果观察和实验对照。</w:t>
      </w:r>
    </w:p>
    <w:p>
      <w:pPr>
        <w:pStyle w:val="2"/>
        <w:spacing w:line="360" w:lineRule="auto" w:before="120" w:after="120"/>
        <w:jc w:val="left"/>
      </w:pPr>
      <w:r>
        <w:rPr>
          <w:rFonts w:ascii="Times New Roman" w:hAnsi="Times New Roman" w:eastAsia="黑体"/>
          <w:b/>
          <w:sz w:val="28"/>
        </w:rPr>
        <w:t>1.2 国内外研究现状</w:t>
      </w:r>
    </w:p>
    <w:p>
      <w:pPr>
        <w:spacing w:line="360" w:lineRule="auto" w:after="0"/>
        <w:ind w:firstLine="420"/>
      </w:pPr>
      <w:r>
        <w:rPr>
          <w:rFonts w:ascii="Times New Roman" w:hAnsi="Times New Roman" w:eastAsia="宋体"/>
          <w:sz w:val="24"/>
        </w:rPr>
        <w:t>CAE 后处理与科学可视化已经形成较成熟的工具链。VTK 提供数据结构、数据读写、过滤器和渲染支持，ParaView 则基于 VTK 提供交互式可视分析环境[3][4]。面向高性能工业仿真的交互可视分析研究也说明，工程仿真后处理需要兼顾数据组织、交互观察和并行计算效率[5]。这些工具和研究为本文的数据输入、结果导出和工程对照提供基础，但本文并不以封装现有过滤器为目标，而是围绕 CAE 数据预处理中的梯度计算、数据优化和 GPU 并行执行过程展开实现。</w:t>
      </w:r>
    </w:p>
    <w:p>
      <w:pPr>
        <w:spacing w:line="360" w:lineRule="auto" w:after="0"/>
        <w:ind w:firstLine="420"/>
      </w:pPr>
      <w:r>
        <w:rPr>
          <w:rFonts w:ascii="Times New Roman" w:hAnsi="Times New Roman" w:eastAsia="宋体"/>
          <w:sz w:val="24"/>
        </w:rPr>
        <w:t>在并行计算方面，GPGPU 研究较早系统总结了图形硬件用于通用计算的可行性和发展趋势[6]。随着多核 CPU、GPU 和异构平台的发展，科学可视化框架也逐渐面向大规模线程架构演进[7]。OpenGL Compute Shader 能够在图形 API 内部完成通用计算任务，并且可以与已有 OpenGL 环境共享数据组织方式[8][9]。因此，将 OpenGL 用于 CAE 数据预处理中的梯度计算和滤波处理具有相应的技术基础。</w:t>
      </w:r>
    </w:p>
    <w:p>
      <w:pPr>
        <w:spacing w:line="360" w:lineRule="auto" w:after="0"/>
        <w:ind w:firstLine="420"/>
      </w:pPr>
      <w:r>
        <w:rPr>
          <w:rFonts w:ascii="Times New Roman" w:hAnsi="Times New Roman" w:eastAsia="宋体"/>
          <w:sz w:val="24"/>
        </w:rPr>
        <w:t>在梯度计算方面，结构化网格和非结构化网格通常需要不同的数值路径。结构化网格具有清晰的逻辑索引，可在逻辑坐标或参数坐标中使用有限差分，并通过坐标映射和 Jacobian 关系恢复物理空间梯度[10][11]。非结构化网格则依赖单元拓扑和单元形函数，常从有限元形函数导数和局部几何映射角度恢复梯度[12][13]。Zienkiewicz 和 Zhu 提出的超收敛片恢复思想也表明，梯度恢复和误差估计在有限元后处理中具有重要地位[13]。因此，梯度计算方法应与网格结构和字段关联方式相匹配，这些理论也为本文区分结构化网格有限差分路径和非结构化网格形函数导数路径提供了依据。</w:t>
      </w:r>
    </w:p>
    <w:p>
      <w:pPr>
        <w:spacing w:line="360" w:lineRule="auto" w:after="0"/>
        <w:ind w:firstLine="420"/>
      </w:pPr>
      <w:r>
        <w:rPr>
          <w:rFonts w:ascii="Times New Roman" w:hAnsi="Times New Roman" w:eastAsia="宋体"/>
          <w:sz w:val="24"/>
        </w:rPr>
        <w:t>在数据优化方面，Tomasi 和 Manduchi 提出的双边滤波方法通过空间权重和值域权重共同控制平滑过程，能够在降低局部扰动的同时保留边缘[14]。Fleishman 等将类似思想用于网格去噪，表明保边滤波思想可以从图像扩展到网格数据[15]。国内关于点云双边滤波、鲁棒点云去噪和树木点云模型去噪的研究，也表明基于局部邻域和数值相似性的去噪思想在离散几何数据处理中具有应用基础[16][17][18]。这类研究与 CAE 后处理中的数据优化问题具有方法上的相通性，但本文处理对象是附着在 CAE 网格上的物理字段数据，区别于普通图像或点云坐标。</w:t>
      </w:r>
    </w:p>
    <w:p>
      <w:pPr>
        <w:spacing w:line="360" w:lineRule="auto" w:after="0"/>
        <w:ind w:firstLine="420"/>
      </w:pPr>
      <w:r>
        <w:rPr>
          <w:rFonts w:ascii="Times New Roman" w:hAnsi="Times New Roman" w:eastAsia="宋体"/>
          <w:sz w:val="24"/>
        </w:rPr>
        <w:t>综上，现有研究和工具已经为 CAE 后处理、科学可视化、GPU 并行计算、网格梯度恢复和保边滤波提供了较充分的基础。但面向本文的工程实现目标，仍需要进一步解决三个问题：一是点数据和单元数据在字段语义、结果分量数和写回位置上的一致性保持；二是结构化网格与非结构化网格在邻域访问、梯度恢复和曲面评价上的差异化组织；三是在桌面 OpenGL 环境下将局部重复计算映射到 GPU 端，并建立可复现的解析真值、工程参考和时间性能验证流程。本文在这些基础上，将研究对象收敛到 CAE 后处理数据预处理环节，重点解决结构化网格与非结构化网格梯度计算、局部字段扰动抑制以及结果可导出验证三个问题。</w:t>
      </w:r>
    </w:p>
    <w:p>
      <w:pPr>
        <w:pStyle w:val="2"/>
        <w:spacing w:line="360" w:lineRule="auto" w:before="120" w:after="120"/>
        <w:jc w:val="left"/>
      </w:pPr>
      <w:r>
        <w:rPr>
          <w:rFonts w:ascii="Times New Roman" w:hAnsi="Times New Roman" w:eastAsia="黑体"/>
          <w:b/>
          <w:sz w:val="28"/>
        </w:rPr>
        <w:t>1.3 本课题研究目标、研究内容与主要工作</w:t>
      </w:r>
    </w:p>
    <w:p>
      <w:pPr>
        <w:spacing w:line="360" w:lineRule="auto" w:after="0"/>
        <w:ind w:firstLine="420"/>
      </w:pPr>
      <w:r>
        <w:rPr>
          <w:rFonts w:ascii="Times New Roman" w:hAnsi="Times New Roman" w:eastAsia="宋体"/>
          <w:sz w:val="24"/>
        </w:rPr>
        <w:t>本文以 CAE 后处理阶段的数据预处理为研究对象，围绕网格场梯度计算、数据优化和并行计算效率三个问题，开展基于 OpenGL 的方法实现与实验验证。研究目标是针对数据预处理环节形成一套边界清晰、功能可运行、结果可验证的实现方案。</w:t>
      </w:r>
    </w:p>
    <w:p>
      <w:pPr>
        <w:spacing w:line="360" w:lineRule="auto" w:after="0"/>
        <w:ind w:firstLine="420"/>
      </w:pPr>
      <w:r>
        <w:rPr>
          <w:rFonts w:ascii="Times New Roman" w:hAnsi="Times New Roman" w:eastAsia="宋体"/>
          <w:sz w:val="24"/>
        </w:rPr>
        <w:t>本文主要研究内容包括以下几个方面。</w:t>
      </w:r>
    </w:p>
    <w:p>
      <w:pPr>
        <w:spacing w:line="360" w:lineRule="auto" w:after="0"/>
        <w:ind w:firstLine="420"/>
      </w:pPr>
      <w:r>
        <w:rPr>
          <w:rFonts w:ascii="Times New Roman" w:hAnsi="Times New Roman" w:eastAsia="宋体"/>
          <w:sz w:val="24"/>
        </w:rPr>
        <w:t>第一，研究 CAE 后处理数据的统一组织方式。针对结构化网格、非结构化网格、点数据和单元数据等不同数据形式，建立适合算法处理的数据表达基础。</w:t>
      </w:r>
    </w:p>
    <w:p>
      <w:pPr>
        <w:spacing w:line="360" w:lineRule="auto" w:after="0"/>
        <w:ind w:firstLine="420"/>
      </w:pPr>
      <w:r>
        <w:rPr>
          <w:rFonts w:ascii="Times New Roman" w:hAnsi="Times New Roman" w:eastAsia="宋体"/>
          <w:sz w:val="24"/>
        </w:rPr>
        <w:t>第二，研究网格场梯度计算方法。根据结构化网格和非结构化网格的结构差异，分别采用相应的梯度计算思路，并考虑点数据和单元数据在物理含义和计算方式上的差别。</w:t>
      </w:r>
    </w:p>
    <w:p>
      <w:pPr>
        <w:spacing w:line="360" w:lineRule="auto" w:after="0"/>
        <w:ind w:firstLine="420"/>
      </w:pPr>
      <w:r>
        <w:rPr>
          <w:rFonts w:ascii="Times New Roman" w:hAnsi="Times New Roman" w:eastAsia="宋体"/>
          <w:sz w:val="24"/>
        </w:rPr>
        <w:t>第三，研究数据优化方法。针对后处理结果中可能出现的局部随机高频波动，采用保边平滑思想改善字段连续性和可读性，并分析该方法的适用范围。</w:t>
      </w:r>
    </w:p>
    <w:p>
      <w:pPr>
        <w:spacing w:line="360" w:lineRule="auto" w:after="0"/>
        <w:ind w:firstLine="420"/>
      </w:pPr>
      <w:r>
        <w:rPr>
          <w:rFonts w:ascii="Times New Roman" w:hAnsi="Times New Roman" w:eastAsia="宋体"/>
          <w:sz w:val="24"/>
        </w:rPr>
        <w:t>第四，研究 OpenGL 并行实现方式。将梯度计算和数据优化任务映射到 GPU 侧执行，分析其在不同数据规模下的运行效率。</w:t>
      </w:r>
    </w:p>
    <w:p>
      <w:pPr>
        <w:spacing w:line="360" w:lineRule="auto" w:after="0"/>
        <w:ind w:firstLine="420"/>
      </w:pPr>
      <w:r>
        <w:rPr>
          <w:rFonts w:ascii="Times New Roman" w:hAnsi="Times New Roman" w:eastAsia="宋体"/>
          <w:sz w:val="24"/>
        </w:rPr>
        <w:t>第五，建立实验验证体系。通过解析场验证、VTK 参考对比、时间性能测试和数据优化实验，对本文方法的正确性、一致性、效率和适用边界进行分析。</w:t>
      </w:r>
    </w:p>
    <w:p>
      <w:pPr>
        <w:spacing w:line="360" w:lineRule="auto" w:after="0"/>
        <w:ind w:firstLine="420"/>
      </w:pPr>
      <w:r>
        <w:rPr>
          <w:rFonts w:ascii="Times New Roman" w:hAnsi="Times New Roman" w:eastAsia="宋体"/>
          <w:sz w:val="24"/>
        </w:rPr>
        <w:t>本文主要工作如下：第一，构建结构化网格、非结构化网格、点数据和单元数据统一的数据组织方式，使结果写回和 VTK 导出过程能够保持字段关联语义；第二，实现基于 OpenGL Compute Shader 的结构化网格有限差分梯度计算、非结构化网格形函数导数梯度计算和数据优化模块；第三，建立由解析真值验证、VTK 工程参考对比、时间性能测试和高斯扰动抑制实验组成的验证体系，分别分析正确性、一致性、效率和适用边界。后续章节将分别说明系统结构、算法设计和实验分析。</w:t>
      </w:r>
    </w:p>
    <w:p>
      <w:pPr>
        <w:pStyle w:val="2"/>
        <w:spacing w:line="360" w:lineRule="auto" w:before="120" w:after="120"/>
        <w:jc w:val="left"/>
      </w:pPr>
      <w:r>
        <w:rPr>
          <w:rFonts w:ascii="Times New Roman" w:hAnsi="Times New Roman" w:eastAsia="黑体"/>
          <w:b/>
          <w:sz w:val="28"/>
        </w:rPr>
        <w:t>1.4 论文组织结构</w:t>
      </w:r>
    </w:p>
    <w:p>
      <w:pPr>
        <w:spacing w:line="360" w:lineRule="auto" w:after="0"/>
        <w:ind w:firstLine="420"/>
      </w:pPr>
      <w:r>
        <w:rPr>
          <w:rFonts w:ascii="Times New Roman" w:hAnsi="Times New Roman" w:eastAsia="宋体"/>
          <w:sz w:val="24"/>
        </w:rPr>
        <w:t>本文共分为六章。</w:t>
      </w:r>
    </w:p>
    <w:p>
      <w:pPr>
        <w:spacing w:line="360" w:lineRule="auto" w:after="0"/>
        <w:ind w:firstLine="420"/>
      </w:pPr>
      <w:r>
        <w:rPr>
          <w:rFonts w:ascii="Times New Roman" w:hAnsi="Times New Roman" w:eastAsia="宋体"/>
          <w:sz w:val="24"/>
        </w:rPr>
        <w:t>第一章为绪论，介绍 CAE 后处理数据预处理的研究背景和研究意义，分析 CAE 后处理、GPU 并行计算、网格梯度恢复和保边滤波等方向的研究基础，说明本文的研究目标、研究内容、主要工作和论文组织结构。</w:t>
      </w:r>
    </w:p>
    <w:p>
      <w:pPr>
        <w:spacing w:line="360" w:lineRule="auto" w:after="0"/>
        <w:ind w:firstLine="420"/>
      </w:pPr>
      <w:r>
        <w:rPr>
          <w:rFonts w:ascii="Times New Roman" w:hAnsi="Times New Roman" w:eastAsia="宋体"/>
          <w:sz w:val="24"/>
        </w:rPr>
        <w:t>第二章为相关技术与理论基础，介绍 CAE 后处理数据模型、VTK/ParaView/Qt 相关技术、OpenGL Compute Shader 并行计算模型、结构化网格有限差分理论、非结构化网格形函数导数理论以及数据优化相关理论，为后续系统设计和算法实现提供基础。</w:t>
      </w:r>
    </w:p>
    <w:p>
      <w:pPr>
        <w:spacing w:line="360" w:lineRule="auto" w:after="0"/>
        <w:ind w:firstLine="420"/>
      </w:pPr>
      <w:r>
        <w:rPr>
          <w:rFonts w:ascii="Times New Roman" w:hAnsi="Times New Roman" w:eastAsia="宋体"/>
          <w:sz w:val="24"/>
        </w:rPr>
        <w:t>第三章为需求分析与系统设计，说明系统功能需求、非功能需求、系统功能结构、总体结构、模块划分、系统功能流程、界面设计和内部数据结构设计，明确系统各部分之间的关系。</w:t>
      </w:r>
    </w:p>
    <w:p>
      <w:pPr>
        <w:spacing w:line="360" w:lineRule="auto" w:after="0"/>
        <w:ind w:firstLine="420"/>
      </w:pPr>
      <w:r>
        <w:rPr>
          <w:rFonts w:ascii="Times New Roman" w:hAnsi="Times New Roman" w:eastAsia="宋体"/>
          <w:sz w:val="24"/>
        </w:rPr>
        <w:t>第四章为核心算法设计与实现，详细说明结构化网格有限差分梯度、非结构化网格形函数导数梯度、点数据与单元数据处理路径、图双边滤波、多尺度融合以及 OpenGL 计算组织与结果写回方式。</w:t>
      </w:r>
    </w:p>
    <w:p>
      <w:pPr>
        <w:spacing w:line="360" w:lineRule="auto" w:after="0"/>
        <w:ind w:firstLine="420"/>
      </w:pPr>
      <w:r>
        <w:rPr>
          <w:rFonts w:ascii="Times New Roman" w:hAnsi="Times New Roman" w:eastAsia="宋体"/>
          <w:sz w:val="24"/>
        </w:rPr>
        <w:t>第五章为实验设计与结果分析，说明实验目标、实验环境、数据集和评价指标，并结合表格和文字分析解析场验证、VTK 一致性对比、时间性能对比和数据优化实验结果。</w:t>
      </w:r>
    </w:p>
    <w:p>
      <w:pPr>
        <w:spacing w:line="360" w:lineRule="auto" w:after="0"/>
        <w:ind w:firstLine="420"/>
      </w:pPr>
      <w:r>
        <w:rPr>
          <w:rFonts w:ascii="Times New Roman" w:hAnsi="Times New Roman" w:eastAsia="宋体"/>
          <w:sz w:val="24"/>
        </w:rPr>
        <w:t>第六章为结论与展望，总结本文完成的工作和主要结论，分析当前系统在单元类型、单元数据梯度恢复、数据优化适用范围、界面功能和实验平台方面的不足，并提出后续改进方向。</w:t>
      </w:r>
    </w:p>
    <w:p>
      <w:r>
        <w:br w:type="page"/>
      </w:r>
    </w:p>
    <w:p>
      <w:pPr>
        <w:pStyle w:val="1"/>
        <w:spacing w:line="360" w:lineRule="auto" w:before="240" w:after="120"/>
        <w:jc w:val="center"/>
      </w:pPr>
      <w:r>
        <w:rPr>
          <w:rFonts w:ascii="Times New Roman" w:hAnsi="Times New Roman" w:eastAsia="黑体"/>
          <w:b/>
          <w:sz w:val="32"/>
        </w:rPr>
        <w:t>第二章 相关技术与理论基础</w:t>
      </w:r>
    </w:p>
    <w:p>
      <w:pPr>
        <w:pStyle w:val="2"/>
        <w:spacing w:line="360" w:lineRule="auto" w:before="120" w:after="120"/>
        <w:jc w:val="left"/>
      </w:pPr>
      <w:r>
        <w:rPr>
          <w:rFonts w:ascii="Times New Roman" w:hAnsi="Times New Roman" w:eastAsia="黑体"/>
          <w:b/>
          <w:sz w:val="28"/>
        </w:rPr>
        <w:t>2.1 CAE 后处理数据模型</w:t>
      </w:r>
    </w:p>
    <w:p>
      <w:pPr>
        <w:spacing w:line="360" w:lineRule="auto" w:after="0"/>
        <w:ind w:firstLine="420"/>
      </w:pPr>
      <w:r>
        <w:rPr>
          <w:rFonts w:ascii="Times New Roman" w:hAnsi="Times New Roman" w:eastAsia="宋体"/>
          <w:sz w:val="24"/>
        </w:rPr>
        <w:t>CAE 后处理数据通常由网格和字段两部分组成。网格描述工程对象的空间离散结构，字段描述物理量在离散对象上的分布。在有限元和工程仿真结果中，网格一般由节点坐标和单元连接关系构成，字段则定义在节点或单元上，用于表示位移、温度、压力、应力等物理量。为了使后续算法说明更清晰，本节从点与单元、拓扑组织方式、点数据与单元数据三个方面说明本文使用的数据模型。</w:t>
      </w:r>
    </w:p>
    <w:p>
      <w:pPr>
        <w:spacing w:line="360" w:lineRule="auto" w:after="0"/>
        <w:ind w:firstLine="420"/>
      </w:pPr>
      <w:r>
        <w:rPr>
          <w:rFonts w:ascii="Times New Roman" w:hAnsi="Times New Roman" w:eastAsia="宋体"/>
          <w:sz w:val="24"/>
        </w:rPr>
        <w:t>点与单元是 CAE 网格的基本组成。点保存空间坐标，单元保存由若干点组成的局部离散区域。设网格点集合为</w:t>
      </w:r>
    </w:p>
    <w:p>
      <w:pPr>
        <w:spacing w:line="240" w:lineRule="auto" w:before="80" w:after="80"/>
        <w:ind w:firstLine="0"/>
        <w:jc w:val="center"/>
      </w:pPr>
      <w:r>
        <w:rPr>
          <w:rFonts w:ascii="Cambria Math" w:hAnsi="Cambria Math" w:eastAsia="Cambria Math"/>
          <w:sz w:val="22"/>
        </w:rPr>
        <w:t>P=\p_i | i=1,2,...,n_p\</w:t>
      </w:r>
    </w:p>
    <w:p>
      <w:pPr>
        <w:spacing w:line="360" w:lineRule="auto" w:after="0"/>
        <w:ind w:firstLine="420"/>
      </w:pPr>
      <w:r>
        <w:rPr>
          <w:rFonts w:ascii="Times New Roman" w:hAnsi="Times New Roman" w:eastAsia="宋体"/>
          <w:sz w:val="24"/>
        </w:rPr>
        <w:t>单元集合为</w:t>
      </w:r>
    </w:p>
    <w:p>
      <w:pPr>
        <w:spacing w:line="240" w:lineRule="auto" w:before="80" w:after="80"/>
        <w:ind w:firstLine="0"/>
        <w:jc w:val="center"/>
      </w:pPr>
      <w:r>
        <w:rPr>
          <w:rFonts w:ascii="Cambria Math" w:hAnsi="Cambria Math" w:eastAsia="Cambria Math"/>
          <w:sz w:val="22"/>
        </w:rPr>
        <w:t>C=\c_e | e=1,2,...,n_c\</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p_i=(x_i,y_i,z_i)</w:t>
      </w:r>
      <w:r>
        <w:rPr>
          <w:rFonts w:ascii="Times New Roman" w:hAnsi="Times New Roman" w:eastAsia="宋体"/>
          <w:sz w:val="24"/>
        </w:rPr>
        <w:t xml:space="preserve"> 表示第 </w:t>
      </w:r>
      <w:r>
        <w:rPr>
          <w:rFonts w:ascii="Cambria Math" w:hAnsi="Cambria Math" w:eastAsia="Cambria Math"/>
          <w:sz w:val="22"/>
        </w:rPr>
        <w:t>i</w:t>
      </w:r>
      <w:r>
        <w:rPr>
          <w:rFonts w:ascii="Times New Roman" w:hAnsi="Times New Roman" w:eastAsia="宋体"/>
          <w:sz w:val="24"/>
        </w:rPr>
        <w:t xml:space="preserve"> 个点的空间坐标，</w:t>
      </w:r>
      <w:r>
        <w:rPr>
          <w:rFonts w:ascii="Cambria Math" w:hAnsi="Cambria Math" w:eastAsia="Cambria Math"/>
          <w:sz w:val="22"/>
        </w:rPr>
        <w:t>c_e=(i_1,i_2,...,i_n_e)</w:t>
      </w:r>
      <w:r>
        <w:rPr>
          <w:rFonts w:ascii="Times New Roman" w:hAnsi="Times New Roman" w:eastAsia="宋体"/>
          <w:sz w:val="24"/>
        </w:rPr>
        <w:t xml:space="preserve"> 表示第 </w:t>
      </w:r>
      <w:r>
        <w:rPr>
          <w:rFonts w:ascii="Cambria Math" w:hAnsi="Cambria Math" w:eastAsia="Cambria Math"/>
          <w:sz w:val="22"/>
        </w:rPr>
        <w:t>e</w:t>
      </w:r>
      <w:r>
        <w:rPr>
          <w:rFonts w:ascii="Times New Roman" w:hAnsi="Times New Roman" w:eastAsia="宋体"/>
          <w:sz w:val="24"/>
        </w:rPr>
        <w:t xml:space="preserve"> 个单元的节点索引序列，</w:t>
      </w:r>
      <w:r>
        <w:rPr>
          <w:rFonts w:ascii="Cambria Math" w:hAnsi="Cambria Math" w:eastAsia="Cambria Math"/>
          <w:sz w:val="22"/>
        </w:rPr>
        <w:t>n_e</w:t>
      </w:r>
      <w:r>
        <w:rPr>
          <w:rFonts w:ascii="Times New Roman" w:hAnsi="Times New Roman" w:eastAsia="宋体"/>
          <w:sz w:val="24"/>
        </w:rPr>
        <w:t xml:space="preserve"> 表示该单元包含的节点数。该记法与有限元中常用的节点坐标和单元连接描述一致[12]。</w:t>
      </w:r>
    </w:p>
    <w:p>
      <w:pPr>
        <w:spacing w:line="360" w:lineRule="auto" w:after="0"/>
        <w:ind w:firstLine="420"/>
      </w:pPr>
      <w:r>
        <w:rPr>
          <w:rFonts w:ascii="Times New Roman" w:hAnsi="Times New Roman" w:eastAsia="宋体"/>
          <w:sz w:val="24"/>
        </w:rPr>
        <w:t>拓扑组织方式决定后续算法如何访问邻域。结构化网格具有明确的逻辑维度和索引顺序，点或单元之间的邻接关系可以通过维度和索引推导，因此适合使用固定模板进行差分计算。非结构化网格通过显式单元连接描述拓扑关系，能够表达复杂几何和局部加密网格，但邻域构建和梯度恢复相应更复杂。因此，本文在梯度计算和数据优化中均区分结构化网格和非结构化网格。</w:t>
      </w:r>
    </w:p>
    <w:p>
      <w:pPr>
        <w:spacing w:line="360" w:lineRule="auto" w:after="0"/>
        <w:ind w:firstLine="420"/>
      </w:pPr>
      <w:r>
        <w:rPr>
          <w:rFonts w:ascii="Times New Roman" w:hAnsi="Times New Roman" w:eastAsia="宋体"/>
          <w:sz w:val="24"/>
        </w:rPr>
        <w:t>点数据和单元数据是后处理字段中需要区分的两类数据。点数据定义在网格节点上，常用于表示节点位移、节点温度、节点压力等场量；单元数据定义在单元上，常用于表示单元平均应力、单元积分结果或单元级状态量。二者的数组长度、采样位置和物理含义均不同。设点字段为</w:t>
      </w:r>
    </w:p>
    <w:p>
      <w:pPr>
        <w:spacing w:line="240" w:lineRule="auto" w:before="80" w:after="80"/>
        <w:ind w:firstLine="0"/>
        <w:jc w:val="center"/>
      </w:pPr>
      <w:r>
        <w:rPr>
          <w:rFonts w:ascii="Cambria Math" w:hAnsi="Cambria Math" w:eastAsia="Cambria Math"/>
          <w:sz w:val="22"/>
        </w:rPr>
        <w:t>U_p ∈ \mathbbR^n_p × m</w:t>
      </w:r>
    </w:p>
    <w:p>
      <w:pPr>
        <w:spacing w:line="360" w:lineRule="auto" w:after="0"/>
        <w:ind w:firstLine="420"/>
      </w:pPr>
      <w:r>
        <w:rPr>
          <w:rFonts w:ascii="Times New Roman" w:hAnsi="Times New Roman" w:eastAsia="宋体"/>
          <w:sz w:val="24"/>
        </w:rPr>
        <w:t>单元字段为</w:t>
      </w:r>
    </w:p>
    <w:p>
      <w:pPr>
        <w:spacing w:line="240" w:lineRule="auto" w:before="80" w:after="80"/>
        <w:ind w:firstLine="0"/>
        <w:jc w:val="center"/>
      </w:pPr>
      <w:r>
        <w:rPr>
          <w:rFonts w:ascii="Cambria Math" w:hAnsi="Cambria Math" w:eastAsia="Cambria Math"/>
          <w:sz w:val="22"/>
        </w:rPr>
        <w:t>U_c ∈ \mathbbR^n_c × m</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m</w:t>
      </w:r>
      <w:r>
        <w:rPr>
          <w:rFonts w:ascii="Times New Roman" w:hAnsi="Times New Roman" w:eastAsia="宋体"/>
          <w:sz w:val="24"/>
        </w:rPr>
        <w:t xml:space="preserve"> 为字段分量数。点字段和单元字段不仅数组长度不同，其物理含义和采样位置也不同。若在梯度计算或数据优化中忽略这一差异，可能导致结果虽然具有数值形式，却难以给出合理的物理解释。</w:t>
      </w:r>
    </w:p>
    <w:p>
      <w:pPr>
        <w:spacing w:line="360" w:lineRule="auto" w:after="0"/>
        <w:ind w:firstLine="420"/>
      </w:pPr>
      <w:r>
        <w:rPr>
          <w:rFonts w:ascii="Times New Roman" w:hAnsi="Times New Roman" w:eastAsia="宋体"/>
          <w:sz w:val="24"/>
        </w:rPr>
        <w:t>除几何坐标、单元连接和字段数组之外，拓扑邻接关系也是后处理计算中经常使用的基础信息。对于结构化网格，相邻点或相邻单元通常可由逻辑索引直接推导；对于非结构化网格，相邻关系一般需要根据单元连接以及共享点、共享边、共享面等关系构建。本文内部数据组织的基本思路是：外部 VTK 数据首先被整理为点坐标、单元连接、字段数组和邻域索引等连续数据结构。该组织方式既保留了 CAE 网格的几何和拓扑语义，又便于后续上传到 GPU 缓冲区中按索引访问。</w:t>
      </w:r>
    </w:p>
    <w:p>
      <w:pPr>
        <w:pStyle w:val="2"/>
        <w:spacing w:line="360" w:lineRule="auto" w:before="120" w:after="120"/>
        <w:jc w:val="left"/>
      </w:pPr>
      <w:r>
        <w:rPr>
          <w:rFonts w:ascii="Times New Roman" w:hAnsi="Times New Roman" w:eastAsia="黑体"/>
          <w:b/>
          <w:sz w:val="28"/>
        </w:rPr>
        <w:t>2.2 VTK、ParaView 与 Qt 相关技术</w:t>
      </w:r>
    </w:p>
    <w:p>
      <w:pPr>
        <w:spacing w:line="360" w:lineRule="auto" w:after="0"/>
        <w:ind w:firstLine="420"/>
      </w:pPr>
      <w:r>
        <w:rPr>
          <w:rFonts w:ascii="Times New Roman" w:hAnsi="Times New Roman" w:eastAsia="宋体"/>
          <w:sz w:val="24"/>
        </w:rPr>
        <w:t>VTK 是科学可视化领域常用的开源工具库，提供数据结构、数据读写、过滤器和渲染支持[4]。ParaView 基于 VTK 构建交互式可视化环境，常用于科学计算和工程仿真结果观察。ParaView 文档将 VTK 数据集概括为 mesh 和 attributes 的组合，其中 mesh 包含 points 和 cells，attributes 可以作为点数据、单元数据等形式附着在数据集上[3]。这种数据组织方式能够表达 CAE 后处理中的节点、单元和字段信息，使 VTK 适合作为数据读写、结果导出和可视化观察的基础工具。</w:t>
      </w:r>
    </w:p>
    <w:p>
      <w:pPr>
        <w:spacing w:line="360" w:lineRule="auto" w:after="0"/>
        <w:ind w:firstLine="420"/>
      </w:pPr>
      <w:r>
        <w:rPr>
          <w:rFonts w:ascii="Times New Roman" w:hAnsi="Times New Roman" w:eastAsia="宋体"/>
          <w:sz w:val="24"/>
        </w:rPr>
        <w:t>在本文系统中，VTK 主要用于数据输入输出和结果对照。输入阶段，VTK 用于读取已有网格数据和字段数据；输出阶段，计算结果可保存为 VTK 文件，并在 ParaView 中进行观察。在梯度计算方面，VTK 中的 vtkGradientFilter 可用于估计数据集字段梯度，其输出字段的关联方式与输入字段保持一致[19]，体现了 VTK 在字段派生计算方面的支持能力。</w:t>
      </w:r>
    </w:p>
    <w:p>
      <w:pPr>
        <w:spacing w:line="360" w:lineRule="auto" w:after="0"/>
        <w:ind w:firstLine="420"/>
      </w:pPr>
      <w:r>
        <w:rPr>
          <w:rFonts w:ascii="Times New Roman" w:hAnsi="Times New Roman" w:eastAsia="宋体"/>
          <w:sz w:val="24"/>
        </w:rPr>
        <w:t>Qt 是常用的跨平台图形界面框架，提供窗口、控件、事件响应和文件交互等能力[20]。在本文的桌面程序中，Qt 主要用于基本界面交互，例如数据选择、参数输入、计算触发和结果导出。由于本文研究重点是 CAE 数据预处理方法，Qt 作为界面支撑技术使用。</w:t>
      </w:r>
    </w:p>
    <w:p>
      <w:pPr>
        <w:pStyle w:val="2"/>
        <w:spacing w:line="360" w:lineRule="auto" w:before="120" w:after="120"/>
        <w:jc w:val="left"/>
      </w:pPr>
      <w:r>
        <w:rPr>
          <w:rFonts w:ascii="Times New Roman" w:hAnsi="Times New Roman" w:eastAsia="黑体"/>
          <w:b/>
          <w:sz w:val="28"/>
        </w:rPr>
        <w:t>2.3 OpenGL Compute Shader 与 GPU 并行计算</w:t>
      </w:r>
    </w:p>
    <w:p>
      <w:pPr>
        <w:spacing w:line="360" w:lineRule="auto" w:after="0"/>
        <w:ind w:firstLine="420"/>
      </w:pPr>
      <w:r>
        <w:rPr>
          <w:rFonts w:ascii="Times New Roman" w:hAnsi="Times New Roman" w:eastAsia="宋体"/>
          <w:sz w:val="24"/>
        </w:rPr>
        <w:t>OpenGL 最初主要用于图形渲染。随着可编程管线发展，OpenGL 逐渐具备执行通用并行计算任务的能力。Compute Shader 是 OpenGL 中专门用于通用计算的着色器阶段，不依赖顶点、片元等传统渲染图元，而是通过工作组和线程编号组织并行任务[8]。相关 OpenGL ES 计算着色器研究通常按照“配置环境、准备数据、派发计算、同步结果”的顺序说明计算过程。本文虽然使用的是桌面 OpenGL，但计算组织思路与之类似：CPU 侧负责准备数据和参数，GPU 侧负责并行执行局部计算。</w:t>
      </w:r>
    </w:p>
    <w:p>
      <w:pPr>
        <w:spacing w:line="360" w:lineRule="auto" w:after="0"/>
        <w:ind w:firstLine="420"/>
      </w:pPr>
      <w:r>
        <w:rPr>
          <w:rFonts w:ascii="Times New Roman" w:hAnsi="Times New Roman" w:eastAsia="宋体"/>
          <w:sz w:val="24"/>
        </w:rPr>
        <w:t xml:space="preserve">OpenGL Compute Shader 的并行执行模型由工作组和组内局部线程组成。每个线程可以通过全局调用编号定位其处理对象。设第 </w:t>
      </w:r>
      <w:r>
        <w:rPr>
          <w:rFonts w:ascii="Cambria Math" w:hAnsi="Cambria Math" w:eastAsia="Cambria Math"/>
          <w:sz w:val="22"/>
        </w:rPr>
        <w:t>g</w:t>
      </w:r>
      <w:r>
        <w:rPr>
          <w:rFonts w:ascii="Times New Roman" w:hAnsi="Times New Roman" w:eastAsia="宋体"/>
          <w:sz w:val="24"/>
        </w:rPr>
        <w:t xml:space="preserve"> 个全局线程处理第 </w:t>
      </w:r>
      <w:r>
        <w:rPr>
          <w:rFonts w:ascii="Cambria Math" w:hAnsi="Cambria Math" w:eastAsia="Cambria Math"/>
          <w:sz w:val="22"/>
        </w:rPr>
        <w:t>i</w:t>
      </w:r>
      <w:r>
        <w:rPr>
          <w:rFonts w:ascii="Times New Roman" w:hAnsi="Times New Roman" w:eastAsia="宋体"/>
          <w:sz w:val="24"/>
        </w:rPr>
        <w:t xml:space="preserve"> 个采样对象，则可写为</w:t>
      </w:r>
    </w:p>
    <w:p>
      <w:pPr>
        <w:spacing w:line="240" w:lineRule="auto" w:before="80" w:after="80"/>
        <w:ind w:firstLine="0"/>
        <w:jc w:val="center"/>
      </w:pPr>
      <w:r>
        <w:rPr>
          <w:rFonts w:ascii="Cambria Math" w:hAnsi="Cambria Math" w:eastAsia="Cambria Math"/>
          <w:sz w:val="22"/>
        </w:rPr>
        <w:t>i=g</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g</w:t>
      </w:r>
      <w:r>
        <w:rPr>
          <w:rFonts w:ascii="Times New Roman" w:hAnsi="Times New Roman" w:eastAsia="宋体"/>
          <w:sz w:val="24"/>
        </w:rPr>
        <w:t xml:space="preserve"> 对应 Compute Shader 中的全局调用编号 </w:t>
      </w:r>
      <w:r>
        <w:rPr>
          <w:rFonts w:ascii="Consolas" w:hAnsi="Consolas" w:eastAsia="Consolas"/>
          <w:sz w:val="24"/>
        </w:rPr>
        <w:t>gl_GlobalInvocationID.x</w:t>
      </w:r>
      <w:r>
        <w:rPr>
          <w:rFonts w:ascii="Times New Roman" w:hAnsi="Times New Roman" w:eastAsia="宋体"/>
          <w:sz w:val="24"/>
        </w:rPr>
        <w:t>。</w:t>
      </w:r>
    </w:p>
    <w:p>
      <w:pPr>
        <w:spacing w:line="360" w:lineRule="auto" w:after="0"/>
        <w:ind w:firstLine="420"/>
      </w:pPr>
      <w:r>
        <w:rPr>
          <w:rFonts w:ascii="Times New Roman" w:hAnsi="Times New Roman" w:eastAsia="宋体"/>
          <w:sz w:val="24"/>
        </w:rPr>
        <w:t xml:space="preserve">对于结构化网格，若线性索引为 </w:t>
      </w:r>
      <w:r>
        <w:rPr>
          <w:rFonts w:ascii="Cambria Math" w:hAnsi="Cambria Math" w:eastAsia="Cambria Math"/>
          <w:sz w:val="22"/>
        </w:rPr>
        <w:t>i</w:t>
      </w:r>
      <w:r>
        <w:rPr>
          <w:rFonts w:ascii="Times New Roman" w:hAnsi="Times New Roman" w:eastAsia="宋体"/>
          <w:sz w:val="24"/>
        </w:rPr>
        <w:t xml:space="preserve">，网格维度为 </w:t>
      </w:r>
      <w:r>
        <w:rPr>
          <w:rFonts w:ascii="Cambria Math" w:hAnsi="Cambria Math" w:eastAsia="Cambria Math"/>
          <w:sz w:val="22"/>
        </w:rPr>
        <w:t>(n_x,n_y,n_z)</w:t>
      </w:r>
      <w:r>
        <w:rPr>
          <w:rFonts w:ascii="Times New Roman" w:hAnsi="Times New Roman" w:eastAsia="宋体"/>
          <w:sz w:val="24"/>
        </w:rPr>
        <w:t>，则三维逻辑索引可由下式恢复：</w:t>
      </w:r>
    </w:p>
    <w:p>
      <w:pPr>
        <w:spacing w:line="240" w:lineRule="auto" w:before="80" w:after="80"/>
        <w:ind w:firstLine="0"/>
        <w:jc w:val="center"/>
      </w:pPr>
      <w:r>
        <w:rPr>
          <w:rFonts w:ascii="Cambria Math" w:hAnsi="Cambria Math" w:eastAsia="Cambria Math"/>
          <w:sz w:val="22"/>
        </w:rPr>
        <w:t>i_x=i \bmod n_x</w:t>
      </w:r>
    </w:p>
    <w:p>
      <w:pPr>
        <w:spacing w:line="240" w:lineRule="auto" w:before="80" w:after="80"/>
        <w:ind w:firstLine="0"/>
        <w:jc w:val="center"/>
      </w:pPr>
      <w:r>
        <w:rPr>
          <w:rFonts w:ascii="Cambria Math" w:hAnsi="Cambria Math" w:eastAsia="Cambria Math"/>
          <w:sz w:val="22"/>
        </w:rPr>
        <w:t>i_y=\lfloor i/n_x \rfloor \bmod n_y</w:t>
      </w:r>
    </w:p>
    <w:p>
      <w:pPr>
        <w:spacing w:line="240" w:lineRule="auto" w:before="80" w:after="80"/>
        <w:ind w:firstLine="0"/>
        <w:jc w:val="center"/>
      </w:pPr>
      <w:r>
        <w:rPr>
          <w:rFonts w:ascii="Cambria Math" w:hAnsi="Cambria Math" w:eastAsia="Cambria Math"/>
          <w:sz w:val="22"/>
        </w:rPr>
        <w:t>i_z=\lfloor i/(n_x n_y) \rfloor</w:t>
      </w:r>
    </w:p>
    <w:p>
      <w:pPr>
        <w:spacing w:line="360" w:lineRule="auto" w:after="0"/>
        <w:ind w:firstLine="420"/>
      </w:pPr>
      <w:r>
        <w:rPr>
          <w:rFonts w:ascii="Times New Roman" w:hAnsi="Times New Roman" w:eastAsia="宋体"/>
          <w:sz w:val="24"/>
        </w:rPr>
        <w:t>这种映射使线程能够根据自身编号定位一个点或单元，并进一步访问其相邻样本。对于非结构化网格，线程通常处理一个点或一个单元，并通过邻域索引或单元连接访问局部数据。</w:t>
      </w:r>
    </w:p>
    <w:p>
      <w:pPr>
        <w:spacing w:line="360" w:lineRule="auto" w:after="0"/>
        <w:ind w:firstLine="420"/>
      </w:pPr>
      <w:r>
        <w:rPr>
          <w:rFonts w:ascii="Times New Roman" w:hAnsi="Times New Roman" w:eastAsia="宋体"/>
          <w:sz w:val="24"/>
        </w:rPr>
        <w:t>Shader Storage Buffer Object（SSBO）是 OpenGL 中用于在着色器端读写缓冲区的重要机制。与传统 uniform buffer 相比，SSBO 更适合存储较大规模结构化数据，并支持着色器端读写[9]。CAE 数据中的点坐标、字段值、单元连接、邻域索引和输出结果都可以组织为连续数组后传入 GPU，从而适应 Compute Shader 的数组访问方式。</w:t>
      </w:r>
    </w:p>
    <w:p>
      <w:pPr>
        <w:spacing w:line="360" w:lineRule="auto" w:after="0"/>
        <w:ind w:firstLine="420"/>
      </w:pPr>
      <w:r>
        <w:rPr>
          <w:rFonts w:ascii="Times New Roman" w:hAnsi="Times New Roman" w:eastAsia="宋体"/>
          <w:sz w:val="24"/>
        </w:rPr>
        <w:t>OpenGL Compute Shader 的基本计算模型可以概括为 CPU 侧准备数据、绑定 SSBO 缓冲区、派发并行工作组、GPU 写入输出缓冲区以及 CPU 侧同步读回结果。</w:t>
      </w:r>
    </w:p>
    <w:p>
      <w:pPr>
        <w:spacing w:line="360" w:lineRule="auto" w:after="0"/>
        <w:ind w:firstLine="420"/>
      </w:pPr>
      <w:r>
        <w:rPr>
          <w:rFonts w:ascii="Times New Roman" w:hAnsi="Times New Roman" w:eastAsia="宋体"/>
          <w:sz w:val="24"/>
        </w:rPr>
        <w:t>从数据处理方式看，GPU 并行计算适合处理大量采样对象上的重复计算任务。CAE 后处理数据通常包含较多节点、单元和字段值。当相关计算能够拆分为多个相对独立的线程任务时，GPU 的并行吞吐能力有助于降低核心计算环节的时间成本。同时，GPU 并行实现还需要合理设计数据布局、缓冲区组织、内存访问和结果写回方式，以充分发挥并行硬件的优势。</w:t>
      </w:r>
    </w:p>
    <w:p>
      <w:pPr>
        <w:pStyle w:val="2"/>
        <w:spacing w:line="360" w:lineRule="auto" w:before="120" w:after="120"/>
        <w:jc w:val="left"/>
      </w:pPr>
      <w:r>
        <w:rPr>
          <w:rFonts w:ascii="Times New Roman" w:hAnsi="Times New Roman" w:eastAsia="黑体"/>
          <w:b/>
          <w:sz w:val="28"/>
        </w:rPr>
        <w:t>2.4 结构化网格梯度计算理论</w:t>
      </w:r>
    </w:p>
    <w:p>
      <w:pPr>
        <w:spacing w:line="360" w:lineRule="auto" w:after="0"/>
        <w:ind w:firstLine="420"/>
      </w:pPr>
      <w:r>
        <w:rPr>
          <w:rFonts w:ascii="Times New Roman" w:hAnsi="Times New Roman" w:eastAsia="宋体"/>
          <w:sz w:val="24"/>
        </w:rPr>
        <w:t xml:space="preserve">结构化网格具有明确逻辑索引，点或单元之间的相邻关系可以由三维维度直接推导。这类数据适合基于有限差分法估计字段导数。有限差分法的基本思想是使用相邻采样点的函数值差近似导数；内部点通常使用中心差分，边界点由于缺少一侧邻点，通常使用单边差分。对于均匀直角网格，可直接使用 </w:t>
      </w:r>
      <w:r>
        <w:rPr>
          <w:rFonts w:ascii="Cambria Math" w:hAnsi="Cambria Math" w:eastAsia="Cambria Math"/>
          <w:sz w:val="22"/>
        </w:rPr>
        <w:t>Δ x,Δ y,Δ z</w:t>
      </w:r>
      <w:r>
        <w:rPr>
          <w:rFonts w:ascii="Times New Roman" w:hAnsi="Times New Roman" w:eastAsia="宋体"/>
          <w:sz w:val="24"/>
        </w:rPr>
        <w:t xml:space="preserve"> 作为物理方向步长；但在更一般的结构化网格或曲线网格中，逻辑坐标和物理坐标之间可能存在映射关系。此时不宜将逻辑方向差分直接等同于物理空间梯度，而应通过链式法则和 Jacobian 完成坐标变换[10][11]。</w:t>
      </w:r>
    </w:p>
    <w:p>
      <w:pPr>
        <w:spacing w:line="360" w:lineRule="auto" w:after="0"/>
        <w:ind w:firstLine="420"/>
      </w:pPr>
      <w:r>
        <w:rPr>
          <w:rFonts w:ascii="Times New Roman" w:hAnsi="Times New Roman" w:eastAsia="宋体"/>
          <w:sz w:val="24"/>
        </w:rPr>
        <w:t xml:space="preserve">设逻辑坐标为 </w:t>
      </w:r>
      <w:r>
        <w:rPr>
          <w:rFonts w:ascii="Cambria Math" w:hAnsi="Cambria Math" w:eastAsia="Cambria Math"/>
          <w:sz w:val="22"/>
        </w:rPr>
        <w:t>ξ=(ξ,η,ζ)</w:t>
      </w:r>
      <w:r>
        <w:rPr>
          <w:rFonts w:ascii="Times New Roman" w:hAnsi="Times New Roman" w:eastAsia="宋体"/>
          <w:sz w:val="24"/>
        </w:rPr>
        <w:t xml:space="preserve">，物理坐标为 </w:t>
      </w:r>
      <w:r>
        <w:rPr>
          <w:rFonts w:ascii="Cambria Math" w:hAnsi="Cambria Math" w:eastAsia="Cambria Math"/>
          <w:sz w:val="22"/>
        </w:rPr>
        <w:t>x=x(ξ)</w:t>
      </w:r>
      <w:r>
        <w:rPr>
          <w:rFonts w:ascii="Times New Roman" w:hAnsi="Times New Roman" w:eastAsia="宋体"/>
          <w:sz w:val="24"/>
        </w:rPr>
        <w:t xml:space="preserve">。对于标量场 </w:t>
      </w:r>
      <w:r>
        <w:rPr>
          <w:rFonts w:ascii="Cambria Math" w:hAnsi="Cambria Math" w:eastAsia="Cambria Math"/>
          <w:sz w:val="22"/>
        </w:rPr>
        <w:t>u</w:t>
      </w:r>
      <w:r>
        <w:rPr>
          <w:rFonts w:ascii="Times New Roman" w:hAnsi="Times New Roman" w:eastAsia="宋体"/>
          <w:sz w:val="24"/>
        </w:rPr>
        <w:t>，参数空间梯度可写为</w:t>
      </w:r>
    </w:p>
    <w:p>
      <w:pPr>
        <w:spacing w:line="240" w:lineRule="auto" w:before="80" w:after="80"/>
        <w:ind w:firstLine="0"/>
        <w:jc w:val="center"/>
      </w:pPr>
      <w:r>
        <w:rPr>
          <w:rFonts w:ascii="Cambria Math" w:hAnsi="Cambria Math" w:eastAsia="Cambria Math"/>
          <w:sz w:val="22"/>
        </w:rPr>
        <w:t>∇_ξu=(u_ξ,u_η,u_ζ)</w:t>
      </w:r>
    </w:p>
    <w:p>
      <w:pPr>
        <w:spacing w:line="360" w:lineRule="auto" w:after="0"/>
        <w:ind w:firstLine="420"/>
      </w:pPr>
      <w:r>
        <w:rPr>
          <w:rFonts w:ascii="Times New Roman" w:hAnsi="Times New Roman" w:eastAsia="宋体"/>
          <w:sz w:val="24"/>
        </w:rPr>
        <w:t>内部点处可使用中心差分。下式默认逻辑坐标步长为 1，若采用其他逻辑步长，应在分母中显式引入相应步长；物理尺度则由后续 Jacobian 关系恢复。例如</w:t>
      </w:r>
    </w:p>
    <w:p>
      <w:pPr>
        <w:spacing w:line="240" w:lineRule="auto" w:before="80" w:after="80"/>
        <w:ind w:firstLine="0"/>
        <w:jc w:val="center"/>
      </w:pPr>
      <w:r>
        <w:rPr>
          <w:rFonts w:ascii="Cambria Math" w:hAnsi="Cambria Math" w:eastAsia="Cambria Math"/>
          <w:sz w:val="22"/>
        </w:rPr>
        <w:t>u_ξ(i,j,k) ≈ fracu_i+1,j,k-u_i-1,j,k2</w:t>
      </w:r>
    </w:p>
    <w:p>
      <w:pPr>
        <w:spacing w:line="240" w:lineRule="auto" w:before="80" w:after="80"/>
        <w:ind w:firstLine="0"/>
        <w:jc w:val="center"/>
      </w:pPr>
      <w:r>
        <w:rPr>
          <w:rFonts w:ascii="Cambria Math" w:hAnsi="Cambria Math" w:eastAsia="Cambria Math"/>
          <w:sz w:val="22"/>
        </w:rPr>
        <w:t>u_η(i,j,k) ≈ fracu_i,j+1,k-u_i,j-1,k2</w:t>
      </w:r>
    </w:p>
    <w:p>
      <w:pPr>
        <w:spacing w:line="240" w:lineRule="auto" w:before="80" w:after="80"/>
        <w:ind w:firstLine="0"/>
        <w:jc w:val="center"/>
      </w:pPr>
      <w:r>
        <w:rPr>
          <w:rFonts w:ascii="Cambria Math" w:hAnsi="Cambria Math" w:eastAsia="Cambria Math"/>
          <w:sz w:val="22"/>
        </w:rPr>
        <w:t>u_ζ(i,j,k) ≈ fracu_i,j,k+1-u_i,j,k-12</w:t>
      </w:r>
    </w:p>
    <w:p>
      <w:pPr>
        <w:spacing w:line="360" w:lineRule="auto" w:after="0"/>
        <w:ind w:firstLine="420"/>
      </w:pPr>
      <w:r>
        <w:rPr>
          <w:rFonts w:ascii="Times New Roman" w:hAnsi="Times New Roman" w:eastAsia="宋体"/>
          <w:sz w:val="24"/>
        </w:rPr>
        <w:t xml:space="preserve">边界位置缺少一侧邻点时可使用单边差分。以左边界 </w:t>
      </w:r>
      <w:r>
        <w:rPr>
          <w:rFonts w:ascii="Cambria Math" w:hAnsi="Cambria Math" w:eastAsia="Cambria Math"/>
          <w:sz w:val="22"/>
        </w:rPr>
        <w:t>i=0</w:t>
      </w:r>
      <w:r>
        <w:rPr>
          <w:rFonts w:ascii="Times New Roman" w:hAnsi="Times New Roman" w:eastAsia="宋体"/>
          <w:sz w:val="24"/>
        </w:rPr>
        <w:t xml:space="preserve"> 为例，有</w:t>
      </w:r>
    </w:p>
    <w:p>
      <w:pPr>
        <w:spacing w:line="240" w:lineRule="auto" w:before="80" w:after="80"/>
        <w:ind w:firstLine="0"/>
        <w:jc w:val="center"/>
      </w:pPr>
      <w:r>
        <w:rPr>
          <w:rFonts w:ascii="Cambria Math" w:hAnsi="Cambria Math" w:eastAsia="Cambria Math"/>
          <w:sz w:val="22"/>
        </w:rPr>
        <w:t>u_ξ(0,j,k) ≈ u_1,j,k-u_0,j,k</w:t>
      </w:r>
    </w:p>
    <w:p>
      <w:pPr>
        <w:spacing w:line="360" w:lineRule="auto" w:after="0"/>
        <w:ind w:firstLine="420"/>
      </w:pPr>
      <w:r>
        <w:rPr>
          <w:rFonts w:ascii="Times New Roman" w:hAnsi="Times New Roman" w:eastAsia="宋体"/>
          <w:sz w:val="24"/>
        </w:rPr>
        <w:t xml:space="preserve">设 </w:t>
      </w:r>
      <w:r>
        <w:rPr>
          <w:rFonts w:ascii="Cambria Math" w:hAnsi="Cambria Math" w:eastAsia="Cambria Math"/>
          <w:sz w:val="22"/>
        </w:rPr>
        <w:t>J</w:t>
      </w:r>
      <w:r>
        <w:rPr>
          <w:rFonts w:ascii="Times New Roman" w:hAnsi="Times New Roman" w:eastAsia="宋体"/>
          <w:sz w:val="24"/>
        </w:rPr>
        <w:t xml:space="preserve"> 为从逻辑坐标到物理坐标的 Jacobian 矩阵，即</w:t>
      </w:r>
    </w:p>
    <w:p>
      <w:pPr>
        <w:spacing w:line="240" w:lineRule="auto" w:before="80" w:after="80"/>
        <w:ind w:firstLine="0"/>
        <w:jc w:val="center"/>
      </w:pPr>
      <w:r>
        <w:rPr>
          <w:rFonts w:ascii="Cambria Math" w:hAnsi="Cambria Math" w:eastAsia="Cambria Math"/>
          <w:sz w:val="22"/>
        </w:rPr>
        <w:t>J=(∂ x)/(∂ ξ)</w:t>
      </w:r>
    </w:p>
    <w:p>
      <w:pPr>
        <w:spacing w:line="360" w:lineRule="auto" w:after="0"/>
        <w:ind w:firstLine="420"/>
      </w:pPr>
      <w:r>
        <w:rPr>
          <w:rFonts w:ascii="Times New Roman" w:hAnsi="Times New Roman" w:eastAsia="宋体"/>
          <w:sz w:val="24"/>
        </w:rPr>
        <w:t>根据链式法则，有</w:t>
      </w:r>
    </w:p>
    <w:p>
      <w:pPr>
        <w:spacing w:line="240" w:lineRule="auto" w:before="80" w:after="80"/>
        <w:ind w:firstLine="0"/>
        <w:jc w:val="center"/>
      </w:pPr>
      <w:r>
        <w:rPr>
          <w:rFonts w:ascii="Cambria Math" w:hAnsi="Cambria Math" w:eastAsia="Cambria Math"/>
          <w:sz w:val="22"/>
        </w:rPr>
        <w:t>∇_ξu=J^T∇_x u</w:t>
      </w:r>
    </w:p>
    <w:p>
      <w:pPr>
        <w:spacing w:line="360" w:lineRule="auto" w:after="0"/>
        <w:ind w:firstLine="420"/>
      </w:pPr>
      <w:r>
        <w:rPr>
          <w:rFonts w:ascii="Times New Roman" w:hAnsi="Times New Roman" w:eastAsia="宋体"/>
          <w:sz w:val="24"/>
        </w:rPr>
        <w:t>因此物理空间梯度为</w:t>
      </w:r>
    </w:p>
    <w:p>
      <w:pPr>
        <w:spacing w:line="240" w:lineRule="auto" w:before="80" w:after="80"/>
        <w:ind w:firstLine="0"/>
        <w:jc w:val="center"/>
      </w:pPr>
      <w:r>
        <w:rPr>
          <w:rFonts w:ascii="Cambria Math" w:hAnsi="Cambria Math" w:eastAsia="Cambria Math"/>
          <w:sz w:val="22"/>
        </w:rPr>
        <w:t>∇_x u=J^-T∇_ξu</w:t>
      </w:r>
    </w:p>
    <w:p>
      <w:pPr>
        <w:spacing w:line="360" w:lineRule="auto" w:after="0"/>
        <w:ind w:firstLine="420"/>
      </w:pPr>
      <w:r>
        <w:rPr>
          <w:rFonts w:ascii="Times New Roman" w:hAnsi="Times New Roman" w:eastAsia="宋体"/>
          <w:sz w:val="24"/>
        </w:rPr>
        <w:t xml:space="preserve">若 </w:t>
      </w:r>
      <w:r>
        <w:rPr>
          <w:rFonts w:ascii="Cambria Math" w:hAnsi="Cambria Math" w:eastAsia="Cambria Math"/>
          <w:sz w:val="22"/>
        </w:rPr>
        <w:t>J^-1</w:t>
      </w:r>
      <w:r>
        <w:rPr>
          <w:rFonts w:ascii="Times New Roman" w:hAnsi="Times New Roman" w:eastAsia="宋体"/>
          <w:sz w:val="24"/>
        </w:rPr>
        <w:t xml:space="preserve"> 中各分量记为 </w:t>
      </w:r>
      <w:r>
        <w:rPr>
          <w:rFonts w:ascii="Cambria Math" w:hAnsi="Cambria Math" w:eastAsia="Cambria Math"/>
          <w:sz w:val="22"/>
        </w:rPr>
        <w:t>ξ_x,ξ_y,ξ_z,η_x,η_y,η_z,ζ_x,ζ_y,ζ_z</w:t>
      </w:r>
      <w:r>
        <w:rPr>
          <w:rFonts w:ascii="Times New Roman" w:hAnsi="Times New Roman" w:eastAsia="宋体"/>
          <w:sz w:val="24"/>
        </w:rPr>
        <w:t>，则梯度分量可展开为</w:t>
      </w:r>
    </w:p>
    <w:p>
      <w:pPr>
        <w:spacing w:line="240" w:lineRule="auto" w:before="80" w:after="80"/>
        <w:ind w:firstLine="0"/>
        <w:jc w:val="center"/>
      </w:pPr>
      <w:r>
        <w:rPr>
          <w:rFonts w:ascii="Cambria Math" w:hAnsi="Cambria Math" w:eastAsia="Cambria Math"/>
          <w:sz w:val="22"/>
        </w:rPr>
        <w:t>u_x=ξ_xu_ξ+η_xu_η+ζ_xu_ζ</w:t>
      </w:r>
    </w:p>
    <w:p>
      <w:pPr>
        <w:spacing w:line="240" w:lineRule="auto" w:before="80" w:after="80"/>
        <w:ind w:firstLine="0"/>
        <w:jc w:val="center"/>
      </w:pPr>
      <w:r>
        <w:rPr>
          <w:rFonts w:ascii="Cambria Math" w:hAnsi="Cambria Math" w:eastAsia="Cambria Math"/>
          <w:sz w:val="22"/>
        </w:rPr>
        <w:t>u_y=ξ_yu_ξ+η_yu_η+ζ_yu_ζ</w:t>
      </w:r>
    </w:p>
    <w:p>
      <w:pPr>
        <w:spacing w:line="240" w:lineRule="auto" w:before="80" w:after="80"/>
        <w:ind w:firstLine="0"/>
        <w:jc w:val="center"/>
      </w:pPr>
      <w:r>
        <w:rPr>
          <w:rFonts w:ascii="Cambria Math" w:hAnsi="Cambria Math" w:eastAsia="Cambria Math"/>
          <w:sz w:val="22"/>
        </w:rPr>
        <w:t>u_z=ξ_zu_ξ+η_zu_η+ζ_zu_ζ</w:t>
      </w:r>
    </w:p>
    <w:p>
      <w:pPr>
        <w:spacing w:line="360" w:lineRule="auto" w:after="0"/>
        <w:ind w:firstLine="420"/>
      </w:pPr>
      <w:r>
        <w:rPr>
          <w:rFonts w:ascii="Times New Roman" w:hAnsi="Times New Roman" w:eastAsia="宋体"/>
          <w:sz w:val="24"/>
        </w:rPr>
        <w:t>因此，结构化网格有限差分并非仅对数组值作差分，还需要完成参数空间导数到物理空间导数的恢复。点数据和单元数据均可借助有限差分思想处理，但二者采样位置不同：点数据以网格节点为采样对象，单元数据以单元中心或单元关联位置为采样对象。第四章将在具体实现中分别说明两类字段的采样位置、索引维度和结果写回方式。</w:t>
      </w:r>
    </w:p>
    <w:p>
      <w:pPr>
        <w:spacing w:line="360" w:lineRule="auto" w:after="0"/>
        <w:ind w:firstLine="420"/>
      </w:pPr>
      <w:r>
        <w:rPr>
          <w:rFonts w:ascii="Times New Roman" w:hAnsi="Times New Roman" w:eastAsia="宋体"/>
          <w:sz w:val="24"/>
        </w:rPr>
        <w:t>结构化网格中当前采样点与前后相邻样本之间的关系可由逻辑索引直接恢复，因此适合在 GPU 线程中按采样对象并行计算。</w:t>
      </w:r>
    </w:p>
    <w:p>
      <w:pPr>
        <w:spacing w:line="360" w:lineRule="auto" w:after="0"/>
        <w:ind w:firstLine="420"/>
      </w:pPr>
      <w:r>
        <w:rPr>
          <w:rFonts w:ascii="Times New Roman" w:hAnsi="Times New Roman" w:eastAsia="宋体"/>
          <w:sz w:val="24"/>
        </w:rPr>
        <w:t xml:space="preserve">对于多分量向量场，梯度可理解为每个分量分别对空间方向求导。设向量场为 </w:t>
      </w:r>
      <w:r>
        <w:rPr>
          <w:rFonts w:ascii="Cambria Math" w:hAnsi="Cambria Math" w:eastAsia="Cambria Math"/>
          <w:sz w:val="22"/>
        </w:rPr>
        <w:t>u=(u_1,u_2,...,u_m)</w:t>
      </w:r>
      <w:r>
        <w:rPr>
          <w:rFonts w:ascii="Times New Roman" w:hAnsi="Times New Roman" w:eastAsia="宋体"/>
          <w:sz w:val="24"/>
        </w:rPr>
        <w:t>，则其梯度可写为</w:t>
      </w:r>
    </w:p>
    <w:p>
      <w:pPr>
        <w:spacing w:line="240" w:lineRule="auto" w:before="80" w:after="80"/>
        <w:ind w:firstLine="0"/>
        <w:jc w:val="center"/>
      </w:pPr>
      <w:r>
        <w:rPr>
          <w:rFonts w:ascii="Cambria Math" w:hAnsi="Cambria Math" w:eastAsia="Cambria Math"/>
          <w:sz w:val="22"/>
        </w:rPr>
        <w:t>∇ u=(∇ u_1,∇ u_2,...,∇ u_m)</w:t>
      </w:r>
    </w:p>
    <w:p>
      <w:pPr>
        <w:spacing w:line="360" w:lineRule="auto" w:after="0"/>
        <w:ind w:firstLine="420"/>
      </w:pPr>
      <w:r>
        <w:rPr>
          <w:rFonts w:ascii="Times New Roman" w:hAnsi="Times New Roman" w:eastAsia="宋体"/>
          <w:sz w:val="24"/>
        </w:rPr>
        <w:t xml:space="preserve">因此，若输入字段有 </w:t>
      </w:r>
      <w:r>
        <w:rPr>
          <w:rFonts w:ascii="Cambria Math" w:hAnsi="Cambria Math" w:eastAsia="Cambria Math"/>
          <w:sz w:val="22"/>
        </w:rPr>
        <w:t>m</w:t>
      </w:r>
      <w:r>
        <w:rPr>
          <w:rFonts w:ascii="Times New Roman" w:hAnsi="Times New Roman" w:eastAsia="宋体"/>
          <w:sz w:val="24"/>
        </w:rPr>
        <w:t xml:space="preserve"> 个分量，梯度结果通常包含 </w:t>
      </w:r>
      <w:r>
        <w:rPr>
          <w:rFonts w:ascii="Cambria Math" w:hAnsi="Cambria Math" w:eastAsia="Cambria Math"/>
          <w:sz w:val="22"/>
        </w:rPr>
        <w:t>3m</w:t>
      </w:r>
      <w:r>
        <w:rPr>
          <w:rFonts w:ascii="Times New Roman" w:hAnsi="Times New Roman" w:eastAsia="宋体"/>
          <w:sz w:val="24"/>
        </w:rPr>
        <w:t xml:space="preserve"> 个分量。</w:t>
      </w:r>
    </w:p>
    <w:p>
      <w:pPr>
        <w:pStyle w:val="2"/>
        <w:spacing w:line="360" w:lineRule="auto" w:before="120" w:after="120"/>
        <w:jc w:val="left"/>
      </w:pPr>
      <w:r>
        <w:rPr>
          <w:rFonts w:ascii="Times New Roman" w:hAnsi="Times New Roman" w:eastAsia="黑体"/>
          <w:b/>
          <w:sz w:val="28"/>
        </w:rPr>
        <w:t>2.5 非结构化网格梯度计算理论</w:t>
      </w:r>
    </w:p>
    <w:p>
      <w:pPr>
        <w:spacing w:line="360" w:lineRule="auto" w:after="0"/>
        <w:ind w:firstLine="420"/>
      </w:pPr>
      <w:r>
        <w:rPr>
          <w:rFonts w:ascii="Times New Roman" w:hAnsi="Times New Roman" w:eastAsia="宋体"/>
          <w:sz w:val="24"/>
        </w:rPr>
        <w:t xml:space="preserve">非结构化网格由不同单元通过显式连接关系组成，缺少规则逻辑索引，梯度计算不能直接依赖固定差分模板。有限元理论中，单元内部字段通常由节点值和形函数插值表示[12]。由于形函数描述了字段在参考单元内的局部变化规律，并且可以通过几何映射转换到物理空间，因此本文采用基于形函数导数的方法计算非结构化网格梯度。设第 </w:t>
      </w:r>
      <w:r>
        <w:rPr>
          <w:rFonts w:ascii="Cambria Math" w:hAnsi="Cambria Math" w:eastAsia="Cambria Math"/>
          <w:sz w:val="22"/>
        </w:rPr>
        <w:t>e</w:t>
      </w:r>
      <w:r>
        <w:rPr>
          <w:rFonts w:ascii="Times New Roman" w:hAnsi="Times New Roman" w:eastAsia="宋体"/>
          <w:sz w:val="24"/>
        </w:rPr>
        <w:t xml:space="preserve"> 个单元的局部坐标为 </w:t>
      </w:r>
      <w:r>
        <w:rPr>
          <w:rFonts w:ascii="Cambria Math" w:hAnsi="Cambria Math" w:eastAsia="Cambria Math"/>
          <w:sz w:val="22"/>
        </w:rPr>
        <w:t>ξ</w:t>
      </w:r>
      <w:r>
        <w:rPr>
          <w:rFonts w:ascii="Times New Roman" w:hAnsi="Times New Roman" w:eastAsia="宋体"/>
          <w:sz w:val="24"/>
        </w:rPr>
        <w:t xml:space="preserve">，节点数为 </w:t>
      </w:r>
      <w:r>
        <w:rPr>
          <w:rFonts w:ascii="Cambria Math" w:hAnsi="Cambria Math" w:eastAsia="Cambria Math"/>
          <w:sz w:val="22"/>
        </w:rPr>
        <w:t>n_e</w:t>
      </w:r>
      <w:r>
        <w:rPr>
          <w:rFonts w:ascii="Times New Roman" w:hAnsi="Times New Roman" w:eastAsia="宋体"/>
          <w:sz w:val="24"/>
        </w:rPr>
        <w:t xml:space="preserve">，节点字段值为 </w:t>
      </w:r>
      <w:r>
        <w:rPr>
          <w:rFonts w:ascii="Cambria Math" w:hAnsi="Cambria Math" w:eastAsia="Cambria Math"/>
          <w:sz w:val="22"/>
        </w:rPr>
        <w:t>u_a</w:t>
      </w:r>
      <w:r>
        <w:rPr>
          <w:rFonts w:ascii="Times New Roman" w:hAnsi="Times New Roman" w:eastAsia="宋体"/>
          <w:sz w:val="24"/>
        </w:rPr>
        <w:t xml:space="preserve">，形函数为 </w:t>
      </w:r>
      <w:r>
        <w:rPr>
          <w:rFonts w:ascii="Cambria Math" w:hAnsi="Cambria Math" w:eastAsia="Cambria Math"/>
          <w:sz w:val="22"/>
        </w:rPr>
        <w:t>N_a(ξ)</w:t>
      </w:r>
      <w:r>
        <w:rPr>
          <w:rFonts w:ascii="Times New Roman" w:hAnsi="Times New Roman" w:eastAsia="宋体"/>
          <w:sz w:val="24"/>
        </w:rPr>
        <w:t>，则单元内部字段可写为</w:t>
      </w:r>
    </w:p>
    <w:p>
      <w:pPr>
        <w:spacing w:line="240" w:lineRule="auto" w:before="80" w:after="80"/>
        <w:ind w:firstLine="0"/>
        <w:jc w:val="center"/>
      </w:pPr>
      <w:r>
        <w:rPr>
          <w:rFonts w:ascii="Cambria Math" w:hAnsi="Cambria Math" w:eastAsia="Cambria Math"/>
          <w:sz w:val="22"/>
        </w:rPr>
        <w:t>u^e(ξ)=∑_a=1^n_eN_a(ξ)u_a</w:t>
      </w:r>
    </w:p>
    <w:p>
      <w:pPr>
        <w:spacing w:line="360" w:lineRule="auto" w:after="0"/>
        <w:ind w:firstLine="420"/>
      </w:pPr>
      <w:r>
        <w:rPr>
          <w:rFonts w:ascii="Times New Roman" w:hAnsi="Times New Roman" w:eastAsia="宋体"/>
          <w:sz w:val="24"/>
        </w:rPr>
        <w:t>物理坐标同样由节点坐标插值得到：</w:t>
      </w:r>
    </w:p>
    <w:p>
      <w:pPr>
        <w:spacing w:line="240" w:lineRule="auto" w:before="80" w:after="80"/>
        <w:ind w:firstLine="0"/>
        <w:jc w:val="center"/>
      </w:pPr>
      <w:r>
        <w:rPr>
          <w:rFonts w:ascii="Cambria Math" w:hAnsi="Cambria Math" w:eastAsia="Cambria Math"/>
          <w:sz w:val="22"/>
        </w:rPr>
        <w:t>x^e(ξ)=∑_a=1^n_eN_a(ξ)x_a</w:t>
      </w:r>
    </w:p>
    <w:p>
      <w:pPr>
        <w:spacing w:line="360" w:lineRule="auto" w:after="0"/>
        <w:ind w:firstLine="420"/>
      </w:pPr>
      <w:r>
        <w:rPr>
          <w:rFonts w:ascii="Times New Roman" w:hAnsi="Times New Roman" w:eastAsia="宋体"/>
          <w:sz w:val="24"/>
        </w:rPr>
        <w:t>对应的 Jacobian 为</w:t>
      </w:r>
    </w:p>
    <w:p>
      <w:pPr>
        <w:spacing w:line="240" w:lineRule="auto" w:before="80" w:after="80"/>
        <w:ind w:firstLine="0"/>
        <w:jc w:val="center"/>
      </w:pPr>
      <w:r>
        <w:rPr>
          <w:rFonts w:ascii="Cambria Math" w:hAnsi="Cambria Math" w:eastAsia="Cambria Math"/>
          <w:sz w:val="22"/>
        </w:rPr>
        <w:t>J=(∂ x^e)/(∂ ξ)</w:t>
      </w:r>
    </w:p>
    <w:p>
      <w:pPr>
        <w:spacing w:line="360" w:lineRule="auto" w:after="0"/>
        <w:ind w:firstLine="420"/>
      </w:pPr>
      <w:r>
        <w:rPr>
          <w:rFonts w:ascii="Times New Roman" w:hAnsi="Times New Roman" w:eastAsia="宋体"/>
          <w:sz w:val="24"/>
        </w:rPr>
        <w:t>形函数物理空间导数由链式法则得到：</w:t>
      </w:r>
    </w:p>
    <w:p>
      <w:pPr>
        <w:spacing w:line="240" w:lineRule="auto" w:before="80" w:after="80"/>
        <w:ind w:firstLine="0"/>
        <w:jc w:val="center"/>
      </w:pPr>
      <w:r>
        <w:rPr>
          <w:rFonts w:ascii="Cambria Math" w:hAnsi="Cambria Math" w:eastAsia="Cambria Math"/>
          <w:sz w:val="22"/>
        </w:rPr>
        <w:t>∇_x N_a=J^-T∇_ξN_a</w:t>
      </w:r>
    </w:p>
    <w:p>
      <w:pPr>
        <w:spacing w:line="360" w:lineRule="auto" w:after="0"/>
        <w:ind w:firstLine="420"/>
      </w:pPr>
      <w:r>
        <w:rPr>
          <w:rFonts w:ascii="Times New Roman" w:hAnsi="Times New Roman" w:eastAsia="宋体"/>
          <w:sz w:val="24"/>
        </w:rPr>
        <w:t>因此单元内字段梯度为</w:t>
      </w:r>
    </w:p>
    <w:p>
      <w:pPr>
        <w:spacing w:line="240" w:lineRule="auto" w:before="80" w:after="80"/>
        <w:ind w:firstLine="0"/>
        <w:jc w:val="center"/>
      </w:pPr>
      <w:r>
        <w:rPr>
          <w:rFonts w:ascii="Cambria Math" w:hAnsi="Cambria Math" w:eastAsia="Cambria Math"/>
          <w:sz w:val="22"/>
        </w:rPr>
        <w:t>∇_x u^e=∑_a=1^n_eu_a∇_x N_a</w:t>
      </w:r>
    </w:p>
    <w:p>
      <w:pPr>
        <w:spacing w:line="360" w:lineRule="auto" w:after="0"/>
        <w:ind w:firstLine="420"/>
      </w:pPr>
      <w:r>
        <w:rPr>
          <w:rFonts w:ascii="Times New Roman" w:hAnsi="Times New Roman" w:eastAsia="宋体"/>
          <w:sz w:val="24"/>
        </w:rPr>
        <w:t>上述公式构成了非结构化体单元梯度恢复的理论基础。实际计算时，不同单元类型对应不同的参考坐标和形函数导数；局部几何映射是否有效也会影响梯度恢复结果。因此，非结构化网格梯度计算需要同时保存单元连接、单元类型和节点坐标，并在算法实现中按单元类型分别处理。</w:t>
      </w:r>
    </w:p>
    <w:p>
      <w:pPr>
        <w:spacing w:line="360" w:lineRule="auto" w:after="0"/>
        <w:ind w:firstLine="420"/>
      </w:pPr>
      <w:r>
        <w:rPr>
          <w:rFonts w:ascii="Times New Roman" w:hAnsi="Times New Roman" w:eastAsia="宋体"/>
          <w:sz w:val="24"/>
        </w:rPr>
        <w:t xml:space="preserve">对于三角形、四边形等曲面单元，参考坐标通常为二维参数，而物理坐标位于三维空间，此时映射 Jacobian 不是普通方阵，不能直接按体单元形式求 </w:t>
      </w:r>
      <w:r>
        <w:rPr>
          <w:rFonts w:ascii="Cambria Math" w:hAnsi="Cambria Math" w:eastAsia="Cambria Math"/>
          <w:sz w:val="22"/>
        </w:rPr>
        <w:t>J^-T</w:t>
      </w:r>
      <w:r>
        <w:rPr>
          <w:rFonts w:ascii="Times New Roman" w:hAnsi="Times New Roman" w:eastAsia="宋体"/>
          <w:sz w:val="24"/>
        </w:rPr>
        <w:t>。曲面梯度应理解为切平面上的内蕴梯度，可通过局部切向基、度量矩阵或伪逆形式将参考空间导数转换到曲面支撑空间。后续实验中对曲面数据采用内蕴评价口径，目的正是减少法向分量对曲面场误差统计的干扰。</w:t>
      </w:r>
    </w:p>
    <w:p>
      <w:pPr>
        <w:spacing w:line="360" w:lineRule="auto" w:after="0"/>
        <w:ind w:firstLine="420"/>
      </w:pPr>
      <w:r>
        <w:rPr>
          <w:rFonts w:ascii="Times New Roman" w:hAnsi="Times New Roman" w:eastAsia="宋体"/>
          <w:sz w:val="24"/>
        </w:rPr>
        <w:t>非结构化单元梯度恢复的关键是从参考单元到物理单元的映射关系。点数据和单元数据在非结构化网格中的处理含义不同，具体实现差异将在第四章结合点数据梯度和单元数据梯度路径详细说明。</w:t>
      </w:r>
    </w:p>
    <w:p>
      <w:pPr>
        <w:pStyle w:val="2"/>
        <w:spacing w:line="360" w:lineRule="auto" w:before="120" w:after="120"/>
        <w:jc w:val="left"/>
      </w:pPr>
      <w:r>
        <w:rPr>
          <w:rFonts w:ascii="Times New Roman" w:hAnsi="Times New Roman" w:eastAsia="黑体"/>
          <w:b/>
          <w:sz w:val="28"/>
        </w:rPr>
        <w:t>2.6 数据优化相关理论</w:t>
      </w:r>
    </w:p>
    <w:p>
      <w:pPr>
        <w:spacing w:line="360" w:lineRule="auto" w:after="0"/>
        <w:ind w:firstLine="420"/>
      </w:pPr>
      <w:r>
        <w:rPr>
          <w:rFonts w:ascii="Times New Roman" w:hAnsi="Times New Roman" w:eastAsia="宋体"/>
          <w:sz w:val="24"/>
        </w:rPr>
        <w:t>本文的数据优化问题面向后处理结果中的局部随机高频波动。该问题可借鉴保边平滑思想：在降低局部扰动的同时，降低主要边缘和实际物理变化被过度平滑的风险。双边滤波是典型的保边平滑方法，其基本思想是同时考虑空间距离和值域差异，使相邻且数值相近的样本获得较大权重，而空间较远或数值差异较大的样本获得较小权重[14]。</w:t>
      </w:r>
    </w:p>
    <w:p>
      <w:pPr>
        <w:spacing w:line="360" w:lineRule="auto" w:after="0"/>
        <w:ind w:firstLine="420"/>
      </w:pPr>
      <w:r>
        <w:rPr>
          <w:rFonts w:ascii="Times New Roman" w:hAnsi="Times New Roman" w:eastAsia="宋体"/>
          <w:sz w:val="24"/>
        </w:rPr>
        <w:t xml:space="preserve">设第 </w:t>
      </w:r>
      <w:r>
        <w:rPr>
          <w:rFonts w:ascii="Cambria Math" w:hAnsi="Cambria Math" w:eastAsia="Cambria Math"/>
          <w:sz w:val="22"/>
        </w:rPr>
        <w:t>i</w:t>
      </w:r>
      <w:r>
        <w:rPr>
          <w:rFonts w:ascii="Times New Roman" w:hAnsi="Times New Roman" w:eastAsia="宋体"/>
          <w:sz w:val="24"/>
        </w:rPr>
        <w:t xml:space="preserve"> 个采样对象坐标为 </w:t>
      </w:r>
      <w:r>
        <w:rPr>
          <w:rFonts w:ascii="Cambria Math" w:hAnsi="Cambria Math" w:eastAsia="Cambria Math"/>
          <w:sz w:val="22"/>
        </w:rPr>
        <w:t>x_i</w:t>
      </w:r>
      <w:r>
        <w:rPr>
          <w:rFonts w:ascii="Times New Roman" w:hAnsi="Times New Roman" w:eastAsia="宋体"/>
          <w:sz w:val="24"/>
        </w:rPr>
        <w:t xml:space="preserve">，字段值为 </w:t>
      </w:r>
      <w:r>
        <w:rPr>
          <w:rFonts w:ascii="Cambria Math" w:hAnsi="Cambria Math" w:eastAsia="Cambria Math"/>
          <w:sz w:val="22"/>
        </w:rPr>
        <w:t>u_i</w:t>
      </w:r>
      <w:r>
        <w:rPr>
          <w:rFonts w:ascii="Times New Roman" w:hAnsi="Times New Roman" w:eastAsia="宋体"/>
          <w:sz w:val="24"/>
        </w:rPr>
        <w:t xml:space="preserve">，邻域为 </w:t>
      </w:r>
      <w:r>
        <w:rPr>
          <w:rFonts w:ascii="Cambria Math" w:hAnsi="Cambria Math" w:eastAsia="Cambria Math"/>
          <w:sz w:val="22"/>
        </w:rPr>
        <w:t>N(i)</w:t>
      </w:r>
      <w:r>
        <w:rPr>
          <w:rFonts w:ascii="Times New Roman" w:hAnsi="Times New Roman" w:eastAsia="宋体"/>
          <w:sz w:val="24"/>
        </w:rPr>
        <w:t>，则图双边滤波可写为</w:t>
      </w:r>
    </w:p>
    <w:p>
      <w:pPr>
        <w:spacing w:line="240" w:lineRule="auto" w:before="80" w:after="80"/>
        <w:ind w:firstLine="0"/>
        <w:jc w:val="center"/>
      </w:pPr>
      <w:r>
        <w:rPr>
          <w:rFonts w:ascii="Cambria Math" w:hAnsi="Cambria Math" w:eastAsia="Cambria Math"/>
          <w:sz w:val="22"/>
        </w:rPr>
        <w:t>\tilde u_i=frac∑_j ∈ N(i)w_iju_j∑_j ∈ N(i)w_ij</w:t>
      </w:r>
    </w:p>
    <w:p>
      <w:pPr>
        <w:spacing w:line="360" w:lineRule="auto" w:after="0"/>
        <w:ind w:firstLine="420"/>
      </w:pPr>
      <w:r>
        <w:rPr>
          <w:rFonts w:ascii="Times New Roman" w:hAnsi="Times New Roman" w:eastAsia="宋体"/>
          <w:sz w:val="24"/>
        </w:rPr>
        <w:t>权重由空间项和值域项相乘得到：</w:t>
      </w:r>
    </w:p>
    <w:p>
      <w:pPr>
        <w:spacing w:line="240" w:lineRule="auto" w:before="80" w:after="80"/>
        <w:ind w:firstLine="0"/>
        <w:jc w:val="center"/>
      </w:pPr>
      <w:r>
        <w:rPr>
          <w:rFonts w:ascii="Cambria Math" w:hAnsi="Cambria Math" w:eastAsia="Cambria Math"/>
          <w:sz w:val="22"/>
        </w:rPr>
        <w:t>w_ij=\exp(-(≤ft\|x_i-x_j\|^2)/(2σ_s^2))\exp(-(≤ft\|u_i-u_j\|^2)/(2σ_r^2))</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σ_s</w:t>
      </w:r>
      <w:r>
        <w:rPr>
          <w:rFonts w:ascii="Times New Roman" w:hAnsi="Times New Roman" w:eastAsia="宋体"/>
          <w:sz w:val="24"/>
        </w:rPr>
        <w:t xml:space="preserve"> 控制空间邻域影响范围，</w:t>
      </w:r>
      <w:r>
        <w:rPr>
          <w:rFonts w:ascii="Cambria Math" w:hAnsi="Cambria Math" w:eastAsia="Cambria Math"/>
          <w:sz w:val="22"/>
        </w:rPr>
        <w:t>σ_r</w:t>
      </w:r>
      <w:r>
        <w:rPr>
          <w:rFonts w:ascii="Times New Roman" w:hAnsi="Times New Roman" w:eastAsia="宋体"/>
          <w:sz w:val="24"/>
        </w:rPr>
        <w:t xml:space="preserve"> 控制字段值差异的抑制强度。若字段在某处存在明显边缘，边缘两侧样本的值域差异较大，权重会相应减小，从而减少跨边缘平滑。对于多分量字段，本文实现中按字段分量向量的范数计算值域差异；对于标量字段，该差异退化为标量差。Fleishman 等将类似思想用于网格去噪，表明局部邻域滤波可以扩展到离散网格数据处理[15]。国内关于点云双边滤波和点云去噪的研究，也从应用角度体现了基于局部邻域和数值相似性的数据处理方法在离散几何数据中的可行性[16][17][18]。</w:t>
      </w:r>
    </w:p>
    <w:p>
      <w:pPr>
        <w:spacing w:line="360" w:lineRule="auto" w:after="0"/>
        <w:ind w:firstLine="420"/>
      </w:pPr>
      <w:r>
        <w:rPr>
          <w:rFonts w:ascii="Times New Roman" w:hAnsi="Times New Roman" w:eastAsia="宋体"/>
          <w:sz w:val="24"/>
        </w:rPr>
        <w:t>图双边滤波中空间距离和值域差异共同决定邻域权重，因此后续算法需要同时保存空间位置、字段值和邻域索引。</w:t>
      </w:r>
    </w:p>
    <w:p>
      <w:pPr>
        <w:spacing w:line="360" w:lineRule="auto" w:after="0"/>
        <w:ind w:firstLine="420"/>
      </w:pPr>
      <w:r>
        <w:rPr>
          <w:rFonts w:ascii="Times New Roman" w:hAnsi="Times New Roman" w:eastAsia="宋体"/>
          <w:sz w:val="24"/>
        </w:rPr>
        <w:t xml:space="preserve">为了进一步区分低频趋势和高频细节，可采用多尺度分解与融合思想。Laplacian Pyramid 是经典的多尺度分解方法，可将信号分解为不同尺度的近似层和细节层[21]；保边多尺度分解研究也表明，在细节调节过程中保持边缘结构具有重要意义[22]。借鉴这一思路，令 </w:t>
      </w:r>
      <w:r>
        <w:rPr>
          <w:rFonts w:ascii="Cambria Math" w:hAnsi="Cambria Math" w:eastAsia="Cambria Math"/>
          <w:sz w:val="22"/>
        </w:rPr>
        <w:t>B_l</w:t>
      </w:r>
      <w:r>
        <w:rPr>
          <w:rFonts w:ascii="Times New Roman" w:hAnsi="Times New Roman" w:eastAsia="宋体"/>
          <w:sz w:val="24"/>
        </w:rPr>
        <w:t xml:space="preserve"> 表示第 </w:t>
      </w:r>
      <w:r>
        <w:rPr>
          <w:rFonts w:ascii="Cambria Math" w:hAnsi="Cambria Math" w:eastAsia="Cambria Math"/>
          <w:sz w:val="22"/>
        </w:rPr>
        <w:t>l</w:t>
      </w:r>
      <w:r>
        <w:rPr>
          <w:rFonts w:ascii="Times New Roman" w:hAnsi="Times New Roman" w:eastAsia="宋体"/>
          <w:sz w:val="24"/>
        </w:rPr>
        <w:t xml:space="preserve"> 层双边平滑操作，初始场为 </w:t>
      </w:r>
      <w:r>
        <w:rPr>
          <w:rFonts w:ascii="Cambria Math" w:hAnsi="Cambria Math" w:eastAsia="Cambria Math"/>
          <w:sz w:val="22"/>
        </w:rPr>
        <w:t>u^0=u</w:t>
      </w:r>
      <w:r>
        <w:rPr>
          <w:rFonts w:ascii="Times New Roman" w:hAnsi="Times New Roman" w:eastAsia="宋体"/>
          <w:sz w:val="24"/>
        </w:rPr>
        <w:t>，多尺度平滑序列可写为</w:t>
      </w:r>
    </w:p>
    <w:p>
      <w:pPr>
        <w:spacing w:line="240" w:lineRule="auto" w:before="80" w:after="80"/>
        <w:ind w:firstLine="0"/>
        <w:jc w:val="center"/>
      </w:pPr>
      <w:r>
        <w:rPr>
          <w:rFonts w:ascii="Cambria Math" w:hAnsi="Cambria Math" w:eastAsia="Cambria Math"/>
          <w:sz w:val="22"/>
        </w:rPr>
        <w:t>u^l+1=B_l(u^l), l=0,1,...,L-1</w:t>
      </w:r>
    </w:p>
    <w:p>
      <w:pPr>
        <w:spacing w:line="360" w:lineRule="auto" w:after="0"/>
        <w:ind w:firstLine="420"/>
      </w:pPr>
      <w:r>
        <w:rPr>
          <w:rFonts w:ascii="Times New Roman" w:hAnsi="Times New Roman" w:eastAsia="宋体"/>
          <w:sz w:val="24"/>
        </w:rPr>
        <w:t xml:space="preserve">第 </w:t>
      </w:r>
      <w:r>
        <w:rPr>
          <w:rFonts w:ascii="Cambria Math" w:hAnsi="Cambria Math" w:eastAsia="Cambria Math"/>
          <w:sz w:val="22"/>
        </w:rPr>
        <w:t>l</w:t>
      </w:r>
      <w:r>
        <w:rPr>
          <w:rFonts w:ascii="Times New Roman" w:hAnsi="Times New Roman" w:eastAsia="宋体"/>
          <w:sz w:val="24"/>
        </w:rPr>
        <w:t xml:space="preserve"> 层细节为</w:t>
      </w:r>
    </w:p>
    <w:p>
      <w:pPr>
        <w:spacing w:line="240" w:lineRule="auto" w:before="80" w:after="80"/>
        <w:ind w:firstLine="0"/>
        <w:jc w:val="center"/>
      </w:pPr>
      <w:r>
        <w:rPr>
          <w:rFonts w:ascii="Cambria Math" w:hAnsi="Cambria Math" w:eastAsia="Cambria Math"/>
          <w:sz w:val="22"/>
        </w:rPr>
        <w:t>d^l=u^l-u^l+1</w:t>
      </w:r>
    </w:p>
    <w:p>
      <w:pPr>
        <w:spacing w:line="360" w:lineRule="auto" w:after="0"/>
        <w:ind w:firstLine="420"/>
      </w:pPr>
      <w:r>
        <w:rPr>
          <w:rFonts w:ascii="Times New Roman" w:hAnsi="Times New Roman" w:eastAsia="宋体"/>
          <w:sz w:val="24"/>
        </w:rPr>
        <w:t>最终融合结果可写为</w:t>
      </w:r>
    </w:p>
    <w:p>
      <w:pPr>
        <w:spacing w:line="240" w:lineRule="auto" w:before="80" w:after="80"/>
        <w:ind w:firstLine="0"/>
        <w:jc w:val="center"/>
      </w:pPr>
      <w:r>
        <w:rPr>
          <w:rFonts w:ascii="Cambria Math" w:hAnsi="Cambria Math" w:eastAsia="Cambria Math"/>
          <w:sz w:val="22"/>
        </w:rPr>
        <w:t>\hat u=u^L+∑_l=0^L-1α_l d^l</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α_l</w:t>
      </w:r>
      <w:r>
        <w:rPr>
          <w:rFonts w:ascii="Times New Roman" w:hAnsi="Times New Roman" w:eastAsia="宋体"/>
          <w:sz w:val="24"/>
        </w:rPr>
        <w:t xml:space="preserve"> 为细节层权重。通过调节不同尺度细节的保留程度，可以在抑制局部随机高频扰动和保留主要结构之间取得平衡。对于 CAE 字段数据而言，该方法强调区分主要边缘结构和随机数值波动，避免将所有局部变化统一处理为噪声。</w:t>
      </w:r>
    </w:p>
    <w:p>
      <w:pPr>
        <w:spacing w:line="360" w:lineRule="auto" w:after="0"/>
        <w:ind w:firstLine="420"/>
      </w:pPr>
      <w:r>
        <w:rPr>
          <w:rFonts w:ascii="Times New Roman" w:hAnsi="Times New Roman" w:eastAsia="宋体"/>
          <w:sz w:val="24"/>
        </w:rPr>
        <w:t>后续实现中，多尺度平滑结果、细节层和最终融合结果分别对应 GPU 中间数组和输出数组。</w:t>
      </w:r>
    </w:p>
    <w:p>
      <w:r>
        <w:br w:type="page"/>
      </w:r>
    </w:p>
    <w:p>
      <w:pPr>
        <w:pStyle w:val="1"/>
        <w:spacing w:line="360" w:lineRule="auto" w:before="240" w:after="120"/>
        <w:jc w:val="center"/>
      </w:pPr>
      <w:r>
        <w:rPr>
          <w:rFonts w:ascii="Times New Roman" w:hAnsi="Times New Roman" w:eastAsia="黑体"/>
          <w:b/>
          <w:sz w:val="32"/>
        </w:rPr>
        <w:t>第三章 需求分析与系统设计</w:t>
      </w:r>
    </w:p>
    <w:p>
      <w:pPr>
        <w:pStyle w:val="2"/>
        <w:spacing w:line="360" w:lineRule="auto" w:before="120" w:after="120"/>
        <w:jc w:val="left"/>
      </w:pPr>
      <w:r>
        <w:rPr>
          <w:rFonts w:ascii="Times New Roman" w:hAnsi="Times New Roman" w:eastAsia="黑体"/>
          <w:b/>
          <w:sz w:val="28"/>
        </w:rPr>
        <w:t>3.1 需求分析</w:t>
      </w:r>
    </w:p>
    <w:p>
      <w:pPr>
        <w:spacing w:line="360" w:lineRule="auto" w:after="0"/>
        <w:ind w:firstLine="420"/>
      </w:pPr>
      <w:r>
        <w:rPr>
          <w:rFonts w:ascii="Times New Roman" w:hAnsi="Times New Roman" w:eastAsia="宋体"/>
          <w:sz w:val="24"/>
        </w:rPr>
        <w:t>本文系统面向 CAE 后处理阶段的数据预处理任务，主要完成 VTK 数据读取、统一数据组织、梯度计算、数据优化、结果写回和文件导出。系统以已有 CAE 后处理数据为输入，以带有新增字段的 VTK 数据文件为输出，导出结果可在 ParaView 等工具中继续观察和对照。</w:t>
      </w:r>
    </w:p>
    <w:p>
      <w:pPr>
        <w:spacing w:line="360" w:lineRule="auto" w:after="0"/>
        <w:ind w:firstLine="420"/>
      </w:pPr>
      <w:r>
        <w:rPr>
          <w:rFonts w:ascii="Times New Roman" w:hAnsi="Times New Roman" w:eastAsia="宋体"/>
          <w:sz w:val="24"/>
        </w:rPr>
        <w:t>从处理对象看，系统需要同时处理结构化网格和非结构化网格，并区分点数据和单元数据。不同网格类型对应不同的邻域访问方式和梯度计算路径，不同字段关联方式决定结果字段的写回位置。因此，系统需求不仅包括用户操作层面的功能，还包括内部数据关系保存、计算路径选择、结果输出与验证等要求。</w:t>
      </w:r>
    </w:p>
    <w:p>
      <w:pPr>
        <w:pStyle w:val="3"/>
        <w:spacing w:line="360" w:lineRule="auto" w:before="120" w:after="120"/>
        <w:jc w:val="left"/>
      </w:pPr>
      <w:r>
        <w:rPr>
          <w:rFonts w:ascii="Times New Roman" w:hAnsi="Times New Roman" w:eastAsia="黑体"/>
          <w:b/>
          <w:sz w:val="24"/>
        </w:rPr>
        <w:t>3.1.1 功能需求</w:t>
      </w:r>
    </w:p>
    <w:p>
      <w:pPr>
        <w:spacing w:line="360" w:lineRule="auto" w:after="0"/>
        <w:ind w:firstLine="420"/>
      </w:pPr>
      <w:r>
        <w:rPr>
          <w:rFonts w:ascii="Times New Roman" w:hAnsi="Times New Roman" w:eastAsia="宋体"/>
          <w:sz w:val="24"/>
        </w:rPr>
        <w:t>根据系统功能需求，本文将系统功能划分为数据读取与转换、梯度计算、数据优化、GPU 计算管理和结果导出五个部分。</w:t>
      </w:r>
    </w:p>
    <w:p>
      <w:pPr>
        <w:spacing w:line="360" w:lineRule="auto" w:after="0"/>
        <w:ind w:firstLine="420"/>
      </w:pPr>
      <w:r>
        <w:rPr>
          <w:rFonts w:ascii="Times New Roman" w:hAnsi="Times New Roman" w:eastAsia="宋体"/>
          <w:sz w:val="24"/>
        </w:rPr>
        <w:t>数据读取与转换功能负责把外部 VTK 数据转化为系统可处理的内部数据。该功能需要完成数据文件读取、网格类型识别、点字段与单元字段提取和内部数据转换。由于本文研究重点不是数据格式解析本身，因此读取环节主要依托 VTK 完成；但转换后的内部数据结构由系统自行维护，以便后续算法和 GPU 计算使用。</w:t>
      </w:r>
    </w:p>
    <w:p>
      <w:pPr>
        <w:spacing w:line="360" w:lineRule="auto" w:after="0"/>
        <w:ind w:firstLine="420"/>
      </w:pPr>
      <w:r>
        <w:rPr>
          <w:rFonts w:ascii="Times New Roman" w:hAnsi="Times New Roman" w:eastAsia="宋体"/>
          <w:sz w:val="24"/>
        </w:rPr>
        <w:t>梯度计算功能负责根据网格类型和字段关联方式选择计算路径。结构化网格使用有限差分法计算字段导数，非结构化网格使用基于形函数导数的梯度恢复方法。点数据结果写回点字段，单元数据结果写回单元字段，避免结果字段与原始字段语义不一致。</w:t>
      </w:r>
    </w:p>
    <w:p>
      <w:pPr>
        <w:spacing w:line="360" w:lineRule="auto" w:after="0"/>
        <w:ind w:firstLine="420"/>
      </w:pPr>
      <w:r>
        <w:rPr>
          <w:rFonts w:ascii="Times New Roman" w:hAnsi="Times New Roman" w:eastAsia="宋体"/>
          <w:sz w:val="24"/>
        </w:rPr>
        <w:t>数据优化功能面向局部随机高频数值扰动。系统需要根据点数据或单元数据构建对应邻域关系，在邻域图上执行图双边滤波和多尺度融合，使字段在保持主要结构特征的同时降低局部扰动影响。</w:t>
      </w:r>
    </w:p>
    <w:p>
      <w:pPr>
        <w:spacing w:line="360" w:lineRule="auto" w:after="0"/>
        <w:ind w:firstLine="420"/>
      </w:pPr>
      <w:r>
        <w:rPr>
          <w:rFonts w:ascii="Times New Roman" w:hAnsi="Times New Roman" w:eastAsia="宋体"/>
          <w:sz w:val="24"/>
        </w:rPr>
        <w:t>GPU 计算管理功能负责底层并行计算环境。该功能包括 OpenGL 上下文创建、计算着色器编译、GPU 缓冲区管理、计算调度、同步和计时。通过集中管理这些底层操作，梯度计算和数据优化模块可以把主要逻辑集中在算法输入、计算过程和结果写回上。</w:t>
      </w:r>
    </w:p>
    <w:p>
      <w:pPr>
        <w:spacing w:line="360" w:lineRule="auto" w:after="0"/>
        <w:ind w:firstLine="420"/>
      </w:pPr>
      <w:r>
        <w:rPr>
          <w:rFonts w:ascii="Times New Roman" w:hAnsi="Times New Roman" w:eastAsia="宋体"/>
          <w:sz w:val="24"/>
        </w:rPr>
        <w:t>结果导出功能负责将新增字段写回内部数据对象，并重建为可保存的 VTK 数据集。导出的结果文件应能被 ParaView 等工具继续读取，用于可视化观察和实验对照。</w:t>
      </w:r>
    </w:p>
    <w:p>
      <w:pPr>
        <w:pStyle w:val="3"/>
        <w:spacing w:line="360" w:lineRule="auto" w:before="120" w:after="120"/>
        <w:jc w:val="left"/>
      </w:pPr>
      <w:r>
        <w:rPr>
          <w:rFonts w:ascii="Times New Roman" w:hAnsi="Times New Roman" w:eastAsia="黑体"/>
          <w:b/>
          <w:sz w:val="24"/>
        </w:rPr>
        <w:t>3.1.2 非功能需求</w:t>
      </w:r>
    </w:p>
    <w:p>
      <w:pPr>
        <w:spacing w:line="360" w:lineRule="auto" w:after="0"/>
        <w:ind w:firstLine="420"/>
      </w:pPr>
      <w:r>
        <w:rPr>
          <w:rFonts w:ascii="Times New Roman" w:hAnsi="Times New Roman" w:eastAsia="宋体"/>
          <w:sz w:val="24"/>
        </w:rPr>
        <w:t>除功能需求外，系统还需要满足性能、可复现性和可扩展性要求。</w:t>
      </w:r>
    </w:p>
    <w:p>
      <w:pPr>
        <w:spacing w:line="360" w:lineRule="auto" w:after="0"/>
        <w:ind w:firstLine="420"/>
      </w:pPr>
      <w:r>
        <w:rPr>
          <w:rFonts w:ascii="Times New Roman" w:hAnsi="Times New Roman" w:eastAsia="宋体"/>
          <w:sz w:val="24"/>
        </w:rPr>
        <w:t>性能方面，CAE 后处理数据通常包含较多节点、单元和字段值。梯度计算和滤波计算需要在大量采样对象上重复执行，因此系统核心计算应优先在 GPU 端并行执行，并记录系统总耗时和 GPU 计算耗时。实验中系统总耗时和 GPU 计算耗时都应控制在可对比、可复现的统计口径内，便于与 VTK 参考流程比较。</w:t>
      </w:r>
    </w:p>
    <w:p>
      <w:pPr>
        <w:spacing w:line="360" w:lineRule="auto" w:after="0"/>
        <w:ind w:firstLine="420"/>
      </w:pPr>
      <w:r>
        <w:rPr>
          <w:rFonts w:ascii="Times New Roman" w:hAnsi="Times New Roman" w:eastAsia="宋体"/>
          <w:sz w:val="24"/>
        </w:rPr>
        <w:t>可复现性方面，系统应在相同输入数据、相同参数和相同运行环境下得到一致结果。实验所需的输入数据、结果文件和统计指标应保存在项目目录中，并明确记录 VTK 并行后端、线程数、数据集名称、字段名称和随机扰动参数，避免不同实验在统计口径上混用。</w:t>
      </w:r>
    </w:p>
    <w:p>
      <w:pPr>
        <w:spacing w:line="360" w:lineRule="auto" w:after="0"/>
        <w:ind w:firstLine="420"/>
      </w:pPr>
      <w:r>
        <w:rPr>
          <w:rFonts w:ascii="Times New Roman" w:hAnsi="Times New Roman" w:eastAsia="宋体"/>
          <w:sz w:val="24"/>
        </w:rPr>
        <w:t>可扩展性方面，系统应能够在增加数据来源、单元类型或算法策略时复用已有数据组织和计算框架。统一内部数据对象用于隔离外部 VTK 数据格式，梯度计算和数据优化模块分别维护不同算法路径，OpenGL 计算管理模块统一处理计算上下文和缓冲区资源。</w:t>
      </w:r>
    </w:p>
    <w:p>
      <w:pPr>
        <w:pStyle w:val="2"/>
        <w:spacing w:line="360" w:lineRule="auto" w:before="120" w:after="120"/>
        <w:jc w:val="left"/>
      </w:pPr>
      <w:r>
        <w:rPr>
          <w:rFonts w:ascii="Times New Roman" w:hAnsi="Times New Roman" w:eastAsia="黑体"/>
          <w:b/>
          <w:sz w:val="28"/>
        </w:rPr>
        <w:t>3.2 系统设计</w:t>
      </w:r>
    </w:p>
    <w:p>
      <w:pPr>
        <w:pStyle w:val="3"/>
        <w:spacing w:line="360" w:lineRule="auto" w:before="120" w:after="120"/>
        <w:jc w:val="left"/>
      </w:pPr>
      <w:r>
        <w:rPr>
          <w:rFonts w:ascii="Times New Roman" w:hAnsi="Times New Roman" w:eastAsia="黑体"/>
          <w:b/>
          <w:sz w:val="24"/>
        </w:rPr>
        <w:t>3.2.1 系统总体结构与技术栈</w:t>
      </w:r>
    </w:p>
    <w:p>
      <w:pPr>
        <w:spacing w:line="360" w:lineRule="auto" w:after="0"/>
        <w:ind w:firstLine="420"/>
      </w:pPr>
      <w:r>
        <w:rPr>
          <w:rFonts w:ascii="Times New Roman" w:hAnsi="Times New Roman" w:eastAsia="宋体"/>
          <w:sz w:val="24"/>
        </w:rPr>
        <w:t>系统采用分层方式组织，整体可分为界面层、核心功能层和数据层。</w:t>
      </w:r>
    </w:p>
    <w:p>
      <w:pPr>
        <w:spacing w:line="360" w:lineRule="auto" w:after="0"/>
        <w:ind w:firstLine="420"/>
      </w:pPr>
      <w:r>
        <w:rPr>
          <w:rFonts w:ascii="Times New Roman" w:hAnsi="Times New Roman" w:eastAsia="宋体"/>
          <w:sz w:val="24"/>
        </w:rPr>
        <w:t>界面层负责用户交互，包括文件选择、字段选择、参数输入、计算触发、导出操作和运行信息展示。界面层不直接实现数值算法，而是作为用户操作入口调用后端功能。</w:t>
      </w:r>
    </w:p>
    <w:p>
      <w:pPr>
        <w:spacing w:line="360" w:lineRule="auto" w:after="0"/>
        <w:ind w:firstLine="420"/>
      </w:pPr>
      <w:r>
        <w:rPr>
          <w:rFonts w:ascii="Times New Roman" w:hAnsi="Times New Roman" w:eastAsia="宋体"/>
          <w:sz w:val="24"/>
        </w:rPr>
        <w:t>核心功能层负责系统主要处理流程，包括数据转换、梯度计算、数据优化、OpenGL 计算管理和结果导出。该层是系统功能的主要承载部分，向上连接界面操作，向下读取和写回内部数据对象。界面层或测试程序可通过统一调用接口组织具体处理流程，但该调用关系不单独作为系统功能模块划分。</w:t>
      </w:r>
    </w:p>
    <w:p>
      <w:pPr>
        <w:spacing w:line="360" w:lineRule="auto" w:after="0"/>
        <w:ind w:firstLine="420"/>
      </w:pPr>
      <w:r>
        <w:rPr>
          <w:rFonts w:ascii="Times New Roman" w:hAnsi="Times New Roman" w:eastAsia="宋体"/>
          <w:sz w:val="24"/>
        </w:rPr>
        <w:t>数据层负责保存外部 VTK 数据、内部网格数据、字段数组、单元拓扑、邻域结构和计算结果。数据层既要保留原始数据语义，也要满足 GPU 端连续数组访问要求。</w:t>
      </w:r>
    </w:p>
    <w:p>
      <w:pPr>
        <w:spacing w:line="360" w:lineRule="auto" w:after="0"/>
        <w:ind w:firstLine="420"/>
      </w:pPr>
      <w:r>
        <w:rPr>
          <w:rFonts w:ascii="Times New Roman" w:hAnsi="Times New Roman" w:eastAsia="宋体"/>
          <w:sz w:val="24"/>
        </w:rPr>
        <w:t>系统采用 C++17 作为主要开发语言，使用 CMake 管理工程构建，使用 VTK 完成 CAE 数据读写、结果导出和工程参考对照，使用 Qt Widgets 构建基础桌面界面，使用 OpenGL Compute Shader 执行 GPU 端并行计算，使用 SSBO 保存点坐标、字段值、单元连接、邻域索引和输出结果。</w:t>
      </w:r>
    </w:p>
    <w:p>
      <w:pPr>
        <w:pStyle w:val="3"/>
        <w:spacing w:line="360" w:lineRule="auto" w:before="120" w:after="120"/>
        <w:jc w:val="left"/>
      </w:pPr>
      <w:r>
        <w:rPr>
          <w:rFonts w:ascii="Times New Roman" w:hAnsi="Times New Roman" w:eastAsia="黑体"/>
          <w:b/>
          <w:sz w:val="24"/>
        </w:rPr>
        <w:t>3.2.2 系统各模块设计</w:t>
      </w:r>
    </w:p>
    <w:p>
      <w:pPr>
        <w:spacing w:line="360" w:lineRule="auto" w:after="0"/>
        <w:ind w:firstLine="420"/>
      </w:pPr>
      <w:r>
        <w:rPr>
          <w:rFonts w:ascii="Times New Roman" w:hAnsi="Times New Roman" w:eastAsia="宋体"/>
          <w:sz w:val="24"/>
        </w:rPr>
        <w:t>数据准备模块负责连接外部 VTK 数据和内部算法数据。模块读取点坐标、单元连接、单元类型、点数据、单元数据和结构化网格维度，并将其组织为内部扁平数组。对于非结构化网格，数据准备模块还需要构建点-单元关系、点邻域和单元邻域等拓扑信息。</w:t>
      </w:r>
    </w:p>
    <w:p>
      <w:pPr>
        <w:spacing w:line="360" w:lineRule="auto" w:after="0"/>
        <w:ind w:firstLine="420"/>
      </w:pPr>
      <w:r>
        <w:rPr>
          <w:rFonts w:ascii="Times New Roman" w:hAnsi="Times New Roman" w:eastAsia="宋体"/>
          <w:sz w:val="24"/>
        </w:rPr>
        <w:t>梯度计算模块负责根据网格类型和字段关联方式选择算法路径。结构化网格进入有限差分路径，非结构化网格进入形函数导数路径。点数据和单元数据具有不同的采样位置和物理含义，因此两类字段在输入位置、输出位置和结果分量组织上分别处理。</w:t>
      </w:r>
    </w:p>
    <w:p>
      <w:pPr>
        <w:spacing w:line="360" w:lineRule="auto" w:after="0"/>
        <w:ind w:firstLine="420"/>
      </w:pPr>
      <w:r>
        <w:rPr>
          <w:rFonts w:ascii="Times New Roman" w:hAnsi="Times New Roman" w:eastAsia="宋体"/>
          <w:sz w:val="24"/>
        </w:rPr>
        <w:t>数据优化模块负责处理局部随机高频数值扰动。该模块将点邻域或单元邻域组织为图结构，在图上执行双边滤波和多尺度融合。点数据使用点坐标和点邻域，单元数据使用单元中心和单元邻域。</w:t>
      </w:r>
    </w:p>
    <w:p>
      <w:pPr>
        <w:spacing w:line="360" w:lineRule="auto" w:after="0"/>
        <w:ind w:firstLine="420"/>
      </w:pPr>
      <w:r>
        <w:rPr>
          <w:rFonts w:ascii="Times New Roman" w:hAnsi="Times New Roman" w:eastAsia="宋体"/>
          <w:sz w:val="24"/>
        </w:rPr>
        <w:t>OpenGL 计算管理模块负责创建和维护 GPU 计算环境，包括上下文创建、计算着色器编译、缓冲区绑定、计算调度、同步和计时。该模块为梯度计算和数据优化提供统一的底层执行能力。</w:t>
      </w:r>
    </w:p>
    <w:p>
      <w:pPr>
        <w:spacing w:line="360" w:lineRule="auto" w:after="0"/>
        <w:ind w:firstLine="420"/>
      </w:pPr>
      <w:r>
        <w:rPr>
          <w:rFonts w:ascii="Times New Roman" w:hAnsi="Times New Roman" w:eastAsia="宋体"/>
          <w:sz w:val="24"/>
        </w:rPr>
        <w:t>结果导出模块负责将新增字段写回内部数据对象，并重建为可保存的 VTK 数据集。该模块需要保留输出字段名称、字段关联方式和分量数等语义信息，保证导出结果能够被 ParaView 等工具继续读取和观察。在具体实现中，界面层或测试程序通过统一调用接口组织数据准备、算法计算和结果导出流程；该统一调用关系属于实现层封装，不单独作为系统功能模块划分。</w:t>
      </w:r>
    </w:p>
    <w:p>
      <w:pPr>
        <w:pStyle w:val="3"/>
        <w:spacing w:line="360" w:lineRule="auto" w:before="120" w:after="120"/>
        <w:jc w:val="left"/>
      </w:pPr>
      <w:r>
        <w:rPr>
          <w:rFonts w:ascii="Times New Roman" w:hAnsi="Times New Roman" w:eastAsia="黑体"/>
          <w:b/>
          <w:sz w:val="24"/>
        </w:rPr>
        <w:t>3.2.3 系统功能流程</w:t>
      </w:r>
    </w:p>
    <w:p>
      <w:pPr>
        <w:spacing w:line="360" w:lineRule="auto" w:after="0"/>
        <w:ind w:firstLine="420"/>
      </w:pPr>
      <w:r>
        <w:rPr>
          <w:rFonts w:ascii="Times New Roman" w:hAnsi="Times New Roman" w:eastAsia="宋体"/>
          <w:sz w:val="24"/>
        </w:rPr>
        <w:t>系统功能流程可分为数据加载、任务选择、计算执行和结果导出四个阶段。</w:t>
      </w:r>
    </w:p>
    <w:p>
      <w:pPr>
        <w:spacing w:line="360" w:lineRule="auto" w:after="0"/>
        <w:ind w:firstLine="420"/>
      </w:pPr>
      <w:r>
        <w:rPr>
          <w:rFonts w:ascii="Times New Roman" w:hAnsi="Times New Roman" w:eastAsia="宋体"/>
          <w:sz w:val="24"/>
        </w:rPr>
        <w:t>数据加载阶段由用户或实验程序指定 VTK 文件路径。系统读取文件后识别数据集类型，提取点、单元和字段信息，并转换为内部数据对象。对于结构化网格，系统保存网格维度；对于非结构化网格，系统保存单元连接、单元类型、点-单元关系和邻域信息。</w:t>
      </w:r>
    </w:p>
    <w:p>
      <w:pPr>
        <w:spacing w:line="360" w:lineRule="auto" w:after="0"/>
        <w:ind w:firstLine="420"/>
      </w:pPr>
      <w:r>
        <w:rPr>
          <w:rFonts w:ascii="Times New Roman" w:hAnsi="Times New Roman" w:eastAsia="宋体"/>
          <w:sz w:val="24"/>
        </w:rPr>
        <w:t>任务选择阶段根据用户选择确定处理对象。系统需要检查当前数据集是否存在、字段名称是否有效、字段关联方式是点数据还是单元数据，并根据任务类型选择梯度计算或数据优化。</w:t>
      </w:r>
    </w:p>
    <w:p>
      <w:pPr>
        <w:spacing w:line="360" w:lineRule="auto" w:after="0"/>
        <w:ind w:firstLine="420"/>
      </w:pPr>
      <w:r>
        <w:rPr>
          <w:rFonts w:ascii="Times New Roman" w:hAnsi="Times New Roman" w:eastAsia="宋体"/>
          <w:sz w:val="24"/>
        </w:rPr>
        <w:t>计算执行阶段分为两条主路径。执行梯度计算时，结构化网格进入有限差分路径，非结构化网格进入形函数导数路径；执行数据优化时，系统根据字段关联方式选择点邻域或单元邻域，并在 GPU 端执行双边滤波和多尺度融合。</w:t>
      </w:r>
    </w:p>
    <w:p>
      <w:pPr>
        <w:spacing w:line="360" w:lineRule="auto" w:after="0"/>
        <w:ind w:firstLine="420"/>
      </w:pPr>
      <w:r>
        <w:rPr>
          <w:rFonts w:ascii="Times New Roman" w:hAnsi="Times New Roman" w:eastAsia="宋体"/>
          <w:sz w:val="24"/>
        </w:rPr>
        <w:t>结果导出阶段将计算结果作为新增字段写回内部数据对象，并转换为 VTK 数据集保存。导出的文件可在 ParaView 中查看，也可用于后续实验对照。</w:t>
      </w:r>
    </w:p>
    <w:p>
      <w:pPr>
        <w:pStyle w:val="3"/>
        <w:spacing w:line="360" w:lineRule="auto" w:before="120" w:after="120"/>
        <w:jc w:val="left"/>
      </w:pPr>
      <w:r>
        <w:rPr>
          <w:rFonts w:ascii="Times New Roman" w:hAnsi="Times New Roman" w:eastAsia="黑体"/>
          <w:b/>
          <w:sz w:val="24"/>
        </w:rPr>
        <w:t>3.2.4 界面设计</w:t>
      </w:r>
    </w:p>
    <w:p>
      <w:pPr>
        <w:spacing w:line="360" w:lineRule="auto" w:after="0"/>
        <w:ind w:firstLine="420"/>
      </w:pPr>
      <w:r>
        <w:rPr>
          <w:rFonts w:ascii="Times New Roman" w:hAnsi="Times New Roman" w:eastAsia="宋体"/>
          <w:sz w:val="24"/>
        </w:rPr>
        <w:t>系统界面提供基础操作入口，主要服务于数据加载、字段选择、参数设置、计算触发和结果导出。界面不承担核心算法计算，而是将用户操作转化为后端模块调用。界面主要包含数据集列表、字段选择区域、操作按钮区域和运行日志区域：数据集列表用于显示已加载数据及其点数、单元数和网格类型；字段选择区域用于选择点数据或单元数据以及具体字段；操作按钮区域用于触发数据加载、梯度计算、数据优化和结果导出；运行日志区域用于展示加载状态、计算耗时、输出字段名称和导出路径。通过这种组织方式，用户可以按照“加载数据、选择字段、执行计算、导出结果”的顺序完成数据预处理流程。</w:t>
      </w:r>
    </w:p>
    <w:p>
      <w:pPr>
        <w:pStyle w:val="3"/>
        <w:spacing w:line="360" w:lineRule="auto" w:before="120" w:after="120"/>
        <w:jc w:val="left"/>
      </w:pPr>
      <w:r>
        <w:rPr>
          <w:rFonts w:ascii="Times New Roman" w:hAnsi="Times New Roman" w:eastAsia="黑体"/>
          <w:b/>
          <w:sz w:val="24"/>
        </w:rPr>
        <w:t>3.2.5 数据结构设计</w:t>
      </w:r>
    </w:p>
    <w:p>
      <w:pPr>
        <w:spacing w:line="360" w:lineRule="auto" w:after="0"/>
        <w:ind w:firstLine="420"/>
      </w:pPr>
      <w:r>
        <w:rPr>
          <w:rFonts w:ascii="Times New Roman" w:hAnsi="Times New Roman" w:eastAsia="宋体"/>
          <w:sz w:val="24"/>
        </w:rPr>
        <w:t>内部数据对象是算法层依赖的统一数据视图，需要同时满足 CPU 端管理和 GPU 端传输要求。系统采用扁平数组组织方式，将 VTK 对象形式的数据转换为连续数组和偏移数组。点坐标按三分量连续排列，字段数组按“采样对象编号乘以分量数再加分量编号”的方式访问，单元连接和邻域关系则使用连续数组与偏移数组共同表示。</w:t>
      </w:r>
    </w:p>
    <w:p>
      <w:pPr>
        <w:spacing w:line="360" w:lineRule="auto" w:after="0"/>
        <w:ind w:firstLine="420"/>
      </w:pPr>
      <w:r>
        <w:rPr>
          <w:rFonts w:ascii="Times New Roman" w:hAnsi="Times New Roman" w:eastAsia="宋体"/>
          <w:sz w:val="24"/>
        </w:rPr>
        <w:t>连续数组和偏移数组的典型组织方式如下。</w:t>
      </w:r>
    </w:p>
    <w:p>
      <w:pPr>
        <w:spacing w:line="360" w:lineRule="auto" w:after="0"/>
        <w:ind w:firstLine="420"/>
      </w:pPr>
      <w:r>
        <w:rPr>
          <w:rFonts w:ascii="Times New Roman" w:hAnsi="Times New Roman" w:eastAsia="宋体"/>
          <w:sz w:val="24"/>
        </w:rPr>
        <w:t xml:space="preserve">对于节点数不固定的非结构化单元，若将每个单元单独保存，会导致 GPU 端访问形式不统一。本文将所有单元节点编号顺序存入一个连续连接数组，再使用偏移数组记录每个单元在连接数组中的起止位置。第 </w:t>
      </w:r>
      <w:r>
        <w:rPr>
          <w:rFonts w:ascii="Cambria Math" w:hAnsi="Cambria Math" w:eastAsia="Cambria Math"/>
          <w:sz w:val="22"/>
        </w:rPr>
        <w:t>e</w:t>
      </w:r>
      <w:r>
        <w:rPr>
          <w:rFonts w:ascii="Times New Roman" w:hAnsi="Times New Roman" w:eastAsia="宋体"/>
          <w:sz w:val="24"/>
        </w:rPr>
        <w:t xml:space="preserve"> 个单元的节点索引范围可表示为</w:t>
      </w:r>
    </w:p>
    <w:p>
      <w:pPr>
        <w:spacing w:line="240" w:lineRule="auto" w:before="80" w:after="80"/>
        <w:ind w:firstLine="0"/>
        <w:jc w:val="center"/>
      </w:pPr>
      <w:r>
        <w:rPr>
          <w:rFonts w:ascii="Cambria Math" w:hAnsi="Cambria Math" w:eastAsia="Cambria Math"/>
          <w:sz w:val="22"/>
        </w:rPr>
        <w:t>[cellOffsets_e, cellOffsets_e+1)</w:t>
      </w:r>
    </w:p>
    <w:p>
      <w:pPr>
        <w:spacing w:line="360" w:lineRule="auto" w:after="0"/>
        <w:ind w:firstLine="420"/>
      </w:pPr>
      <w:r>
        <w:rPr>
          <w:rFonts w:ascii="Times New Roman" w:hAnsi="Times New Roman" w:eastAsia="宋体"/>
          <w:sz w:val="24"/>
        </w:rPr>
        <w:t xml:space="preserve">该结构同样适用于可变长度邻域。对于第 </w:t>
      </w:r>
      <w:r>
        <w:rPr>
          <w:rFonts w:ascii="Cambria Math" w:hAnsi="Cambria Math" w:eastAsia="Cambria Math"/>
          <w:sz w:val="22"/>
        </w:rPr>
        <w:t>i</w:t>
      </w:r>
      <w:r>
        <w:rPr>
          <w:rFonts w:ascii="Times New Roman" w:hAnsi="Times New Roman" w:eastAsia="宋体"/>
          <w:sz w:val="24"/>
        </w:rPr>
        <w:t xml:space="preserve"> 个点或单元，其邻域范围可通过邻域偏移数组定位，邻居编号则存放在连续邻居数组中。这种 CSR 类结构适合表达可变长度邻域，也便于 GPU 线程根据自身编号读取对应的连续数据片段。</w:t>
      </w:r>
    </w:p>
    <w:p>
      <w:pPr>
        <w:spacing w:line="360" w:lineRule="auto" w:after="0"/>
        <w:ind w:firstLine="420"/>
      </w:pPr>
      <w:r>
        <w:rPr>
          <w:rFonts w:ascii="Times New Roman" w:hAnsi="Times New Roman" w:eastAsia="宋体"/>
          <w:sz w:val="24"/>
        </w:rPr>
        <w:t xml:space="preserve">结构化网格的数据组织重点是保存维度 </w:t>
      </w:r>
      <w:r>
        <w:rPr>
          <w:rFonts w:ascii="Cambria Math" w:hAnsi="Cambria Math" w:eastAsia="Cambria Math"/>
          <w:sz w:val="22"/>
        </w:rPr>
        <w:t>(n_x,n_y,n_z)</w:t>
      </w:r>
      <w:r>
        <w:rPr>
          <w:rFonts w:ascii="Times New Roman" w:hAnsi="Times New Roman" w:eastAsia="宋体"/>
          <w:sz w:val="24"/>
        </w:rPr>
        <w:t>。对于点数据，采样对象数量为</w:t>
      </w:r>
    </w:p>
    <w:p>
      <w:pPr>
        <w:spacing w:line="240" w:lineRule="auto" w:before="80" w:after="80"/>
        <w:ind w:firstLine="0"/>
        <w:jc w:val="center"/>
      </w:pPr>
      <w:r>
        <w:rPr>
          <w:rFonts w:ascii="Cambria Math" w:hAnsi="Cambria Math" w:eastAsia="Cambria Math"/>
          <w:sz w:val="22"/>
        </w:rPr>
        <w:t>n_p=n_x n_y n_z.</w:t>
      </w:r>
    </w:p>
    <w:p>
      <w:pPr>
        <w:spacing w:line="360" w:lineRule="auto" w:after="0"/>
        <w:ind w:firstLine="420"/>
      </w:pPr>
      <w:r>
        <w:rPr>
          <w:rFonts w:ascii="Times New Roman" w:hAnsi="Times New Roman" w:eastAsia="宋体"/>
          <w:sz w:val="24"/>
        </w:rPr>
        <w:t>对于结构化体单元，单元数据采样对象数量为</w:t>
      </w:r>
    </w:p>
    <w:p>
      <w:pPr>
        <w:spacing w:line="240" w:lineRule="auto" w:before="80" w:after="80"/>
        <w:ind w:firstLine="0"/>
        <w:jc w:val="center"/>
      </w:pPr>
      <w:r>
        <w:rPr>
          <w:rFonts w:ascii="Cambria Math" w:hAnsi="Cambria Math" w:eastAsia="Cambria Math"/>
          <w:sz w:val="22"/>
        </w:rPr>
        <w:t>n_c=(n_x-1)(n_y-1)(n_z-1).</w:t>
      </w:r>
    </w:p>
    <w:p>
      <w:pPr>
        <w:spacing w:line="360" w:lineRule="auto" w:after="0"/>
        <w:ind w:firstLine="420"/>
      </w:pPr>
      <w:r>
        <w:rPr>
          <w:rFonts w:ascii="Times New Roman" w:hAnsi="Times New Roman" w:eastAsia="宋体"/>
          <w:sz w:val="24"/>
        </w:rPr>
        <w:t>结构化网格梯度计算可以由维度隐式恢复相邻样本，不需要为梯度计算保存完整邻接表。数据优化模块为了统一接口，可根据网格维度生成 6 邻域图。</w:t>
      </w:r>
    </w:p>
    <w:p>
      <w:pPr>
        <w:spacing w:line="360" w:lineRule="auto" w:after="0"/>
        <w:ind w:firstLine="420"/>
      </w:pPr>
      <w:r>
        <w:rPr>
          <w:rFonts w:ascii="Times New Roman" w:hAnsi="Times New Roman" w:eastAsia="宋体"/>
          <w:sz w:val="24"/>
        </w:rPr>
        <w:t>非结构化网格通过显式单元连接描述拓扑。每个单元保存其节点索引序列，偏移数组用于定位不同单元在连接数组中的范围，单元类型数组用于保留三角形、四边形、四面体和六面体等单元语义。系统还需要构建点-单元关系、点邻域和单元邻域，为非结构化梯度计算和数据优化提供输入。</w:t>
      </w:r>
    </w:p>
    <w:p>
      <w:pPr>
        <w:pStyle w:val="2"/>
        <w:spacing w:line="360" w:lineRule="auto" w:before="120" w:after="120"/>
        <w:jc w:val="left"/>
      </w:pPr>
      <w:r>
        <w:rPr>
          <w:rFonts w:ascii="Times New Roman" w:hAnsi="Times New Roman" w:eastAsia="黑体"/>
          <w:b/>
          <w:sz w:val="28"/>
        </w:rPr>
        <w:t>3.3 本章小结</w:t>
      </w:r>
    </w:p>
    <w:p>
      <w:pPr>
        <w:spacing w:line="360" w:lineRule="auto" w:after="0"/>
        <w:ind w:firstLine="420"/>
      </w:pPr>
      <w:r>
        <w:rPr>
          <w:rFonts w:ascii="Times New Roman" w:hAnsi="Times New Roman" w:eastAsia="宋体"/>
          <w:sz w:val="24"/>
        </w:rPr>
        <w:t>本章从功能需求和非功能需求两个方面分析了系统要求，明确系统需要完成数据读取与转换、梯度计算、数据优化、GPU 计算管理和结果导出等功能，并需要满足性能、可复现性和可扩展性要求。在此基础上，本章给出了系统分层结构、模块划分、功能流程、界面设计和数据结构设计，为后续算法实现和实验验证提供系统基础。</w:t>
      </w:r>
    </w:p>
    <w:p>
      <w:r>
        <w:br w:type="page"/>
      </w:r>
    </w:p>
    <w:p>
      <w:pPr>
        <w:pStyle w:val="1"/>
        <w:spacing w:line="360" w:lineRule="auto" w:before="240" w:after="120"/>
        <w:jc w:val="center"/>
      </w:pPr>
      <w:r>
        <w:rPr>
          <w:rFonts w:ascii="Times New Roman" w:hAnsi="Times New Roman" w:eastAsia="黑体"/>
          <w:b/>
          <w:sz w:val="32"/>
        </w:rPr>
        <w:t>第四章 核心算法设计与实现</w:t>
      </w:r>
    </w:p>
    <w:p>
      <w:pPr>
        <w:pStyle w:val="2"/>
        <w:spacing w:line="360" w:lineRule="auto" w:before="120" w:after="120"/>
        <w:jc w:val="left"/>
      </w:pPr>
      <w:r>
        <w:rPr>
          <w:rFonts w:ascii="Times New Roman" w:hAnsi="Times New Roman" w:eastAsia="黑体"/>
          <w:b/>
          <w:sz w:val="28"/>
        </w:rPr>
        <w:t>4.1 核心算法实现概述</w:t>
      </w:r>
    </w:p>
    <w:p>
      <w:pPr>
        <w:spacing w:line="360" w:lineRule="auto" w:after="0"/>
        <w:ind w:firstLine="420"/>
      </w:pPr>
      <w:r>
        <w:rPr>
          <w:rFonts w:ascii="Times New Roman" w:hAnsi="Times New Roman" w:eastAsia="宋体"/>
          <w:sz w:val="24"/>
        </w:rPr>
        <w:t xml:space="preserve">本章在前述数据模型和系统设计基础上，说明核心预处理算法在系统中的实现方式。系统的核心算法包括两类：一类是梯度计算，用于从原始字段派生得到空间变化率；另一类是数据优化，用于对局部随机高频波动进行保边平滑处理。两类算法均以内部 </w:t>
      </w:r>
      <w:r>
        <w:rPr>
          <w:rFonts w:ascii="Consolas" w:hAnsi="Consolas" w:eastAsia="Consolas"/>
          <w:sz w:val="24"/>
        </w:rPr>
        <w:t>DataObject</w:t>
      </w:r>
      <w:r>
        <w:rPr>
          <w:rFonts w:ascii="Times New Roman" w:hAnsi="Times New Roman" w:eastAsia="宋体"/>
          <w:sz w:val="24"/>
        </w:rPr>
        <w:t xml:space="preserve"> 为数据来源，以新增字段数组为输出，并通过 OpenGL Compute Shader 在 GPU 端执行主要计算。</w:t>
      </w:r>
    </w:p>
    <w:p>
      <w:pPr>
        <w:spacing w:line="360" w:lineRule="auto" w:after="0"/>
        <w:ind w:firstLine="420"/>
      </w:pPr>
      <w:r>
        <w:rPr>
          <w:rFonts w:ascii="Times New Roman" w:hAnsi="Times New Roman" w:eastAsia="宋体"/>
          <w:sz w:val="24"/>
        </w:rPr>
        <w:t>核心算法的执行过程可概括为以下步骤：</w:t>
      </w:r>
    </w:p>
    <w:p>
      <w:pPr>
        <w:spacing w:line="360" w:lineRule="auto" w:after="0"/>
        <w:ind w:firstLine="420"/>
      </w:pPr>
      <w:r>
        <w:rPr>
          <w:rFonts w:ascii="Times New Roman" w:hAnsi="Times New Roman" w:eastAsia="宋体"/>
          <w:sz w:val="24"/>
        </w:rPr>
        <w:t>1. 从内部数据对象中读取点坐标、单元连接、字段数组和邻域关系；</w:t>
      </w:r>
    </w:p>
    <w:p>
      <w:pPr>
        <w:spacing w:line="360" w:lineRule="auto" w:after="0"/>
        <w:ind w:firstLine="420"/>
      </w:pPr>
      <w:r>
        <w:rPr>
          <w:rFonts w:ascii="Times New Roman" w:hAnsi="Times New Roman" w:eastAsia="宋体"/>
          <w:sz w:val="24"/>
        </w:rPr>
        <w:t>2. 根据网格类型和字段关联方式确定算法路径；</w:t>
      </w:r>
    </w:p>
    <w:p>
      <w:pPr>
        <w:spacing w:line="360" w:lineRule="auto" w:after="0"/>
        <w:ind w:firstLine="420"/>
      </w:pPr>
      <w:r>
        <w:rPr>
          <w:rFonts w:ascii="Times New Roman" w:hAnsi="Times New Roman" w:eastAsia="宋体"/>
          <w:sz w:val="24"/>
        </w:rPr>
        <w:t>3. 将输入数组和参数上传到 SSBO，并准备输出缓冲；</w:t>
      </w:r>
    </w:p>
    <w:p>
      <w:pPr>
        <w:spacing w:line="360" w:lineRule="auto" w:after="0"/>
        <w:ind w:firstLine="420"/>
      </w:pPr>
      <w:r>
        <w:rPr>
          <w:rFonts w:ascii="Times New Roman" w:hAnsi="Times New Roman" w:eastAsia="宋体"/>
          <w:sz w:val="24"/>
        </w:rPr>
        <w:t>4. 调度计算着色器并行处理采样对象；</w:t>
      </w:r>
    </w:p>
    <w:p>
      <w:pPr>
        <w:spacing w:line="360" w:lineRule="auto" w:after="0"/>
        <w:ind w:firstLine="420"/>
      </w:pPr>
      <w:r>
        <w:rPr>
          <w:rFonts w:ascii="Times New Roman" w:hAnsi="Times New Roman" w:eastAsia="宋体"/>
          <w:sz w:val="24"/>
        </w:rPr>
        <w:t>5. 将 GPU 端输出读回 CPU 侧；</w:t>
      </w:r>
    </w:p>
    <w:p>
      <w:pPr>
        <w:spacing w:line="360" w:lineRule="auto" w:after="0"/>
        <w:ind w:firstLine="420"/>
      </w:pPr>
      <w:r>
        <w:rPr>
          <w:rFonts w:ascii="Times New Roman" w:hAnsi="Times New Roman" w:eastAsia="宋体"/>
          <w:sz w:val="24"/>
        </w:rPr>
        <w:t xml:space="preserve">6. 按字段名称、分量数和关联方式写回 </w:t>
      </w:r>
      <w:r>
        <w:rPr>
          <w:rFonts w:ascii="Consolas" w:hAnsi="Consolas" w:eastAsia="Consolas"/>
          <w:sz w:val="24"/>
        </w:rPr>
        <w:t>dataArrays</w:t>
      </w:r>
      <w:r>
        <w:rPr>
          <w:rFonts w:ascii="Times New Roman" w:hAnsi="Times New Roman" w:eastAsia="宋体"/>
          <w:sz w:val="24"/>
        </w:rPr>
        <w:t>。</w:t>
      </w:r>
    </w:p>
    <w:p>
      <w:pPr>
        <w:spacing w:line="360" w:lineRule="auto" w:after="0"/>
        <w:ind w:firstLine="420"/>
      </w:pPr>
      <w:r>
        <w:rPr>
          <w:rFonts w:ascii="Times New Roman" w:hAnsi="Times New Roman" w:eastAsia="宋体"/>
          <w:sz w:val="24"/>
        </w:rPr>
        <w:t>当计算方式设置为自动选择时，系统根据网格类型选择结构化网格有限差分路径或非结构化网格形函数导数路径。数据优化则根据字段关联方式选择点邻域或单元邻域。上述调度逻辑用于选择计算路径，具体数值计算由相应的着色器程序完成。</w:t>
      </w:r>
    </w:p>
    <w:p>
      <w:pPr>
        <w:spacing w:line="360" w:lineRule="auto" w:after="0"/>
        <w:ind w:firstLine="420"/>
      </w:pPr>
      <w:r>
        <w:rPr>
          <w:rFonts w:ascii="Times New Roman" w:hAnsi="Times New Roman" w:eastAsia="宋体"/>
          <w:sz w:val="24"/>
        </w:rPr>
        <w:t>从数据组织角度看，梯度计算和数据优化共享点坐标、单元中心、字段数组和邻域数组等基础数据，但二者的输出语义不同。梯度计算输出导数字段，输出分量数通常为输入分量数的三倍；数据优化输出平滑或融合后的字段，输出分量数通常与输入字段保持一致。因此，结果写回阶段需要同时保存字段关联方式和分量数，使导出的 VTK 文件能够正确表达字段含义。</w:t>
      </w:r>
    </w:p>
    <w:p>
      <w:pPr>
        <w:spacing w:line="360" w:lineRule="auto" w:after="0"/>
        <w:ind w:firstLine="420"/>
      </w:pPr>
      <w:r>
        <w:rPr>
          <w:rFonts w:ascii="Times New Roman" w:hAnsi="Times New Roman" w:eastAsia="宋体"/>
          <w:sz w:val="24"/>
        </w:rPr>
        <w:t>GPU 算法实现通常需要结合算法的计算特征和访存特征组织并行流程。相关研究在图像处理和卷积类算法中均强调，不同算法的数据访问规律、局部数据复用方式和中间结果传输方式会直接影响 GPU 实现策略[23][24]。本文核心算法面向 CAE 网格字段，也需要区分规则访问、不规则拓扑访问和多轮邻域遍历等情况。表 4-1 给出了本文各类核心算法的实现特征。</w:t>
      </w:r>
    </w:p>
    <w:p>
      <w:pPr>
        <w:spacing w:line="240" w:lineRule="auto" w:before="80" w:after="80"/>
        <w:ind w:firstLine="0"/>
        <w:jc w:val="center"/>
      </w:pPr>
      <w:r>
        <w:rPr>
          <w:rFonts w:ascii="Times New Roman" w:hAnsi="Times New Roman" w:eastAsia="宋体"/>
          <w:sz w:val="21"/>
        </w:rPr>
        <w:t>表 4-1 核心算法实现特征</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算法</w:t>
            </w:r>
          </w:p>
        </w:tc>
        <w:tc>
          <w:tcPr>
            <w:tcW w:type="dxa" w:w="2197"/>
            <w:vAlign w:val="center"/>
          </w:tcPr>
          <w:p>
            <w:pPr>
              <w:spacing w:line="240" w:lineRule="auto"/>
              <w:jc w:val="center"/>
            </w:pPr>
            <w:r>
              <w:rPr>
                <w:rFonts w:ascii="Times New Roman" w:hAnsi="Times New Roman" w:eastAsia="宋体"/>
                <w:b/>
                <w:sz w:val="21"/>
              </w:rPr>
              <w:t>计算对象</w:t>
            </w:r>
          </w:p>
        </w:tc>
        <w:tc>
          <w:tcPr>
            <w:tcW w:type="dxa" w:w="2197"/>
            <w:vAlign w:val="center"/>
          </w:tcPr>
          <w:p>
            <w:pPr>
              <w:spacing w:line="240" w:lineRule="auto"/>
              <w:jc w:val="center"/>
            </w:pPr>
            <w:r>
              <w:rPr>
                <w:rFonts w:ascii="Times New Roman" w:hAnsi="Times New Roman" w:eastAsia="宋体"/>
                <w:b/>
                <w:sz w:val="21"/>
              </w:rPr>
              <w:t>访存特点</w:t>
            </w:r>
          </w:p>
        </w:tc>
        <w:tc>
          <w:tcPr>
            <w:tcW w:type="dxa" w:w="2197"/>
            <w:vAlign w:val="center"/>
          </w:tcPr>
          <w:p>
            <w:pPr>
              <w:spacing w:line="240" w:lineRule="auto"/>
              <w:jc w:val="center"/>
            </w:pPr>
            <w:r>
              <w:rPr>
                <w:rFonts w:ascii="Times New Roman" w:hAnsi="Times New Roman" w:eastAsia="宋体"/>
                <w:b/>
                <w:sz w:val="21"/>
              </w:rPr>
              <w:t>GPU 实现关注点</w:t>
            </w:r>
          </w:p>
        </w:tc>
      </w:tr>
      <w:tr>
        <w:tc>
          <w:tcPr>
            <w:tcW w:type="dxa" w:w="2197"/>
            <w:vAlign w:val="center"/>
          </w:tcPr>
          <w:p>
            <w:pPr>
              <w:spacing w:line="240" w:lineRule="auto"/>
              <w:jc w:val="center"/>
            </w:pPr>
            <w:r>
              <w:rPr>
                <w:rFonts w:ascii="Times New Roman" w:hAnsi="Times New Roman" w:eastAsia="宋体"/>
                <w:b w:val="0"/>
                <w:sz w:val="21"/>
              </w:rPr>
              <w:t>结构化网格有限差分</w:t>
            </w:r>
          </w:p>
        </w:tc>
        <w:tc>
          <w:tcPr>
            <w:tcW w:type="dxa" w:w="2197"/>
            <w:vAlign w:val="center"/>
          </w:tcPr>
          <w:p>
            <w:pPr>
              <w:spacing w:line="240" w:lineRule="auto"/>
              <w:jc w:val="center"/>
            </w:pPr>
            <w:r>
              <w:rPr>
                <w:rFonts w:ascii="Times New Roman" w:hAnsi="Times New Roman" w:eastAsia="宋体"/>
                <w:b w:val="0"/>
                <w:sz w:val="21"/>
              </w:rPr>
              <w:t>点或单元</w:t>
            </w:r>
          </w:p>
        </w:tc>
        <w:tc>
          <w:tcPr>
            <w:tcW w:type="dxa" w:w="2197"/>
            <w:vAlign w:val="center"/>
          </w:tcPr>
          <w:p>
            <w:pPr>
              <w:spacing w:line="240" w:lineRule="auto"/>
              <w:jc w:val="center"/>
            </w:pPr>
            <w:r>
              <w:rPr>
                <w:rFonts w:ascii="Times New Roman" w:hAnsi="Times New Roman" w:eastAsia="宋体"/>
                <w:b w:val="0"/>
                <w:sz w:val="21"/>
              </w:rPr>
              <w:t>隐式邻域访问</w:t>
            </w:r>
          </w:p>
        </w:tc>
        <w:tc>
          <w:tcPr>
            <w:tcW w:type="dxa" w:w="2197"/>
            <w:vAlign w:val="center"/>
          </w:tcPr>
          <w:p>
            <w:pPr>
              <w:spacing w:line="240" w:lineRule="auto"/>
              <w:jc w:val="center"/>
            </w:pPr>
            <w:r>
              <w:rPr>
                <w:rFonts w:ascii="Times New Roman" w:hAnsi="Times New Roman" w:eastAsia="宋体"/>
                <w:b w:val="0"/>
                <w:sz w:val="21"/>
              </w:rPr>
              <w:t>线性索引、连续数组、边界处理</w:t>
            </w:r>
          </w:p>
        </w:tc>
      </w:tr>
      <w:tr>
        <w:tc>
          <w:tcPr>
            <w:tcW w:type="dxa" w:w="2197"/>
            <w:vAlign w:val="center"/>
          </w:tcPr>
          <w:p>
            <w:pPr>
              <w:spacing w:line="240" w:lineRule="auto"/>
              <w:jc w:val="center"/>
            </w:pPr>
            <w:r>
              <w:rPr>
                <w:rFonts w:ascii="Times New Roman" w:hAnsi="Times New Roman" w:eastAsia="宋体"/>
                <w:b w:val="0"/>
                <w:sz w:val="21"/>
              </w:rPr>
              <w:t>非结构化形函数导数</w:t>
            </w:r>
          </w:p>
        </w:tc>
        <w:tc>
          <w:tcPr>
            <w:tcW w:type="dxa" w:w="2197"/>
            <w:vAlign w:val="center"/>
          </w:tcPr>
          <w:p>
            <w:pPr>
              <w:spacing w:line="240" w:lineRule="auto"/>
              <w:jc w:val="center"/>
            </w:pPr>
            <w:r>
              <w:rPr>
                <w:rFonts w:ascii="Times New Roman" w:hAnsi="Times New Roman" w:eastAsia="宋体"/>
                <w:b w:val="0"/>
                <w:sz w:val="21"/>
              </w:rPr>
              <w:t>点或单元</w:t>
            </w:r>
          </w:p>
        </w:tc>
        <w:tc>
          <w:tcPr>
            <w:tcW w:type="dxa" w:w="2197"/>
            <w:vAlign w:val="center"/>
          </w:tcPr>
          <w:p>
            <w:pPr>
              <w:spacing w:line="240" w:lineRule="auto"/>
              <w:jc w:val="center"/>
            </w:pPr>
            <w:r>
              <w:rPr>
                <w:rFonts w:ascii="Times New Roman" w:hAnsi="Times New Roman" w:eastAsia="宋体"/>
                <w:b w:val="0"/>
                <w:sz w:val="21"/>
              </w:rPr>
              <w:t>不规则单元连接访问</w:t>
            </w:r>
          </w:p>
        </w:tc>
        <w:tc>
          <w:tcPr>
            <w:tcW w:type="dxa" w:w="2197"/>
            <w:vAlign w:val="center"/>
          </w:tcPr>
          <w:p>
            <w:pPr>
              <w:spacing w:line="240" w:lineRule="auto"/>
              <w:jc w:val="center"/>
            </w:pPr>
            <w:r>
              <w:rPr>
                <w:rFonts w:ascii="Times New Roman" w:hAnsi="Times New Roman" w:eastAsia="宋体"/>
                <w:b w:val="0"/>
                <w:sz w:val="21"/>
              </w:rPr>
              <w:t>offset 数组、单元类型分支、几何映射有效性</w:t>
            </w:r>
          </w:p>
        </w:tc>
      </w:tr>
      <w:tr>
        <w:tc>
          <w:tcPr>
            <w:tcW w:type="dxa" w:w="2197"/>
            <w:vAlign w:val="center"/>
          </w:tcPr>
          <w:p>
            <w:pPr>
              <w:spacing w:line="240" w:lineRule="auto"/>
              <w:jc w:val="center"/>
            </w:pPr>
            <w:r>
              <w:rPr>
                <w:rFonts w:ascii="Times New Roman" w:hAnsi="Times New Roman" w:eastAsia="宋体"/>
                <w:b w:val="0"/>
                <w:sz w:val="21"/>
              </w:rPr>
              <w:t>图双边滤波</w:t>
            </w:r>
          </w:p>
        </w:tc>
        <w:tc>
          <w:tcPr>
            <w:tcW w:type="dxa" w:w="2197"/>
            <w:vAlign w:val="center"/>
          </w:tcPr>
          <w:p>
            <w:pPr>
              <w:spacing w:line="240" w:lineRule="auto"/>
              <w:jc w:val="center"/>
            </w:pPr>
            <w:r>
              <w:rPr>
                <w:rFonts w:ascii="Times New Roman" w:hAnsi="Times New Roman" w:eastAsia="宋体"/>
                <w:b w:val="0"/>
                <w:sz w:val="21"/>
              </w:rPr>
              <w:t>点邻域或单元邻域</w:t>
            </w:r>
          </w:p>
        </w:tc>
        <w:tc>
          <w:tcPr>
            <w:tcW w:type="dxa" w:w="2197"/>
            <w:vAlign w:val="center"/>
          </w:tcPr>
          <w:p>
            <w:pPr>
              <w:spacing w:line="240" w:lineRule="auto"/>
              <w:jc w:val="center"/>
            </w:pPr>
            <w:r>
              <w:rPr>
                <w:rFonts w:ascii="Times New Roman" w:hAnsi="Times New Roman" w:eastAsia="宋体"/>
                <w:b w:val="0"/>
                <w:sz w:val="21"/>
              </w:rPr>
              <w:t>邻域遍历和值域权重计算</w:t>
            </w:r>
          </w:p>
        </w:tc>
        <w:tc>
          <w:tcPr>
            <w:tcW w:type="dxa" w:w="2197"/>
            <w:vAlign w:val="center"/>
          </w:tcPr>
          <w:p>
            <w:pPr>
              <w:spacing w:line="240" w:lineRule="auto"/>
              <w:jc w:val="center"/>
            </w:pPr>
            <w:r>
              <w:rPr>
                <w:rFonts w:ascii="Times New Roman" w:hAnsi="Times New Roman" w:eastAsia="宋体"/>
                <w:b w:val="0"/>
                <w:sz w:val="21"/>
              </w:rPr>
              <w:t>CSR 邻域、字段关联方式、邻域范围</w:t>
            </w:r>
          </w:p>
        </w:tc>
      </w:tr>
      <w:tr>
        <w:tc>
          <w:tcPr>
            <w:tcW w:type="dxa" w:w="2197"/>
            <w:vAlign w:val="center"/>
          </w:tcPr>
          <w:p>
            <w:pPr>
              <w:spacing w:line="240" w:lineRule="auto"/>
              <w:jc w:val="center"/>
            </w:pPr>
            <w:r>
              <w:rPr>
                <w:rFonts w:ascii="Times New Roman" w:hAnsi="Times New Roman" w:eastAsia="宋体"/>
                <w:b w:val="0"/>
                <w:sz w:val="21"/>
              </w:rPr>
              <w:t>多尺度融合</w:t>
            </w:r>
          </w:p>
        </w:tc>
        <w:tc>
          <w:tcPr>
            <w:tcW w:type="dxa" w:w="2197"/>
            <w:vAlign w:val="center"/>
          </w:tcPr>
          <w:p>
            <w:pPr>
              <w:spacing w:line="240" w:lineRule="auto"/>
              <w:jc w:val="center"/>
            </w:pPr>
            <w:r>
              <w:rPr>
                <w:rFonts w:ascii="Times New Roman" w:hAnsi="Times New Roman" w:eastAsia="宋体"/>
                <w:b w:val="0"/>
                <w:sz w:val="21"/>
              </w:rPr>
              <w:t>字段数组</w:t>
            </w:r>
          </w:p>
        </w:tc>
        <w:tc>
          <w:tcPr>
            <w:tcW w:type="dxa" w:w="2197"/>
            <w:vAlign w:val="center"/>
          </w:tcPr>
          <w:p>
            <w:pPr>
              <w:spacing w:line="240" w:lineRule="auto"/>
              <w:jc w:val="center"/>
            </w:pPr>
            <w:r>
              <w:rPr>
                <w:rFonts w:ascii="Times New Roman" w:hAnsi="Times New Roman" w:eastAsia="宋体"/>
                <w:b w:val="0"/>
                <w:sz w:val="21"/>
              </w:rPr>
              <w:t>多轮中间结果读写</w:t>
            </w:r>
          </w:p>
        </w:tc>
        <w:tc>
          <w:tcPr>
            <w:tcW w:type="dxa" w:w="2197"/>
            <w:vAlign w:val="center"/>
          </w:tcPr>
          <w:p>
            <w:pPr>
              <w:spacing w:line="240" w:lineRule="auto"/>
              <w:jc w:val="center"/>
            </w:pPr>
            <w:r>
              <w:rPr>
                <w:rFonts w:ascii="Times New Roman" w:hAnsi="Times New Roman" w:eastAsia="宋体"/>
                <w:b w:val="0"/>
                <w:sz w:val="21"/>
              </w:rPr>
              <w:t>中间数组组织、细节层权重、分量布局</w:t>
            </w:r>
          </w:p>
        </w:tc>
      </w:tr>
    </w:tbl>
    <w:p/>
    <w:p>
      <w:pPr>
        <w:pStyle w:val="2"/>
        <w:spacing w:line="360" w:lineRule="auto" w:before="120" w:after="120"/>
        <w:jc w:val="left"/>
      </w:pPr>
      <w:r>
        <w:rPr>
          <w:rFonts w:ascii="Times New Roman" w:hAnsi="Times New Roman" w:eastAsia="黑体"/>
          <w:b/>
          <w:sz w:val="28"/>
        </w:rPr>
        <w:t>4.2 结构化网格有限差分梯度计算</w:t>
      </w:r>
    </w:p>
    <w:p>
      <w:pPr>
        <w:spacing w:line="360" w:lineRule="auto" w:after="0"/>
        <w:ind w:firstLine="420"/>
      </w:pPr>
      <w:r>
        <w:rPr>
          <w:rFonts w:ascii="Times New Roman" w:hAnsi="Times New Roman" w:eastAsia="宋体"/>
          <w:sz w:val="24"/>
        </w:rPr>
        <w:t xml:space="preserve">结构化网格具有明确的逻辑维度，点或单元之间的相邻关系可由索引直接恢复。系统在结构化网格路径中采用有限差分法计算参数空间导数，再结合坐标映射恢复物理空间梯度。该路径对应 </w:t>
      </w:r>
      <w:r>
        <w:rPr>
          <w:rFonts w:ascii="Consolas" w:hAnsi="Consolas" w:eastAsia="Consolas"/>
          <w:sz w:val="24"/>
        </w:rPr>
        <w:t>GLGradientEngine::computeRegularFD</w:t>
      </w:r>
      <w:r>
        <w:rPr>
          <w:rFonts w:ascii="Times New Roman" w:hAnsi="Times New Roman" w:eastAsia="宋体"/>
          <w:sz w:val="24"/>
        </w:rPr>
        <w:t xml:space="preserve"> 和 </w:t>
      </w:r>
      <w:r>
        <w:rPr>
          <w:rFonts w:ascii="Consolas" w:hAnsi="Consolas" w:eastAsia="Consolas"/>
          <w:sz w:val="24"/>
        </w:rPr>
        <w:t>FD.glsl</w:t>
      </w:r>
      <w:r>
        <w:rPr>
          <w:rFonts w:ascii="Times New Roman" w:hAnsi="Times New Roman" w:eastAsia="宋体"/>
          <w:sz w:val="24"/>
        </w:rPr>
        <w:t>。</w:t>
      </w:r>
    </w:p>
    <w:p>
      <w:pPr>
        <w:pStyle w:val="3"/>
        <w:spacing w:line="360" w:lineRule="auto" w:before="120" w:after="120"/>
        <w:jc w:val="left"/>
      </w:pPr>
      <w:r>
        <w:rPr>
          <w:rFonts w:ascii="Times New Roman" w:hAnsi="Times New Roman" w:eastAsia="黑体"/>
          <w:b/>
          <w:sz w:val="24"/>
        </w:rPr>
        <w:t>4.2.1 输入数据与索引组织</w:t>
      </w:r>
    </w:p>
    <w:p>
      <w:pPr>
        <w:spacing w:line="360" w:lineRule="auto" w:after="0"/>
        <w:ind w:firstLine="420"/>
      </w:pPr>
      <w:r>
        <w:rPr>
          <w:rFonts w:ascii="Times New Roman" w:hAnsi="Times New Roman" w:eastAsia="宋体"/>
          <w:sz w:val="24"/>
        </w:rPr>
        <w:t xml:space="preserve">结构化网格有限差分路径的输入包括采样位置数组、字段值数组、网格维度和输出缓冲区。对于点数据，采样位置为网格节点，维度为 </w:t>
      </w:r>
      <w:r>
        <w:rPr>
          <w:rFonts w:ascii="Consolas" w:hAnsi="Consolas" w:eastAsia="Consolas"/>
          <w:sz w:val="24"/>
        </w:rPr>
        <w:t>(nx, ny, nz)</w:t>
      </w:r>
      <w:r>
        <w:rPr>
          <w:rFonts w:ascii="Times New Roman" w:hAnsi="Times New Roman" w:eastAsia="宋体"/>
          <w:sz w:val="24"/>
        </w:rPr>
        <w:t xml:space="preserve">；对于单元数据，采样位置为单元中心，维度为 </w:t>
      </w:r>
      <w:r>
        <w:rPr>
          <w:rFonts w:ascii="Consolas" w:hAnsi="Consolas" w:eastAsia="Consolas"/>
          <w:sz w:val="24"/>
        </w:rPr>
        <w:t>(nx-1, ny-1, nz-1)</w:t>
      </w:r>
      <w:r>
        <w:rPr>
          <w:rFonts w:ascii="Times New Roman" w:hAnsi="Times New Roman" w:eastAsia="宋体"/>
          <w:sz w:val="24"/>
        </w:rPr>
        <w:t xml:space="preserve">。系统在 GPU 计算前根据字段关联方式选择 </w:t>
      </w:r>
      <w:r>
        <w:rPr>
          <w:rFonts w:ascii="Consolas" w:hAnsi="Consolas" w:eastAsia="Consolas"/>
          <w:sz w:val="24"/>
        </w:rPr>
        <w:t>points</w:t>
      </w:r>
      <w:r>
        <w:rPr>
          <w:rFonts w:ascii="Times New Roman" w:hAnsi="Times New Roman" w:eastAsia="宋体"/>
          <w:sz w:val="24"/>
        </w:rPr>
        <w:t xml:space="preserve"> 或 </w:t>
      </w:r>
      <w:r>
        <w:rPr>
          <w:rFonts w:ascii="Consolas" w:hAnsi="Consolas" w:eastAsia="Consolas"/>
          <w:sz w:val="24"/>
        </w:rPr>
        <w:t>cellCenters</w:t>
      </w:r>
      <w:r>
        <w:rPr>
          <w:rFonts w:ascii="Times New Roman" w:hAnsi="Times New Roman" w:eastAsia="宋体"/>
          <w:sz w:val="24"/>
        </w:rPr>
        <w:t xml:space="preserve"> 作为位置数组。</w:t>
      </w:r>
    </w:p>
    <w:p>
      <w:pPr>
        <w:spacing w:line="360" w:lineRule="auto" w:after="0"/>
        <w:ind w:firstLine="420"/>
      </w:pPr>
      <w:r>
        <w:rPr>
          <w:rFonts w:ascii="Times New Roman" w:hAnsi="Times New Roman" w:eastAsia="宋体"/>
          <w:sz w:val="24"/>
        </w:rPr>
        <w:t xml:space="preserve">设结构化网格维度为 </w:t>
      </w:r>
      <w:r>
        <w:rPr>
          <w:rFonts w:ascii="Consolas" w:hAnsi="Consolas" w:eastAsia="Consolas"/>
          <w:sz w:val="24"/>
        </w:rPr>
        <w:t>(nx, ny, nz)</w:t>
      </w:r>
      <w:r>
        <w:rPr>
          <w:rFonts w:ascii="Times New Roman" w:hAnsi="Times New Roman" w:eastAsia="宋体"/>
          <w:sz w:val="24"/>
        </w:rPr>
        <w:t xml:space="preserve">，线性索引为 </w:t>
      </w:r>
      <w:r>
        <w:rPr>
          <w:rFonts w:ascii="Consolas" w:hAnsi="Consolas" w:eastAsia="Consolas"/>
          <w:sz w:val="24"/>
        </w:rPr>
        <w:t>i</w:t>
      </w:r>
      <w:r>
        <w:rPr>
          <w:rFonts w:ascii="Times New Roman" w:hAnsi="Times New Roman" w:eastAsia="宋体"/>
          <w:sz w:val="24"/>
        </w:rPr>
        <w:t>，则三维逻辑索引恢复为</w:t>
      </w:r>
    </w:p>
    <w:p>
      <w:pPr>
        <w:spacing w:line="240" w:lineRule="auto" w:before="80" w:after="80"/>
        <w:ind w:firstLine="0"/>
        <w:jc w:val="center"/>
      </w:pPr>
      <w:r>
        <w:rPr>
          <w:rFonts w:ascii="Cambria Math" w:hAnsi="Cambria Math" w:eastAsia="Cambria Math"/>
          <w:sz w:val="22"/>
        </w:rPr>
        <w:t>i_x=i \bmod n_x</w:t>
      </w:r>
    </w:p>
    <w:p>
      <w:pPr>
        <w:spacing w:line="240" w:lineRule="auto" w:before="80" w:after="80"/>
        <w:ind w:firstLine="0"/>
        <w:jc w:val="center"/>
      </w:pPr>
      <w:r>
        <w:rPr>
          <w:rFonts w:ascii="Cambria Math" w:hAnsi="Cambria Math" w:eastAsia="Cambria Math"/>
          <w:sz w:val="22"/>
        </w:rPr>
        <w:t>i_y=\lfloor i/n_x \rfloor \bmod n_y</w:t>
      </w:r>
    </w:p>
    <w:p>
      <w:pPr>
        <w:spacing w:line="240" w:lineRule="auto" w:before="80" w:after="80"/>
        <w:ind w:firstLine="0"/>
        <w:jc w:val="center"/>
      </w:pPr>
      <w:r>
        <w:rPr>
          <w:rFonts w:ascii="Cambria Math" w:hAnsi="Cambria Math" w:eastAsia="Cambria Math"/>
          <w:sz w:val="22"/>
        </w:rPr>
        <w:t>i_z=\lfloor i/(n_x n_y) \rfloor</w:t>
      </w:r>
    </w:p>
    <w:p>
      <w:pPr>
        <w:spacing w:line="360" w:lineRule="auto" w:after="0"/>
        <w:ind w:firstLine="420"/>
      </w:pPr>
      <w:r>
        <w:rPr>
          <w:rFonts w:ascii="Times New Roman" w:hAnsi="Times New Roman" w:eastAsia="宋体"/>
          <w:sz w:val="24"/>
        </w:rPr>
        <w:t>计算着色器中的每个线程对应一个采样对象。线程根据全局调用编号确定线性索引，再由上述关系恢复三维逻辑索引，并访问相邻点或相邻单元。由于邻域由维度隐式确定，结构化网格梯度计算无需额外上传邻接表。</w:t>
      </w:r>
    </w:p>
    <w:p>
      <w:pPr>
        <w:spacing w:line="360" w:lineRule="auto" w:after="0"/>
        <w:ind w:firstLine="420"/>
      </w:pPr>
      <w:r>
        <w:rPr>
          <w:rFonts w:ascii="Times New Roman" w:hAnsi="Times New Roman" w:eastAsia="宋体"/>
          <w:sz w:val="24"/>
        </w:rPr>
        <w:t xml:space="preserve">字段数组连续存储。若字段分量数为 </w:t>
      </w:r>
      <w:r>
        <w:rPr>
          <w:rFonts w:ascii="Consolas" w:hAnsi="Consolas" w:eastAsia="Consolas"/>
          <w:sz w:val="24"/>
        </w:rPr>
        <w:t>m</w:t>
      </w:r>
      <w:r>
        <w:rPr>
          <w:rFonts w:ascii="Times New Roman" w:hAnsi="Times New Roman" w:eastAsia="宋体"/>
          <w:sz w:val="24"/>
        </w:rPr>
        <w:t xml:space="preserve">，第 </w:t>
      </w:r>
      <w:r>
        <w:rPr>
          <w:rFonts w:ascii="Consolas" w:hAnsi="Consolas" w:eastAsia="Consolas"/>
          <w:sz w:val="24"/>
        </w:rPr>
        <w:t>i</w:t>
      </w:r>
      <w:r>
        <w:rPr>
          <w:rFonts w:ascii="Times New Roman" w:hAnsi="Times New Roman" w:eastAsia="宋体"/>
          <w:sz w:val="24"/>
        </w:rPr>
        <w:t xml:space="preserve"> 个采样对象第 </w:t>
      </w:r>
      <w:r>
        <w:rPr>
          <w:rFonts w:ascii="Consolas" w:hAnsi="Consolas" w:eastAsia="Consolas"/>
          <w:sz w:val="24"/>
        </w:rPr>
        <w:t>c</w:t>
      </w:r>
      <w:r>
        <w:rPr>
          <w:rFonts w:ascii="Times New Roman" w:hAnsi="Times New Roman" w:eastAsia="宋体"/>
          <w:sz w:val="24"/>
        </w:rPr>
        <w:t xml:space="preserve"> 个分量的值位于 </w:t>
      </w:r>
      <w:r>
        <w:rPr>
          <w:rFonts w:ascii="Consolas" w:hAnsi="Consolas" w:eastAsia="Consolas"/>
          <w:sz w:val="24"/>
        </w:rPr>
        <w:t>values[i*m+c]</w:t>
      </w:r>
      <w:r>
        <w:rPr>
          <w:rFonts w:ascii="Times New Roman" w:hAnsi="Times New Roman" w:eastAsia="宋体"/>
          <w:sz w:val="24"/>
        </w:rPr>
        <w:t xml:space="preserve">。梯度输出按每个输入分量对应三个空间方向导数的方式排列，因此输出数组长度为 </w:t>
      </w:r>
      <w:r>
        <w:rPr>
          <w:rFonts w:ascii="Consolas" w:hAnsi="Consolas" w:eastAsia="Consolas"/>
          <w:sz w:val="24"/>
        </w:rPr>
        <w:t>sampleCount * 3 * m</w:t>
      </w:r>
      <w:r>
        <w:rPr>
          <w:rFonts w:ascii="Times New Roman" w:hAnsi="Times New Roman" w:eastAsia="宋体"/>
          <w:sz w:val="24"/>
        </w:rPr>
        <w:t>。</w:t>
      </w:r>
    </w:p>
    <w:p>
      <w:pPr>
        <w:pStyle w:val="3"/>
        <w:spacing w:line="360" w:lineRule="auto" w:before="120" w:after="120"/>
        <w:jc w:val="left"/>
      </w:pPr>
      <w:r>
        <w:rPr>
          <w:rFonts w:ascii="Times New Roman" w:hAnsi="Times New Roman" w:eastAsia="黑体"/>
          <w:b/>
          <w:sz w:val="24"/>
        </w:rPr>
        <w:t>4.2.2 点数据梯度计算</w:t>
      </w:r>
    </w:p>
    <w:p>
      <w:pPr>
        <w:spacing w:line="360" w:lineRule="auto" w:after="0"/>
        <w:ind w:firstLine="420"/>
      </w:pPr>
      <w:r>
        <w:rPr>
          <w:rFonts w:ascii="Times New Roman" w:hAnsi="Times New Roman" w:eastAsia="宋体"/>
          <w:sz w:val="24"/>
        </w:rPr>
        <w:t xml:space="preserve">结构化网格点数据定义在网格节点上。对于标量场 </w:t>
      </w:r>
      <w:r>
        <w:rPr>
          <w:rFonts w:ascii="Consolas" w:hAnsi="Consolas" w:eastAsia="Consolas"/>
          <w:sz w:val="24"/>
        </w:rPr>
        <w:t>u</w:t>
      </w:r>
      <w:r>
        <w:rPr>
          <w:rFonts w:ascii="Times New Roman" w:hAnsi="Times New Roman" w:eastAsia="宋体"/>
          <w:sz w:val="24"/>
        </w:rPr>
        <w:t>，系统在逻辑方向上访问相邻节点并计算差分。内部节点采用中心差分，例如</w:t>
      </w:r>
    </w:p>
    <w:p>
      <w:pPr>
        <w:spacing w:line="240" w:lineRule="auto" w:before="80" w:after="80"/>
        <w:ind w:firstLine="0"/>
        <w:jc w:val="center"/>
      </w:pPr>
      <w:r>
        <w:rPr>
          <w:rFonts w:ascii="Cambria Math" w:hAnsi="Cambria Math" w:eastAsia="Cambria Math"/>
          <w:sz w:val="22"/>
        </w:rPr>
        <w:t>u_ξ(i,j,k) = (u_i+1,j,k-u_i-1,j,k)/2</w:t>
      </w:r>
    </w:p>
    <w:p>
      <w:pPr>
        <w:spacing w:line="240" w:lineRule="auto" w:before="80" w:after="80"/>
        <w:ind w:firstLine="0"/>
        <w:jc w:val="center"/>
      </w:pPr>
      <w:r>
        <w:rPr>
          <w:rFonts w:ascii="Cambria Math" w:hAnsi="Cambria Math" w:eastAsia="Cambria Math"/>
          <w:sz w:val="22"/>
        </w:rPr>
        <w:t>u_η(i,j,k) = (u_i,j+1,k-u_i,j-1,k)/2</w:t>
      </w:r>
    </w:p>
    <w:p>
      <w:pPr>
        <w:spacing w:line="240" w:lineRule="auto" w:before="80" w:after="80"/>
        <w:ind w:firstLine="0"/>
        <w:jc w:val="center"/>
      </w:pPr>
      <w:r>
        <w:rPr>
          <w:rFonts w:ascii="Cambria Math" w:hAnsi="Cambria Math" w:eastAsia="Cambria Math"/>
          <w:sz w:val="22"/>
        </w:rPr>
        <w:t>u_ζ(i,j,k) = (u_i,j,k+1-u_i,j,k-1)/2</w:t>
      </w:r>
    </w:p>
    <w:p>
      <w:pPr>
        <w:spacing w:line="360" w:lineRule="auto" w:after="0"/>
        <w:ind w:firstLine="420"/>
      </w:pPr>
      <w:r>
        <w:rPr>
          <w:rFonts w:ascii="Times New Roman" w:hAnsi="Times New Roman" w:eastAsia="宋体"/>
          <w:sz w:val="24"/>
        </w:rPr>
        <w:t>边界节点缺少一侧相邻样本时采用单边差分。以左边界为例：</w:t>
      </w:r>
    </w:p>
    <w:p>
      <w:pPr>
        <w:spacing w:line="240" w:lineRule="auto" w:before="80" w:after="80"/>
        <w:ind w:firstLine="0"/>
        <w:jc w:val="center"/>
      </w:pPr>
      <w:r>
        <w:rPr>
          <w:rFonts w:ascii="Cambria Math" w:hAnsi="Cambria Math" w:eastAsia="Cambria Math"/>
          <w:sz w:val="22"/>
        </w:rPr>
        <w:t>u_ξ(0,j,k)=u_1,j,k-u_0,j,k</w:t>
      </w:r>
    </w:p>
    <w:p>
      <w:pPr>
        <w:spacing w:line="360" w:lineRule="auto" w:after="0"/>
        <w:ind w:firstLine="420"/>
      </w:pPr>
      <w:r>
        <w:rPr>
          <w:rFonts w:ascii="Times New Roman" w:hAnsi="Times New Roman" w:eastAsia="宋体"/>
          <w:sz w:val="24"/>
        </w:rPr>
        <w:t xml:space="preserve">差分得到的是逻辑空间导数。对于非均匀网格或曲线网格，还需要根据节点坐标计算局部坐标映射关系。设从逻辑坐标到物理坐标的 Jacobian 为 </w:t>
      </w:r>
      <w:r>
        <w:rPr>
          <w:rFonts w:ascii="Consolas" w:hAnsi="Consolas" w:eastAsia="Consolas"/>
          <w:sz w:val="24"/>
        </w:rPr>
        <w:t>J</w:t>
      </w:r>
      <w:r>
        <w:rPr>
          <w:rFonts w:ascii="Times New Roman" w:hAnsi="Times New Roman" w:eastAsia="宋体"/>
          <w:sz w:val="24"/>
        </w:rPr>
        <w:t>，则物理空间梯度按下式恢复：</w:t>
      </w:r>
    </w:p>
    <w:p>
      <w:pPr>
        <w:spacing w:line="240" w:lineRule="auto" w:before="80" w:after="80"/>
        <w:ind w:firstLine="0"/>
        <w:jc w:val="center"/>
      </w:pPr>
      <w:r>
        <w:rPr>
          <w:rFonts w:ascii="Cambria Math" w:hAnsi="Cambria Math" w:eastAsia="Cambria Math"/>
          <w:sz w:val="22"/>
        </w:rPr>
        <w:t>∇_x u = J^-T∇_ξ u</w:t>
      </w:r>
    </w:p>
    <w:p>
      <w:pPr>
        <w:spacing w:line="360" w:lineRule="auto" w:after="0"/>
        <w:ind w:firstLine="420"/>
      </w:pPr>
      <w:r>
        <w:rPr>
          <w:rFonts w:ascii="Times New Roman" w:hAnsi="Times New Roman" w:eastAsia="宋体"/>
          <w:sz w:val="24"/>
        </w:rPr>
        <w:t>在实现中，</w:t>
      </w:r>
      <w:r>
        <w:rPr>
          <w:rFonts w:ascii="Consolas" w:hAnsi="Consolas" w:eastAsia="Consolas"/>
          <w:sz w:val="24"/>
        </w:rPr>
        <w:t>FD.glsl</w:t>
      </w:r>
      <w:r>
        <w:rPr>
          <w:rFonts w:ascii="Times New Roman" w:hAnsi="Times New Roman" w:eastAsia="宋体"/>
          <w:sz w:val="24"/>
        </w:rPr>
        <w:t xml:space="preserve"> 分别计算字段差分和坐标差分，并由逆 Jacobian 系数组合得到 </w:t>
      </w:r>
      <w:r>
        <w:rPr>
          <w:rFonts w:ascii="Consolas" w:hAnsi="Consolas" w:eastAsia="Consolas"/>
          <w:sz w:val="24"/>
        </w:rPr>
        <w:t>x</w:t>
      </w:r>
      <w:r>
        <w:rPr>
          <w:rFonts w:ascii="Times New Roman" w:hAnsi="Times New Roman" w:eastAsia="宋体"/>
          <w:sz w:val="24"/>
        </w:rPr>
        <w:t>、</w:t>
      </w:r>
      <w:r>
        <w:rPr>
          <w:rFonts w:ascii="Consolas" w:hAnsi="Consolas" w:eastAsia="Consolas"/>
          <w:sz w:val="24"/>
        </w:rPr>
        <w:t>y</w:t>
      </w:r>
      <w:r>
        <w:rPr>
          <w:rFonts w:ascii="Times New Roman" w:hAnsi="Times New Roman" w:eastAsia="宋体"/>
          <w:sz w:val="24"/>
        </w:rPr>
        <w:t>、</w:t>
      </w:r>
      <w:r>
        <w:rPr>
          <w:rFonts w:ascii="Consolas" w:hAnsi="Consolas" w:eastAsia="Consolas"/>
          <w:sz w:val="24"/>
        </w:rPr>
        <w:t>z</w:t>
      </w:r>
      <w:r>
        <w:rPr>
          <w:rFonts w:ascii="Times New Roman" w:hAnsi="Times New Roman" w:eastAsia="宋体"/>
          <w:sz w:val="24"/>
        </w:rPr>
        <w:t xml:space="preserve"> 三个方向的梯度分量。对于多分量字段，着色器逐分量执行上述计算，并将结果连续写入输出缓冲。</w:t>
      </w:r>
    </w:p>
    <w:p>
      <w:pPr>
        <w:pStyle w:val="3"/>
        <w:spacing w:line="360" w:lineRule="auto" w:before="120" w:after="120"/>
        <w:jc w:val="left"/>
      </w:pPr>
      <w:r>
        <w:rPr>
          <w:rFonts w:ascii="Times New Roman" w:hAnsi="Times New Roman" w:eastAsia="黑体"/>
          <w:b/>
          <w:sz w:val="24"/>
        </w:rPr>
        <w:t>4.2.3 单元数据梯度计算</w:t>
      </w:r>
    </w:p>
    <w:p>
      <w:pPr>
        <w:spacing w:line="360" w:lineRule="auto" w:after="0"/>
        <w:ind w:firstLine="420"/>
      </w:pPr>
      <w:r>
        <w:rPr>
          <w:rFonts w:ascii="Times New Roman" w:hAnsi="Times New Roman" w:eastAsia="宋体"/>
          <w:sz w:val="24"/>
        </w:rPr>
        <w:t xml:space="preserve">结构化网格单元数据定义在单元上，其采样位置和输出语义不同于点数据。系统对结构化网格单元数据仍采用有限差分思想，并以 </w:t>
      </w:r>
      <w:r>
        <w:rPr>
          <w:rFonts w:ascii="Consolas" w:hAnsi="Consolas" w:eastAsia="Consolas"/>
          <w:sz w:val="24"/>
        </w:rPr>
        <w:t>cellCenters</w:t>
      </w:r>
      <w:r>
        <w:rPr>
          <w:rFonts w:ascii="Times New Roman" w:hAnsi="Times New Roman" w:eastAsia="宋体"/>
          <w:sz w:val="24"/>
        </w:rPr>
        <w:t xml:space="preserve"> 作为位置数组，逻辑维度改为 </w:t>
      </w:r>
      <w:r>
        <w:rPr>
          <w:rFonts w:ascii="Consolas" w:hAnsi="Consolas" w:eastAsia="Consolas"/>
          <w:sz w:val="24"/>
        </w:rPr>
        <w:t>(nx-1, ny-1, nz-1)</w:t>
      </w:r>
      <w:r>
        <w:rPr>
          <w:rFonts w:ascii="Times New Roman" w:hAnsi="Times New Roman" w:eastAsia="宋体"/>
          <w:sz w:val="24"/>
        </w:rPr>
        <w:t>。</w:t>
      </w:r>
    </w:p>
    <w:p>
      <w:pPr>
        <w:spacing w:line="360" w:lineRule="auto" w:after="0"/>
        <w:ind w:firstLine="420"/>
      </w:pPr>
      <w:r>
        <w:rPr>
          <w:rFonts w:ascii="Times New Roman" w:hAnsi="Times New Roman" w:eastAsia="宋体"/>
          <w:sz w:val="24"/>
        </w:rPr>
        <w:t xml:space="preserve">设单元字段为 </w:t>
      </w:r>
      <w:r>
        <w:rPr>
          <w:rFonts w:ascii="Consolas" w:hAnsi="Consolas" w:eastAsia="Consolas"/>
          <w:sz w:val="24"/>
        </w:rPr>
        <w:t>u_c</w:t>
      </w:r>
      <w:r>
        <w:rPr>
          <w:rFonts w:ascii="Times New Roman" w:hAnsi="Times New Roman" w:eastAsia="宋体"/>
          <w:sz w:val="24"/>
        </w:rPr>
        <w:t xml:space="preserve">，某内部单元在某一逻辑方向上的前后相邻单元为 </w:t>
      </w:r>
      <w:r>
        <w:rPr>
          <w:rFonts w:ascii="Consolas" w:hAnsi="Consolas" w:eastAsia="Consolas"/>
          <w:sz w:val="24"/>
        </w:rPr>
        <w:t>e^+</w:t>
      </w:r>
      <w:r>
        <w:rPr>
          <w:rFonts w:ascii="Times New Roman" w:hAnsi="Times New Roman" w:eastAsia="宋体"/>
          <w:sz w:val="24"/>
        </w:rPr>
        <w:t xml:space="preserve"> 和 </w:t>
      </w:r>
      <w:r>
        <w:rPr>
          <w:rFonts w:ascii="Consolas" w:hAnsi="Consolas" w:eastAsia="Consolas"/>
          <w:sz w:val="24"/>
        </w:rPr>
        <w:t>e^-</w:t>
      </w:r>
      <w:r>
        <w:rPr>
          <w:rFonts w:ascii="Times New Roman" w:hAnsi="Times New Roman" w:eastAsia="宋体"/>
          <w:sz w:val="24"/>
        </w:rPr>
        <w:t>，则该方向差分可写为</w:t>
      </w:r>
    </w:p>
    <w:p>
      <w:pPr>
        <w:spacing w:line="240" w:lineRule="auto" w:before="80" w:after="80"/>
        <w:ind w:firstLine="0"/>
        <w:jc w:val="center"/>
      </w:pPr>
      <w:r>
        <w:rPr>
          <w:rFonts w:ascii="Cambria Math" w:hAnsi="Cambria Math" w:eastAsia="Cambria Math"/>
          <w:sz w:val="22"/>
        </w:rPr>
        <w:t>u_c,ξ(e) = (u_c,e^+-u_c,e^-)/2</w:t>
      </w:r>
    </w:p>
    <w:p>
      <w:pPr>
        <w:spacing w:line="360" w:lineRule="auto" w:after="0"/>
        <w:ind w:firstLine="420"/>
      </w:pPr>
      <w:r>
        <w:rPr>
          <w:rFonts w:ascii="Times New Roman" w:hAnsi="Times New Roman" w:eastAsia="宋体"/>
          <w:sz w:val="24"/>
        </w:rPr>
        <w:t>物理空间恢复仍使用 Jacobian 关系，其中坐标导数由单元中心坐标计算。结构化网格点数据和结构化网格单元数据的差异如表 4-2 所示。</w:t>
      </w:r>
    </w:p>
    <w:p>
      <w:pPr>
        <w:spacing w:line="240" w:lineRule="auto" w:before="80" w:after="80"/>
        <w:ind w:firstLine="0"/>
        <w:jc w:val="center"/>
      </w:pPr>
      <w:r>
        <w:rPr>
          <w:rFonts w:ascii="Times New Roman" w:hAnsi="Times New Roman" w:eastAsia="宋体"/>
          <w:sz w:val="21"/>
        </w:rPr>
        <w:t>表 4-2 结构化网格点数据与单元数据处理差异</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数据类型</w:t>
            </w:r>
          </w:p>
        </w:tc>
        <w:tc>
          <w:tcPr>
            <w:tcW w:type="dxa" w:w="2197"/>
            <w:vAlign w:val="center"/>
          </w:tcPr>
          <w:p>
            <w:pPr>
              <w:spacing w:line="240" w:lineRule="auto"/>
              <w:jc w:val="center"/>
            </w:pPr>
            <w:r>
              <w:rPr>
                <w:rFonts w:ascii="Times New Roman" w:hAnsi="Times New Roman" w:eastAsia="宋体"/>
                <w:b/>
                <w:sz w:val="21"/>
              </w:rPr>
              <w:t>采样位置</w:t>
            </w:r>
          </w:p>
        </w:tc>
        <w:tc>
          <w:tcPr>
            <w:tcW w:type="dxa" w:w="2197"/>
            <w:vAlign w:val="center"/>
          </w:tcPr>
          <w:p>
            <w:pPr>
              <w:spacing w:line="240" w:lineRule="auto"/>
              <w:jc w:val="center"/>
            </w:pPr>
            <w:r>
              <w:rPr>
                <w:rFonts w:ascii="Times New Roman" w:hAnsi="Times New Roman" w:eastAsia="宋体"/>
                <w:b/>
                <w:sz w:val="21"/>
              </w:rPr>
              <w:t>逻辑维度</w:t>
            </w:r>
          </w:p>
        </w:tc>
        <w:tc>
          <w:tcPr>
            <w:tcW w:type="dxa" w:w="2197"/>
            <w:vAlign w:val="center"/>
          </w:tcPr>
          <w:p>
            <w:pPr>
              <w:spacing w:line="240" w:lineRule="auto"/>
              <w:jc w:val="center"/>
            </w:pPr>
            <w:r>
              <w:rPr>
                <w:rFonts w:ascii="Times New Roman" w:hAnsi="Times New Roman" w:eastAsia="宋体"/>
                <w:b/>
                <w:sz w:val="21"/>
              </w:rPr>
              <w:t>输出字段</w:t>
            </w:r>
          </w:p>
        </w:tc>
      </w:tr>
      <w:tr>
        <w:tc>
          <w:tcPr>
            <w:tcW w:type="dxa" w:w="2197"/>
            <w:vAlign w:val="center"/>
          </w:tcPr>
          <w:p>
            <w:pPr>
              <w:spacing w:line="240" w:lineRule="auto"/>
              <w:jc w:val="center"/>
            </w:pPr>
            <w:r>
              <w:rPr>
                <w:rFonts w:ascii="Times New Roman" w:hAnsi="Times New Roman" w:eastAsia="宋体"/>
                <w:b w:val="0"/>
                <w:sz w:val="21"/>
              </w:rPr>
              <w:t>点数据</w:t>
            </w:r>
          </w:p>
        </w:tc>
        <w:tc>
          <w:tcPr>
            <w:tcW w:type="dxa" w:w="2197"/>
            <w:vAlign w:val="center"/>
          </w:tcPr>
          <w:p>
            <w:pPr>
              <w:spacing w:line="240" w:lineRule="auto"/>
              <w:jc w:val="center"/>
            </w:pPr>
            <w:r>
              <w:rPr>
                <w:rFonts w:ascii="Times New Roman" w:hAnsi="Times New Roman" w:eastAsia="宋体"/>
                <w:b w:val="0"/>
                <w:sz w:val="21"/>
              </w:rPr>
              <w:t>网格节点</w:t>
            </w:r>
          </w:p>
        </w:tc>
        <w:tc>
          <w:tcPr>
            <w:tcW w:type="dxa" w:w="2197"/>
            <w:vAlign w:val="center"/>
          </w:tcPr>
          <w:p>
            <w:pPr>
              <w:spacing w:line="240" w:lineRule="auto"/>
              <w:jc w:val="center"/>
            </w:pPr>
            <w:r>
              <w:rPr>
                <w:rFonts w:ascii="Consolas" w:hAnsi="Consolas" w:eastAsia="Consolas"/>
                <w:b w:val="0"/>
                <w:sz w:val="21"/>
              </w:rPr>
              <w:t>(nx, ny, nz)</w:t>
            </w:r>
          </w:p>
        </w:tc>
        <w:tc>
          <w:tcPr>
            <w:tcW w:type="dxa" w:w="2197"/>
            <w:vAlign w:val="center"/>
          </w:tcPr>
          <w:p>
            <w:pPr>
              <w:spacing w:line="240" w:lineRule="auto"/>
              <w:jc w:val="center"/>
            </w:pPr>
            <w:r>
              <w:rPr>
                <w:rFonts w:ascii="Times New Roman" w:hAnsi="Times New Roman" w:eastAsia="宋体"/>
                <w:b w:val="0"/>
                <w:sz w:val="21"/>
              </w:rPr>
              <w:t>点梯度</w:t>
            </w:r>
          </w:p>
        </w:tc>
      </w:tr>
      <w:tr>
        <w:tc>
          <w:tcPr>
            <w:tcW w:type="dxa" w:w="2197"/>
            <w:vAlign w:val="center"/>
          </w:tcPr>
          <w:p>
            <w:pPr>
              <w:spacing w:line="240" w:lineRule="auto"/>
              <w:jc w:val="center"/>
            </w:pPr>
            <w:r>
              <w:rPr>
                <w:rFonts w:ascii="Times New Roman" w:hAnsi="Times New Roman" w:eastAsia="宋体"/>
                <w:b w:val="0"/>
                <w:sz w:val="21"/>
              </w:rPr>
              <w:t>单元数据</w:t>
            </w:r>
          </w:p>
        </w:tc>
        <w:tc>
          <w:tcPr>
            <w:tcW w:type="dxa" w:w="2197"/>
            <w:vAlign w:val="center"/>
          </w:tcPr>
          <w:p>
            <w:pPr>
              <w:spacing w:line="240" w:lineRule="auto"/>
              <w:jc w:val="center"/>
            </w:pPr>
            <w:r>
              <w:rPr>
                <w:rFonts w:ascii="Times New Roman" w:hAnsi="Times New Roman" w:eastAsia="宋体"/>
                <w:b w:val="0"/>
                <w:sz w:val="21"/>
              </w:rPr>
              <w:t>单元中心</w:t>
            </w:r>
          </w:p>
        </w:tc>
        <w:tc>
          <w:tcPr>
            <w:tcW w:type="dxa" w:w="2197"/>
            <w:vAlign w:val="center"/>
          </w:tcPr>
          <w:p>
            <w:pPr>
              <w:spacing w:line="240" w:lineRule="auto"/>
              <w:jc w:val="center"/>
            </w:pPr>
            <w:r>
              <w:rPr>
                <w:rFonts w:ascii="Consolas" w:hAnsi="Consolas" w:eastAsia="Consolas"/>
                <w:b w:val="0"/>
                <w:sz w:val="21"/>
              </w:rPr>
              <w:t>(nx-1, ny-1, nz-1)</w:t>
            </w:r>
          </w:p>
        </w:tc>
        <w:tc>
          <w:tcPr>
            <w:tcW w:type="dxa" w:w="2197"/>
            <w:vAlign w:val="center"/>
          </w:tcPr>
          <w:p>
            <w:pPr>
              <w:spacing w:line="240" w:lineRule="auto"/>
              <w:jc w:val="center"/>
            </w:pPr>
            <w:r>
              <w:rPr>
                <w:rFonts w:ascii="Times New Roman" w:hAnsi="Times New Roman" w:eastAsia="宋体"/>
                <w:b w:val="0"/>
                <w:sz w:val="21"/>
              </w:rPr>
              <w:t>单元梯度</w:t>
            </w:r>
          </w:p>
        </w:tc>
      </w:tr>
    </w:tbl>
    <w:p/>
    <w:p>
      <w:pPr>
        <w:spacing w:line="360" w:lineRule="auto" w:after="0"/>
        <w:ind w:firstLine="420"/>
      </w:pPr>
      <w:r>
        <w:rPr>
          <w:rFonts w:ascii="Times New Roman" w:hAnsi="Times New Roman" w:eastAsia="宋体"/>
          <w:sz w:val="24"/>
        </w:rPr>
        <w:t>该处理方式使点数据结果写回点字段、单元数据结果写回单元字段，从而保持字段关联方式在计算和导出过程中的一致性。</w:t>
      </w:r>
    </w:p>
    <w:p>
      <w:pPr>
        <w:pStyle w:val="3"/>
        <w:spacing w:line="360" w:lineRule="auto" w:before="120" w:after="120"/>
        <w:jc w:val="left"/>
      </w:pPr>
      <w:r>
        <w:rPr>
          <w:rFonts w:ascii="Times New Roman" w:hAnsi="Times New Roman" w:eastAsia="黑体"/>
          <w:b/>
          <w:sz w:val="24"/>
        </w:rPr>
        <w:t>4.2.4 GPU 实现与输出布局</w:t>
      </w:r>
    </w:p>
    <w:p>
      <w:pPr>
        <w:spacing w:line="360" w:lineRule="auto" w:after="0"/>
        <w:ind w:firstLine="420"/>
      </w:pPr>
      <w:r>
        <w:rPr>
          <w:rFonts w:ascii="Times New Roman" w:hAnsi="Times New Roman" w:eastAsia="宋体"/>
          <w:sz w:val="24"/>
        </w:rPr>
        <w:t>结构化网格有限差分的 GPU 实现流程如下：</w:t>
      </w:r>
    </w:p>
    <w:p>
      <w:pPr>
        <w:spacing w:line="360" w:lineRule="auto" w:after="0"/>
        <w:ind w:firstLine="420"/>
      </w:pPr>
      <w:r>
        <w:rPr>
          <w:rFonts w:ascii="Times New Roman" w:hAnsi="Times New Roman" w:eastAsia="宋体"/>
          <w:sz w:val="24"/>
        </w:rPr>
        <w:t>1. 上传采样位置数组、字段值数组和输出缓冲；</w:t>
      </w:r>
    </w:p>
    <w:p>
      <w:pPr>
        <w:spacing w:line="360" w:lineRule="auto" w:after="0"/>
        <w:ind w:firstLine="420"/>
      </w:pPr>
      <w:r>
        <w:rPr>
          <w:rFonts w:ascii="Times New Roman" w:hAnsi="Times New Roman" w:eastAsia="宋体"/>
          <w:sz w:val="24"/>
        </w:rPr>
        <w:t>2. 设置网格维度和字段分量数；</w:t>
      </w:r>
    </w:p>
    <w:p>
      <w:pPr>
        <w:spacing w:line="360" w:lineRule="auto" w:after="0"/>
        <w:ind w:firstLine="420"/>
      </w:pPr>
      <w:r>
        <w:rPr>
          <w:rFonts w:ascii="Times New Roman" w:hAnsi="Times New Roman" w:eastAsia="宋体"/>
          <w:sz w:val="24"/>
        </w:rPr>
        <w:t>3. 计算着色器根据线程编号定位采样对象；</w:t>
      </w:r>
    </w:p>
    <w:p>
      <w:pPr>
        <w:spacing w:line="360" w:lineRule="auto" w:after="0"/>
        <w:ind w:firstLine="420"/>
      </w:pPr>
      <w:r>
        <w:rPr>
          <w:rFonts w:ascii="Times New Roman" w:hAnsi="Times New Roman" w:eastAsia="宋体"/>
          <w:sz w:val="24"/>
        </w:rPr>
        <w:t>4. 根据逻辑索引访问相邻样本；</w:t>
      </w:r>
    </w:p>
    <w:p>
      <w:pPr>
        <w:spacing w:line="360" w:lineRule="auto" w:after="0"/>
        <w:ind w:firstLine="420"/>
      </w:pPr>
      <w:r>
        <w:rPr>
          <w:rFonts w:ascii="Times New Roman" w:hAnsi="Times New Roman" w:eastAsia="宋体"/>
          <w:sz w:val="24"/>
        </w:rPr>
        <w:t>5. 计算逻辑空间差分和物理空间梯度；</w:t>
      </w:r>
    </w:p>
    <w:p>
      <w:pPr>
        <w:spacing w:line="360" w:lineRule="auto" w:after="0"/>
        <w:ind w:firstLine="420"/>
      </w:pPr>
      <w:r>
        <w:rPr>
          <w:rFonts w:ascii="Times New Roman" w:hAnsi="Times New Roman" w:eastAsia="宋体"/>
          <w:sz w:val="24"/>
        </w:rPr>
        <w:t>6. 将梯度结果写入输出缓冲。</w:t>
      </w:r>
    </w:p>
    <w:p>
      <w:pPr>
        <w:spacing w:line="360" w:lineRule="auto" w:after="0"/>
        <w:ind w:firstLine="420"/>
      </w:pPr>
      <w:r>
        <w:rPr>
          <w:rFonts w:ascii="Consolas" w:hAnsi="Consolas" w:eastAsia="Consolas"/>
          <w:sz w:val="24"/>
        </w:rPr>
        <w:t>computeRegularFD</w:t>
      </w:r>
      <w:r>
        <w:rPr>
          <w:rFonts w:ascii="Times New Roman" w:hAnsi="Times New Roman" w:eastAsia="宋体"/>
          <w:sz w:val="24"/>
        </w:rPr>
        <w:t xml:space="preserve"> 在 CPU 侧检查输入长度与维度是否一致，并根据字段长度计算分量数。GPU 端每个线程处理一个点或一个单元。对于分量数为 </w:t>
      </w:r>
      <w:r>
        <w:rPr>
          <w:rFonts w:ascii="Consolas" w:hAnsi="Consolas" w:eastAsia="Consolas"/>
          <w:sz w:val="24"/>
        </w:rPr>
        <w:t>m</w:t>
      </w:r>
      <w:r>
        <w:rPr>
          <w:rFonts w:ascii="Times New Roman" w:hAnsi="Times New Roman" w:eastAsia="宋体"/>
          <w:sz w:val="24"/>
        </w:rPr>
        <w:t xml:space="preserve"> 的输入字段，输出分量数为 </w:t>
      </w:r>
      <w:r>
        <w:rPr>
          <w:rFonts w:ascii="Consolas" w:hAnsi="Consolas" w:eastAsia="Consolas"/>
          <w:sz w:val="24"/>
        </w:rPr>
        <w:t>3m</w:t>
      </w:r>
      <w:r>
        <w:rPr>
          <w:rFonts w:ascii="Times New Roman" w:hAnsi="Times New Roman" w:eastAsia="宋体"/>
          <w:sz w:val="24"/>
        </w:rPr>
        <w:t>；标量场输出三个梯度分量，三维向量场输出九个梯度分量。该布局与后续 VTK 字段导出和实验对照保持一致。</w:t>
      </w:r>
    </w:p>
    <w:p>
      <w:pPr>
        <w:spacing w:line="360" w:lineRule="auto" w:after="0"/>
        <w:ind w:firstLine="420"/>
      </w:pPr>
      <w:r>
        <w:rPr>
          <w:rFonts w:ascii="Times New Roman" w:hAnsi="Times New Roman" w:eastAsia="宋体"/>
          <w:sz w:val="24"/>
        </w:rPr>
        <w:t>结构化网格路径要求字段长度、网格维度和采样位置保持一致。点数据使用节点维度和节点坐标，单元数据使用单元维度和单元中心坐标。处理不同字段关联方式时，系统在调度阶段选择对应的位置数组和维度参数。</w:t>
      </w:r>
    </w:p>
    <w:p>
      <w:pPr>
        <w:pStyle w:val="2"/>
        <w:spacing w:line="360" w:lineRule="auto" w:before="120" w:after="120"/>
        <w:jc w:val="left"/>
      </w:pPr>
      <w:r>
        <w:rPr>
          <w:rFonts w:ascii="Times New Roman" w:hAnsi="Times New Roman" w:eastAsia="黑体"/>
          <w:b/>
          <w:sz w:val="28"/>
        </w:rPr>
        <w:t>4.3 非结构化网格形函数导数梯度计算</w:t>
      </w:r>
    </w:p>
    <w:p>
      <w:pPr>
        <w:spacing w:line="360" w:lineRule="auto" w:after="0"/>
        <w:ind w:firstLine="420"/>
      </w:pPr>
      <w:r>
        <w:rPr>
          <w:rFonts w:ascii="Times New Roman" w:hAnsi="Times New Roman" w:eastAsia="宋体"/>
          <w:sz w:val="24"/>
        </w:rPr>
        <w:t>非结构化网格缺少固定逻辑索引，梯度计算需要依赖单元连接、单元类型和局部几何映射。系统在非结构化路径中使用形函数导数恢复单元局部梯度，并根据点数据或单元数据的关联方式选择不同处理流程。</w:t>
      </w:r>
    </w:p>
    <w:p>
      <w:pPr>
        <w:pStyle w:val="3"/>
        <w:spacing w:line="360" w:lineRule="auto" w:before="120" w:after="120"/>
        <w:jc w:val="left"/>
      </w:pPr>
      <w:r>
        <w:rPr>
          <w:rFonts w:ascii="Times New Roman" w:hAnsi="Times New Roman" w:eastAsia="黑体"/>
          <w:b/>
          <w:sz w:val="24"/>
        </w:rPr>
        <w:t>4.3.1 输入数据与单元类型</w:t>
      </w:r>
    </w:p>
    <w:p>
      <w:pPr>
        <w:spacing w:line="360" w:lineRule="auto" w:after="0"/>
        <w:ind w:firstLine="420"/>
      </w:pPr>
      <w:r>
        <w:rPr>
          <w:rFonts w:ascii="Times New Roman" w:hAnsi="Times New Roman" w:eastAsia="宋体"/>
          <w:sz w:val="24"/>
        </w:rPr>
        <w:t xml:space="preserve">非结构化梯度计算使用的主要输入数组包括 </w:t>
      </w:r>
      <w:r>
        <w:rPr>
          <w:rFonts w:ascii="Consolas" w:hAnsi="Consolas" w:eastAsia="Consolas"/>
          <w:sz w:val="24"/>
        </w:rPr>
        <w:t>points</w:t>
      </w:r>
      <w:r>
        <w:rPr>
          <w:rFonts w:ascii="Times New Roman" w:hAnsi="Times New Roman" w:eastAsia="宋体"/>
          <w:sz w:val="24"/>
        </w:rPr>
        <w:t>、</w:t>
      </w:r>
      <w:r>
        <w:rPr>
          <w:rFonts w:ascii="Consolas" w:hAnsi="Consolas" w:eastAsia="Consolas"/>
          <w:sz w:val="24"/>
        </w:rPr>
        <w:t>cells</w:t>
      </w:r>
      <w:r>
        <w:rPr>
          <w:rFonts w:ascii="Times New Roman" w:hAnsi="Times New Roman" w:eastAsia="宋体"/>
          <w:sz w:val="24"/>
        </w:rPr>
        <w:t>、</w:t>
      </w:r>
      <w:r>
        <w:rPr>
          <w:rFonts w:ascii="Consolas" w:hAnsi="Consolas" w:eastAsia="Consolas"/>
          <w:sz w:val="24"/>
        </w:rPr>
        <w:t>cellOffsets</w:t>
      </w:r>
      <w:r>
        <w:rPr>
          <w:rFonts w:ascii="Times New Roman" w:hAnsi="Times New Roman" w:eastAsia="宋体"/>
          <w:sz w:val="24"/>
        </w:rPr>
        <w:t>、</w:t>
      </w:r>
      <w:r>
        <w:rPr>
          <w:rFonts w:ascii="Consolas" w:hAnsi="Consolas" w:eastAsia="Consolas"/>
          <w:sz w:val="24"/>
        </w:rPr>
        <w:t>cellTypes</w:t>
      </w:r>
      <w:r>
        <w:rPr>
          <w:rFonts w:ascii="Times New Roman" w:hAnsi="Times New Roman" w:eastAsia="宋体"/>
          <w:sz w:val="24"/>
        </w:rPr>
        <w:t>、</w:t>
      </w:r>
      <w:r>
        <w:rPr>
          <w:rFonts w:ascii="Consolas" w:hAnsi="Consolas" w:eastAsia="Consolas"/>
          <w:sz w:val="24"/>
        </w:rPr>
        <w:t>pointInCellNeighbors</w:t>
      </w:r>
      <w:r>
        <w:rPr>
          <w:rFonts w:ascii="Times New Roman" w:hAnsi="Times New Roman" w:eastAsia="宋体"/>
          <w:sz w:val="24"/>
        </w:rPr>
        <w:t>、</w:t>
      </w:r>
      <w:r>
        <w:rPr>
          <w:rFonts w:ascii="Consolas" w:hAnsi="Consolas" w:eastAsia="Consolas"/>
          <w:sz w:val="24"/>
        </w:rPr>
        <w:t>pointInCellNeighborOffsets</w:t>
      </w:r>
      <w:r>
        <w:rPr>
          <w:rFonts w:ascii="Times New Roman" w:hAnsi="Times New Roman" w:eastAsia="宋体"/>
          <w:sz w:val="24"/>
        </w:rPr>
        <w:t xml:space="preserve"> 和字段数组。其中，</w:t>
      </w:r>
      <w:r>
        <w:rPr>
          <w:rFonts w:ascii="Consolas" w:hAnsi="Consolas" w:eastAsia="Consolas"/>
          <w:sz w:val="24"/>
        </w:rPr>
        <w:t>cells</w:t>
      </w:r>
      <w:r>
        <w:rPr>
          <w:rFonts w:ascii="Times New Roman" w:hAnsi="Times New Roman" w:eastAsia="宋体"/>
          <w:sz w:val="24"/>
        </w:rPr>
        <w:t xml:space="preserve"> 保存单元节点索引，</w:t>
      </w:r>
      <w:r>
        <w:rPr>
          <w:rFonts w:ascii="Consolas" w:hAnsi="Consolas" w:eastAsia="Consolas"/>
          <w:sz w:val="24"/>
        </w:rPr>
        <w:t>cellOffsets</w:t>
      </w:r>
      <w:r>
        <w:rPr>
          <w:rFonts w:ascii="Times New Roman" w:hAnsi="Times New Roman" w:eastAsia="宋体"/>
          <w:sz w:val="24"/>
        </w:rPr>
        <w:t xml:space="preserve"> 定位每个单元在连接数组中的起止位置，</w:t>
      </w:r>
      <w:r>
        <w:rPr>
          <w:rFonts w:ascii="Consolas" w:hAnsi="Consolas" w:eastAsia="Consolas"/>
          <w:sz w:val="24"/>
        </w:rPr>
        <w:t>pointInCellNeighbors</w:t>
      </w:r>
      <w:r>
        <w:rPr>
          <w:rFonts w:ascii="Times New Roman" w:hAnsi="Times New Roman" w:eastAsia="宋体"/>
          <w:sz w:val="24"/>
        </w:rPr>
        <w:t xml:space="preserve"> 记录每个点所属的单元集合。</w:t>
      </w:r>
    </w:p>
    <w:p>
      <w:pPr>
        <w:spacing w:line="360" w:lineRule="auto" w:after="0"/>
        <w:ind w:firstLine="420"/>
      </w:pPr>
      <w:r>
        <w:rPr>
          <w:rFonts w:ascii="Times New Roman" w:hAnsi="Times New Roman" w:eastAsia="宋体"/>
          <w:sz w:val="24"/>
        </w:rPr>
        <w:t>本文非结构化网格梯度计算主要围绕一阶三角形、四边形、四面体和六面体单元展开。这四类单元分别覆盖二维面单元和三维体单元，能够满足本文实验数据和算法验证需求。其基本处理方式如表 4-3 所示。</w:t>
      </w:r>
    </w:p>
    <w:p>
      <w:pPr>
        <w:spacing w:line="240" w:lineRule="auto" w:before="80" w:after="80"/>
        <w:ind w:firstLine="0"/>
        <w:jc w:val="center"/>
      </w:pPr>
      <w:r>
        <w:rPr>
          <w:rFonts w:ascii="Times New Roman" w:hAnsi="Times New Roman" w:eastAsia="宋体"/>
          <w:sz w:val="21"/>
        </w:rPr>
        <w:t>表 4-3 非结构化单元类型与处理方式</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单元类型</w:t>
            </w:r>
          </w:p>
        </w:tc>
        <w:tc>
          <w:tcPr>
            <w:tcW w:type="dxa" w:w="2929"/>
            <w:vAlign w:val="center"/>
          </w:tcPr>
          <w:p>
            <w:pPr>
              <w:spacing w:line="240" w:lineRule="auto"/>
              <w:jc w:val="center"/>
            </w:pPr>
            <w:r>
              <w:rPr>
                <w:rFonts w:ascii="Times New Roman" w:hAnsi="Times New Roman" w:eastAsia="宋体"/>
                <w:b/>
                <w:sz w:val="21"/>
              </w:rPr>
              <w:t>节点数</w:t>
            </w:r>
          </w:p>
        </w:tc>
        <w:tc>
          <w:tcPr>
            <w:tcW w:type="dxa" w:w="2929"/>
            <w:vAlign w:val="center"/>
          </w:tcPr>
          <w:p>
            <w:pPr>
              <w:spacing w:line="240" w:lineRule="auto"/>
              <w:jc w:val="center"/>
            </w:pPr>
            <w:r>
              <w:rPr>
                <w:rFonts w:ascii="Times New Roman" w:hAnsi="Times New Roman" w:eastAsia="宋体"/>
                <w:b/>
                <w:sz w:val="21"/>
              </w:rPr>
              <w:t>处理方式</w:t>
            </w:r>
          </w:p>
        </w:tc>
      </w:tr>
      <w:tr>
        <w:tc>
          <w:tcPr>
            <w:tcW w:type="dxa" w:w="2929"/>
            <w:vAlign w:val="center"/>
          </w:tcPr>
          <w:p>
            <w:pPr>
              <w:spacing w:line="240" w:lineRule="auto"/>
              <w:jc w:val="center"/>
            </w:pPr>
            <w:r>
              <w:rPr>
                <w:rFonts w:ascii="Times New Roman" w:hAnsi="Times New Roman" w:eastAsia="宋体"/>
                <w:b w:val="0"/>
                <w:sz w:val="21"/>
              </w:rPr>
              <w:t>三角形</w:t>
            </w:r>
          </w:p>
        </w:tc>
        <w:tc>
          <w:tcPr>
            <w:tcW w:type="dxa" w:w="2929"/>
            <w:vAlign w:val="center"/>
          </w:tcPr>
          <w:p>
            <w:pPr>
              <w:spacing w:line="240" w:lineRule="auto"/>
              <w:jc w:val="center"/>
            </w:pPr>
            <w:r>
              <w:rPr>
                <w:rFonts w:ascii="Times New Roman" w:hAnsi="Times New Roman" w:eastAsia="宋体"/>
                <w:b w:val="0"/>
                <w:sz w:val="21"/>
              </w:rPr>
              <w:t>3</w:t>
            </w:r>
          </w:p>
        </w:tc>
        <w:tc>
          <w:tcPr>
            <w:tcW w:type="dxa" w:w="2929"/>
            <w:vAlign w:val="center"/>
          </w:tcPr>
          <w:p>
            <w:pPr>
              <w:spacing w:line="240" w:lineRule="auto"/>
              <w:jc w:val="center"/>
            </w:pPr>
            <w:r>
              <w:rPr>
                <w:rFonts w:ascii="Times New Roman" w:hAnsi="Times New Roman" w:eastAsia="宋体"/>
                <w:b w:val="0"/>
                <w:sz w:val="21"/>
              </w:rPr>
              <w:t>线性形函数</w:t>
            </w:r>
          </w:p>
        </w:tc>
      </w:tr>
      <w:tr>
        <w:tc>
          <w:tcPr>
            <w:tcW w:type="dxa" w:w="2929"/>
            <w:vAlign w:val="center"/>
          </w:tcPr>
          <w:p>
            <w:pPr>
              <w:spacing w:line="240" w:lineRule="auto"/>
              <w:jc w:val="center"/>
            </w:pPr>
            <w:r>
              <w:rPr>
                <w:rFonts w:ascii="Times New Roman" w:hAnsi="Times New Roman" w:eastAsia="宋体"/>
                <w:b w:val="0"/>
                <w:sz w:val="21"/>
              </w:rPr>
              <w:t>四边形</w:t>
            </w:r>
          </w:p>
        </w:tc>
        <w:tc>
          <w:tcPr>
            <w:tcW w:type="dxa" w:w="2929"/>
            <w:vAlign w:val="center"/>
          </w:tcPr>
          <w:p>
            <w:pPr>
              <w:spacing w:line="240" w:lineRule="auto"/>
              <w:jc w:val="center"/>
            </w:pPr>
            <w:r>
              <w:rPr>
                <w:rFonts w:ascii="Times New Roman" w:hAnsi="Times New Roman" w:eastAsia="宋体"/>
                <w:b w:val="0"/>
                <w:sz w:val="21"/>
              </w:rPr>
              <w:t>4</w:t>
            </w:r>
          </w:p>
        </w:tc>
        <w:tc>
          <w:tcPr>
            <w:tcW w:type="dxa" w:w="2929"/>
            <w:vAlign w:val="center"/>
          </w:tcPr>
          <w:p>
            <w:pPr>
              <w:spacing w:line="240" w:lineRule="auto"/>
              <w:jc w:val="center"/>
            </w:pPr>
            <w:r>
              <w:rPr>
                <w:rFonts w:ascii="Times New Roman" w:hAnsi="Times New Roman" w:eastAsia="宋体"/>
                <w:b w:val="0"/>
                <w:sz w:val="21"/>
              </w:rPr>
              <w:t>双线性形函数</w:t>
            </w:r>
          </w:p>
        </w:tc>
      </w:tr>
      <w:tr>
        <w:tc>
          <w:tcPr>
            <w:tcW w:type="dxa" w:w="2929"/>
            <w:vAlign w:val="center"/>
          </w:tcPr>
          <w:p>
            <w:pPr>
              <w:spacing w:line="240" w:lineRule="auto"/>
              <w:jc w:val="center"/>
            </w:pPr>
            <w:r>
              <w:rPr>
                <w:rFonts w:ascii="Times New Roman" w:hAnsi="Times New Roman" w:eastAsia="宋体"/>
                <w:b w:val="0"/>
                <w:sz w:val="21"/>
              </w:rPr>
              <w:t>四面体</w:t>
            </w:r>
          </w:p>
        </w:tc>
        <w:tc>
          <w:tcPr>
            <w:tcW w:type="dxa" w:w="2929"/>
            <w:vAlign w:val="center"/>
          </w:tcPr>
          <w:p>
            <w:pPr>
              <w:spacing w:line="240" w:lineRule="auto"/>
              <w:jc w:val="center"/>
            </w:pPr>
            <w:r>
              <w:rPr>
                <w:rFonts w:ascii="Times New Roman" w:hAnsi="Times New Roman" w:eastAsia="宋体"/>
                <w:b w:val="0"/>
                <w:sz w:val="21"/>
              </w:rPr>
              <w:t>4</w:t>
            </w:r>
          </w:p>
        </w:tc>
        <w:tc>
          <w:tcPr>
            <w:tcW w:type="dxa" w:w="2929"/>
            <w:vAlign w:val="center"/>
          </w:tcPr>
          <w:p>
            <w:pPr>
              <w:spacing w:line="240" w:lineRule="auto"/>
              <w:jc w:val="center"/>
            </w:pPr>
            <w:r>
              <w:rPr>
                <w:rFonts w:ascii="Times New Roman" w:hAnsi="Times New Roman" w:eastAsia="宋体"/>
                <w:b w:val="0"/>
                <w:sz w:val="21"/>
              </w:rPr>
              <w:t>线性形函数</w:t>
            </w:r>
          </w:p>
        </w:tc>
      </w:tr>
      <w:tr>
        <w:tc>
          <w:tcPr>
            <w:tcW w:type="dxa" w:w="2929"/>
            <w:vAlign w:val="center"/>
          </w:tcPr>
          <w:p>
            <w:pPr>
              <w:spacing w:line="240" w:lineRule="auto"/>
              <w:jc w:val="center"/>
            </w:pPr>
            <w:r>
              <w:rPr>
                <w:rFonts w:ascii="Times New Roman" w:hAnsi="Times New Roman" w:eastAsia="宋体"/>
                <w:b w:val="0"/>
                <w:sz w:val="21"/>
              </w:rPr>
              <w:t>六面体</w:t>
            </w:r>
          </w:p>
        </w:tc>
        <w:tc>
          <w:tcPr>
            <w:tcW w:type="dxa" w:w="2929"/>
            <w:vAlign w:val="center"/>
          </w:tcPr>
          <w:p>
            <w:pPr>
              <w:spacing w:line="240" w:lineRule="auto"/>
              <w:jc w:val="center"/>
            </w:pPr>
            <w:r>
              <w:rPr>
                <w:rFonts w:ascii="Times New Roman" w:hAnsi="Times New Roman" w:eastAsia="宋体"/>
                <w:b w:val="0"/>
                <w:sz w:val="21"/>
              </w:rPr>
              <w:t>8</w:t>
            </w:r>
          </w:p>
        </w:tc>
        <w:tc>
          <w:tcPr>
            <w:tcW w:type="dxa" w:w="2929"/>
            <w:vAlign w:val="center"/>
          </w:tcPr>
          <w:p>
            <w:pPr>
              <w:spacing w:line="240" w:lineRule="auto"/>
              <w:jc w:val="center"/>
            </w:pPr>
            <w:r>
              <w:rPr>
                <w:rFonts w:ascii="Times New Roman" w:hAnsi="Times New Roman" w:eastAsia="宋体"/>
                <w:b w:val="0"/>
                <w:sz w:val="21"/>
              </w:rPr>
              <w:t>三线性形函数</w:t>
            </w:r>
          </w:p>
        </w:tc>
      </w:tr>
    </w:tbl>
    <w:p/>
    <w:p>
      <w:pPr>
        <w:spacing w:line="360" w:lineRule="auto" w:after="0"/>
        <w:ind w:firstLine="420"/>
      </w:pPr>
      <w:r>
        <w:rPr>
          <w:rFonts w:ascii="Times New Roman" w:hAnsi="Times New Roman" w:eastAsia="宋体"/>
          <w:sz w:val="24"/>
        </w:rPr>
        <w:t xml:space="preserve">不同单元类型对应不同的参考坐标和形函数导数。GPU 端根据 </w:t>
      </w:r>
      <w:r>
        <w:rPr>
          <w:rFonts w:ascii="Consolas" w:hAnsi="Consolas" w:eastAsia="Consolas"/>
          <w:sz w:val="24"/>
        </w:rPr>
        <w:t>cellTypes</w:t>
      </w:r>
      <w:r>
        <w:rPr>
          <w:rFonts w:ascii="Times New Roman" w:hAnsi="Times New Roman" w:eastAsia="宋体"/>
          <w:sz w:val="24"/>
        </w:rPr>
        <w:t xml:space="preserve"> 选择相应计算分支，并结合单元节点坐标构造局部几何映射。对于局部几何退化、映射矩阵不可逆或度量矩阵奇异的情况，着色器跳过该单元贡献或保留默认输出，避免无效值继续参与结果写回。</w:t>
      </w:r>
    </w:p>
    <w:p>
      <w:pPr>
        <w:pStyle w:val="3"/>
        <w:spacing w:line="360" w:lineRule="auto" w:before="120" w:after="120"/>
        <w:jc w:val="left"/>
      </w:pPr>
      <w:r>
        <w:rPr>
          <w:rFonts w:ascii="Times New Roman" w:hAnsi="Times New Roman" w:eastAsia="黑体"/>
          <w:b/>
          <w:sz w:val="24"/>
        </w:rPr>
        <w:t>4.3.2 点数据梯度计算</w:t>
      </w:r>
    </w:p>
    <w:p>
      <w:pPr>
        <w:spacing w:line="360" w:lineRule="auto" w:after="0"/>
        <w:ind w:firstLine="420"/>
      </w:pPr>
      <w:r>
        <w:rPr>
          <w:rFonts w:ascii="Times New Roman" w:hAnsi="Times New Roman" w:eastAsia="宋体"/>
          <w:sz w:val="24"/>
        </w:rPr>
        <w:t xml:space="preserve">非结构化点数据已有节点字段值，可直接用于形函数插值框架。系统首先通过 </w:t>
      </w:r>
      <w:r>
        <w:rPr>
          <w:rFonts w:ascii="Consolas" w:hAnsi="Consolas" w:eastAsia="Consolas"/>
          <w:sz w:val="24"/>
        </w:rPr>
        <w:t>pointInCellNeighbors</w:t>
      </w:r>
      <w:r>
        <w:rPr>
          <w:rFonts w:ascii="Times New Roman" w:hAnsi="Times New Roman" w:eastAsia="宋体"/>
          <w:sz w:val="24"/>
        </w:rPr>
        <w:t xml:space="preserve"> 找到每个点关联的单元集合。若一个点同时关联不同维度的单元，则优先使用维度最高的单元参与梯度恢复，以减少低维边界单元或附属面单元对体场梯度恢复结果的干扰。该策略主要用于混合维度网格场景：当同一点既属于体单元又属于曲面单元时，体单元能够提供完整三维局部支撑，而低维单元更适合作为曲面场或边界场的评价对象。</w:t>
      </w:r>
    </w:p>
    <w:p>
      <w:pPr>
        <w:spacing w:line="360" w:lineRule="auto" w:after="0"/>
        <w:ind w:firstLine="420"/>
      </w:pPr>
      <w:r>
        <w:rPr>
          <w:rFonts w:ascii="Times New Roman" w:hAnsi="Times New Roman" w:eastAsia="宋体"/>
          <w:sz w:val="24"/>
        </w:rPr>
        <w:t xml:space="preserve">设第 </w:t>
      </w:r>
      <w:r>
        <w:rPr>
          <w:rFonts w:ascii="Consolas" w:hAnsi="Consolas" w:eastAsia="Consolas"/>
          <w:sz w:val="24"/>
        </w:rPr>
        <w:t>i</w:t>
      </w:r>
      <w:r>
        <w:rPr>
          <w:rFonts w:ascii="Times New Roman" w:hAnsi="Times New Roman" w:eastAsia="宋体"/>
          <w:sz w:val="24"/>
        </w:rPr>
        <w:t xml:space="preserve"> 个点的关联单元集合为 </w:t>
      </w:r>
      <w:r>
        <w:rPr>
          <w:rFonts w:ascii="Consolas" w:hAnsi="Consolas" w:eastAsia="Consolas"/>
          <w:sz w:val="24"/>
        </w:rPr>
        <w:t>C_i</w:t>
      </w:r>
      <w:r>
        <w:rPr>
          <w:rFonts w:ascii="Times New Roman" w:hAnsi="Times New Roman" w:eastAsia="宋体"/>
          <w:sz w:val="24"/>
        </w:rPr>
        <w:t xml:space="preserve">，筛选后的贡献单元集合为 </w:t>
      </w:r>
      <w:r>
        <w:rPr>
          <w:rFonts w:ascii="Consolas" w:hAnsi="Consolas" w:eastAsia="Consolas"/>
          <w:sz w:val="24"/>
        </w:rPr>
        <w:t>C_i^*</w:t>
      </w:r>
      <w:r>
        <w:rPr>
          <w:rFonts w:ascii="Times New Roman" w:hAnsi="Times New Roman" w:eastAsia="宋体"/>
          <w:sz w:val="24"/>
        </w:rPr>
        <w:t xml:space="preserve">。对于任一贡献单元 </w:t>
      </w:r>
      <w:r>
        <w:rPr>
          <w:rFonts w:ascii="Consolas" w:hAnsi="Consolas" w:eastAsia="Consolas"/>
          <w:sz w:val="24"/>
        </w:rPr>
        <w:t>e</w:t>
      </w:r>
      <w:r>
        <w:rPr>
          <w:rFonts w:ascii="Times New Roman" w:hAnsi="Times New Roman" w:eastAsia="宋体"/>
          <w:sz w:val="24"/>
        </w:rPr>
        <w:t>，单元内字段可表示为</w:t>
      </w:r>
    </w:p>
    <w:p>
      <w:pPr>
        <w:spacing w:line="240" w:lineRule="auto" w:before="80" w:after="80"/>
        <w:ind w:firstLine="0"/>
        <w:jc w:val="center"/>
      </w:pPr>
      <w:r>
        <w:rPr>
          <w:rFonts w:ascii="Cambria Math" w:hAnsi="Cambria Math" w:eastAsia="Cambria Math"/>
          <w:sz w:val="22"/>
        </w:rPr>
        <w:t>u_e(ξ)=∑_a N_a(ξ)u_a</w:t>
      </w:r>
    </w:p>
    <w:p>
      <w:pPr>
        <w:spacing w:line="360" w:lineRule="auto" w:after="0"/>
        <w:ind w:firstLine="420"/>
      </w:pPr>
      <w:r>
        <w:rPr>
          <w:rFonts w:ascii="Times New Roman" w:hAnsi="Times New Roman" w:eastAsia="宋体"/>
          <w:sz w:val="24"/>
        </w:rPr>
        <w:t>其物理空间梯度为</w:t>
      </w:r>
    </w:p>
    <w:p>
      <w:pPr>
        <w:spacing w:line="240" w:lineRule="auto" w:before="80" w:after="80"/>
        <w:ind w:firstLine="0"/>
        <w:jc w:val="center"/>
      </w:pPr>
      <w:r>
        <w:rPr>
          <w:rFonts w:ascii="Cambria Math" w:hAnsi="Cambria Math" w:eastAsia="Cambria Math"/>
          <w:sz w:val="22"/>
        </w:rPr>
        <w:t>∇_x u_e=∑_a u_a ∇_x N_a</w:t>
      </w:r>
    </w:p>
    <w:p>
      <w:pPr>
        <w:spacing w:line="360" w:lineRule="auto" w:after="0"/>
        <w:ind w:firstLine="420"/>
      </w:pPr>
      <w:r>
        <w:rPr>
          <w:rFonts w:ascii="Times New Roman" w:hAnsi="Times New Roman" w:eastAsia="宋体"/>
          <w:sz w:val="24"/>
        </w:rPr>
        <w:t>当一个点由多个单元共同贡献时，系统对各单元梯度求平均：</w:t>
      </w:r>
    </w:p>
    <w:p>
      <w:pPr>
        <w:spacing w:line="240" w:lineRule="auto" w:before="80" w:after="80"/>
        <w:ind w:firstLine="0"/>
        <w:jc w:val="center"/>
      </w:pPr>
      <w:r>
        <w:rPr>
          <w:rFonts w:ascii="Cambria Math" w:hAnsi="Cambria Math" w:eastAsia="Cambria Math"/>
          <w:sz w:val="22"/>
        </w:rPr>
        <w:t>∇_x u_i = (1)/(|C_i^*|)∑_e ∈ C_i^*∇_x u_e</w:t>
      </w:r>
    </w:p>
    <w:p>
      <w:pPr>
        <w:spacing w:line="360" w:lineRule="auto" w:after="0"/>
        <w:ind w:firstLine="420"/>
      </w:pPr>
      <w:r>
        <w:rPr>
          <w:rFonts w:ascii="Times New Roman" w:hAnsi="Times New Roman" w:eastAsia="宋体"/>
          <w:sz w:val="24"/>
        </w:rPr>
        <w:t>多单元平均用于降低单个局部单元对点梯度结果的影响。对于线性场，若单元几何和形函数导数计算正确，各贡献单元得到的梯度应一致或接近一致；对于非线性场或局部畸变网格，平均处理有助于提高点梯度结果的稳定性。</w:t>
      </w:r>
    </w:p>
    <w:p>
      <w:pPr>
        <w:spacing w:line="360" w:lineRule="auto" w:after="0"/>
        <w:ind w:firstLine="420"/>
      </w:pPr>
      <w:r>
        <w:rPr>
          <w:rFonts w:ascii="Times New Roman" w:hAnsi="Times New Roman" w:eastAsia="宋体"/>
          <w:sz w:val="24"/>
        </w:rPr>
        <w:t>在实现中，三角形和四面体的参考坐标可由节点局部编号直接确定。四边形和六面体涉及双线性或三线性映射，系统根据单元类型计算相应参考坐标和形函数导数。六面体单元在必要时采用迭代方式恢复局部参数坐标，以获得对应位置处的形函数导数。</w:t>
      </w:r>
    </w:p>
    <w:p>
      <w:pPr>
        <w:pStyle w:val="3"/>
        <w:spacing w:line="360" w:lineRule="auto" w:before="120" w:after="120"/>
        <w:jc w:val="left"/>
      </w:pPr>
      <w:r>
        <w:rPr>
          <w:rFonts w:ascii="Times New Roman" w:hAnsi="Times New Roman" w:eastAsia="黑体"/>
          <w:b/>
          <w:sz w:val="24"/>
        </w:rPr>
        <w:t>4.3.3 单元数据梯度计算</w:t>
      </w:r>
    </w:p>
    <w:p>
      <w:pPr>
        <w:spacing w:line="360" w:lineRule="auto" w:after="0"/>
        <w:ind w:firstLine="420"/>
      </w:pPr>
      <w:r>
        <w:rPr>
          <w:rFonts w:ascii="Times New Roman" w:hAnsi="Times New Roman" w:eastAsia="宋体"/>
          <w:sz w:val="24"/>
        </w:rPr>
        <w:t xml:space="preserve">单元数据定义在单元上，不能直接作为节点值代入形函数导数公式。系统采用“单元场提升到点级中间场，再在单元中心求梯度”的路径处理单元数据。该路径对应 </w:t>
      </w:r>
      <w:r>
        <w:rPr>
          <w:rFonts w:ascii="Consolas" w:hAnsi="Consolas" w:eastAsia="Consolas"/>
          <w:sz w:val="24"/>
        </w:rPr>
        <w:t>CellDataToPointLift.glsl</w:t>
      </w:r>
      <w:r>
        <w:rPr>
          <w:rFonts w:ascii="Times New Roman" w:hAnsi="Times New Roman" w:eastAsia="宋体"/>
          <w:sz w:val="24"/>
        </w:rPr>
        <w:t xml:space="preserve"> 和 </w:t>
      </w:r>
      <w:r>
        <w:rPr>
          <w:rFonts w:ascii="Consolas" w:hAnsi="Consolas" w:eastAsia="Consolas"/>
          <w:sz w:val="24"/>
        </w:rPr>
        <w:t>ShapeCellGradient.glsl</w:t>
      </w:r>
      <w:r>
        <w:rPr>
          <w:rFonts w:ascii="Times New Roman" w:hAnsi="Times New Roman" w:eastAsia="宋体"/>
          <w:sz w:val="24"/>
        </w:rPr>
        <w:t>。</w:t>
      </w:r>
    </w:p>
    <w:p>
      <w:pPr>
        <w:spacing w:line="360" w:lineRule="auto" w:after="0"/>
        <w:ind w:firstLine="420"/>
      </w:pPr>
      <w:r>
        <w:rPr>
          <w:rFonts w:ascii="Times New Roman" w:hAnsi="Times New Roman" w:eastAsia="宋体"/>
          <w:sz w:val="24"/>
        </w:rPr>
        <w:t xml:space="preserve">设点 </w:t>
      </w:r>
      <w:r>
        <w:rPr>
          <w:rFonts w:ascii="Consolas" w:hAnsi="Consolas" w:eastAsia="Consolas"/>
          <w:sz w:val="24"/>
        </w:rPr>
        <w:t>i</w:t>
      </w:r>
      <w:r>
        <w:rPr>
          <w:rFonts w:ascii="Times New Roman" w:hAnsi="Times New Roman" w:eastAsia="宋体"/>
          <w:sz w:val="24"/>
        </w:rPr>
        <w:t xml:space="preserve"> 关联的单元集合为 </w:t>
      </w:r>
      <w:r>
        <w:rPr>
          <w:rFonts w:ascii="Consolas" w:hAnsi="Consolas" w:eastAsia="Consolas"/>
          <w:sz w:val="24"/>
        </w:rPr>
        <w:t>C_i</w:t>
      </w:r>
      <w:r>
        <w:rPr>
          <w:rFonts w:ascii="Times New Roman" w:hAnsi="Times New Roman" w:eastAsia="宋体"/>
          <w:sz w:val="24"/>
        </w:rPr>
        <w:t xml:space="preserve">，单元字段值为 </w:t>
      </w:r>
      <w:r>
        <w:rPr>
          <w:rFonts w:ascii="Consolas" w:hAnsi="Consolas" w:eastAsia="Consolas"/>
          <w:sz w:val="24"/>
        </w:rPr>
        <w:t>u_e</w:t>
      </w:r>
      <w:r>
        <w:rPr>
          <w:rFonts w:ascii="Times New Roman" w:hAnsi="Times New Roman" w:eastAsia="宋体"/>
          <w:sz w:val="24"/>
        </w:rPr>
        <w:t>，则点级中间值可写为</w:t>
      </w:r>
    </w:p>
    <w:p>
      <w:pPr>
        <w:spacing w:line="240" w:lineRule="auto" w:before="80" w:after="80"/>
        <w:ind w:firstLine="0"/>
        <w:jc w:val="center"/>
      </w:pPr>
      <w:r>
        <w:rPr>
          <w:rFonts w:ascii="Cambria Math" w:hAnsi="Cambria Math" w:eastAsia="Cambria Math"/>
          <w:sz w:val="22"/>
        </w:rPr>
        <w:t>\tilde u_i = (1)/(|C_i|)∑_e ∈ C_iu_e</w:t>
      </w:r>
    </w:p>
    <w:p>
      <w:pPr>
        <w:spacing w:line="360" w:lineRule="auto" w:after="0"/>
        <w:ind w:firstLine="420"/>
      </w:pPr>
      <w:r>
        <w:rPr>
          <w:rFonts w:ascii="Times New Roman" w:hAnsi="Times New Roman" w:eastAsia="宋体"/>
          <w:sz w:val="24"/>
        </w:rPr>
        <w:t>得到点级中间场后，系统在单元中心参考坐标处计算形函数导数梯度：</w:t>
      </w:r>
    </w:p>
    <w:p>
      <w:pPr>
        <w:spacing w:line="240" w:lineRule="auto" w:before="80" w:after="80"/>
        <w:ind w:firstLine="0"/>
        <w:jc w:val="center"/>
      </w:pPr>
      <w:r>
        <w:rPr>
          <w:rFonts w:ascii="Cambria Math" w:hAnsi="Cambria Math" w:eastAsia="Cambria Math"/>
          <w:sz w:val="22"/>
        </w:rPr>
        <w:t>∇_x u_e = ∑_a \tilde u_a ∇_x N_a(ξ_c)</w:t>
      </w:r>
    </w:p>
    <w:p>
      <w:pPr>
        <w:spacing w:line="360" w:lineRule="auto" w:after="0"/>
        <w:ind w:firstLine="420"/>
      </w:pPr>
      <w:r>
        <w:rPr>
          <w:rFonts w:ascii="Times New Roman" w:hAnsi="Times New Roman" w:eastAsia="宋体"/>
          <w:sz w:val="24"/>
        </w:rPr>
        <w:t>其中，</w:t>
      </w:r>
      <w:r>
        <w:rPr>
          <w:rFonts w:ascii="Consolas" w:hAnsi="Consolas" w:eastAsia="Consolas"/>
          <w:sz w:val="24"/>
        </w:rPr>
        <w:t>\xi_c</w:t>
      </w:r>
      <w:r>
        <w:rPr>
          <w:rFonts w:ascii="Times New Roman" w:hAnsi="Times New Roman" w:eastAsia="宋体"/>
          <w:sz w:val="24"/>
        </w:rPr>
        <w:t xml:space="preserve"> 表示单元中心的参考坐标，</w:t>
      </w:r>
      <w:r>
        <w:rPr>
          <w:rFonts w:ascii="Consolas" w:hAnsi="Consolas" w:eastAsia="Consolas"/>
          <w:sz w:val="24"/>
        </w:rPr>
        <w:t>\tilde u_a</w:t>
      </w:r>
      <w:r>
        <w:rPr>
          <w:rFonts w:ascii="Times New Roman" w:hAnsi="Times New Roman" w:eastAsia="宋体"/>
          <w:sz w:val="24"/>
        </w:rPr>
        <w:t xml:space="preserve"> 表示单元节点对应的提升后字段值。该路径保留了单元数据的输出关联方式，最终梯度结果仍写回单元字段。当前实现采用等权平均作为点级中间场构造方式，主要用于保持实现简洁和验证流程闭环；对于单元体积、面积或形状差异较大的网格，后续可采用面积/体积加权平均或距离加权重构方法改进。由于单元场提升包含局部平均过程，非结构化单元数据梯度会受到局部重构方式影响，后续实验中将单元数据结果与点数据结果分开分析。</w:t>
      </w:r>
    </w:p>
    <w:p>
      <w:pPr>
        <w:pStyle w:val="3"/>
        <w:spacing w:line="360" w:lineRule="auto" w:before="120" w:after="120"/>
        <w:jc w:val="left"/>
      </w:pPr>
      <w:r>
        <w:rPr>
          <w:rFonts w:ascii="Times New Roman" w:hAnsi="Times New Roman" w:eastAsia="黑体"/>
          <w:b/>
          <w:sz w:val="24"/>
        </w:rPr>
        <w:t>4.3.4 GPU 实现与异常处理</w:t>
      </w:r>
    </w:p>
    <w:p>
      <w:pPr>
        <w:spacing w:line="360" w:lineRule="auto" w:after="0"/>
        <w:ind w:firstLine="420"/>
      </w:pPr>
      <w:r>
        <w:rPr>
          <w:rFonts w:ascii="Times New Roman" w:hAnsi="Times New Roman" w:eastAsia="宋体"/>
          <w:sz w:val="24"/>
        </w:rPr>
        <w:t xml:space="preserve">非结构化点数据梯度由 </w:t>
      </w:r>
      <w:r>
        <w:rPr>
          <w:rFonts w:ascii="Consolas" w:hAnsi="Consolas" w:eastAsia="Consolas"/>
          <w:sz w:val="24"/>
        </w:rPr>
        <w:t>ShapePointGradient.glsl</w:t>
      </w:r>
      <w:r>
        <w:rPr>
          <w:rFonts w:ascii="Times New Roman" w:hAnsi="Times New Roman" w:eastAsia="宋体"/>
          <w:sz w:val="24"/>
        </w:rPr>
        <w:t xml:space="preserve"> 计算。CPU 侧上传点坐标、单元连接、单元类型、点-单元关系和点字段值，GPU 端每个线程处理一个点。线程首先读取该点的关联单元范围，再对有效贡献单元计算局部梯度并平均写入输出缓冲。</w:t>
      </w:r>
    </w:p>
    <w:p>
      <w:pPr>
        <w:spacing w:line="360" w:lineRule="auto" w:after="0"/>
        <w:ind w:firstLine="420"/>
      </w:pPr>
      <w:r>
        <w:rPr>
          <w:rFonts w:ascii="Times New Roman" w:hAnsi="Times New Roman" w:eastAsia="宋体"/>
          <w:sz w:val="24"/>
        </w:rPr>
        <w:t xml:space="preserve">非结构化单元数据梯度分两步执行。第一步由 </w:t>
      </w:r>
      <w:r>
        <w:rPr>
          <w:rFonts w:ascii="Consolas" w:hAnsi="Consolas" w:eastAsia="Consolas"/>
          <w:sz w:val="24"/>
        </w:rPr>
        <w:t>CellDataToPointLift.glsl</w:t>
      </w:r>
      <w:r>
        <w:rPr>
          <w:rFonts w:ascii="Times New Roman" w:hAnsi="Times New Roman" w:eastAsia="宋体"/>
          <w:sz w:val="24"/>
        </w:rPr>
        <w:t xml:space="preserve"> 将单元字段提升为点级中间场；第二步由 </w:t>
      </w:r>
      <w:r>
        <w:rPr>
          <w:rFonts w:ascii="Consolas" w:hAnsi="Consolas" w:eastAsia="Consolas"/>
          <w:sz w:val="24"/>
        </w:rPr>
        <w:t>ShapeCellGradient.glsl</w:t>
      </w:r>
      <w:r>
        <w:rPr>
          <w:rFonts w:ascii="Times New Roman" w:hAnsi="Times New Roman" w:eastAsia="宋体"/>
          <w:sz w:val="24"/>
        </w:rPr>
        <w:t xml:space="preserve"> 在每个单元中心计算梯度。GPU 端每个线程对应一个点或一个单元，变长邻域通过 offset 数组定位。</w:t>
      </w:r>
    </w:p>
    <w:p>
      <w:pPr>
        <w:spacing w:line="360" w:lineRule="auto" w:after="0"/>
        <w:ind w:firstLine="420"/>
      </w:pPr>
      <w:r>
        <w:rPr>
          <w:rFonts w:ascii="Times New Roman" w:hAnsi="Times New Roman" w:eastAsia="宋体"/>
          <w:sz w:val="24"/>
        </w:rPr>
        <w:t>非结构化路径存在节点数不一致、单元类型不同、关联单元数量不固定等情况，因此输入数组需要在 CPU 侧进行基本校验。</w:t>
      </w:r>
      <w:r>
        <w:rPr>
          <w:rFonts w:ascii="Consolas" w:hAnsi="Consolas" w:eastAsia="Consolas"/>
          <w:sz w:val="24"/>
        </w:rPr>
        <w:t>GLGradientEngine</w:t>
      </w:r>
      <w:r>
        <w:rPr>
          <w:rFonts w:ascii="Times New Roman" w:hAnsi="Times New Roman" w:eastAsia="宋体"/>
          <w:sz w:val="24"/>
        </w:rPr>
        <w:t xml:space="preserve"> 在执行前检查 offset 数组、连接数组和字段长度；计算着色器在局部几何构造失败或映射关系无效时跳过无效贡献，且无效贡献不计入平均分母。若某采样对象没有有效贡献，则保留默认输出值并由后续统计分析识别该类边界情况。该处理方式用于限制局部异常单元对整体计算流程的影响。</w:t>
      </w:r>
    </w:p>
    <w:p>
      <w:pPr>
        <w:pStyle w:val="2"/>
        <w:spacing w:line="360" w:lineRule="auto" w:before="120" w:after="120"/>
        <w:jc w:val="left"/>
      </w:pPr>
      <w:r>
        <w:rPr>
          <w:rFonts w:ascii="Times New Roman" w:hAnsi="Times New Roman" w:eastAsia="黑体"/>
          <w:b/>
          <w:sz w:val="28"/>
        </w:rPr>
        <w:t>4.4 数据优化算法实现</w:t>
      </w:r>
    </w:p>
    <w:p>
      <w:pPr>
        <w:spacing w:line="360" w:lineRule="auto" w:after="0"/>
        <w:ind w:firstLine="420"/>
      </w:pPr>
      <w:r>
        <w:rPr>
          <w:rFonts w:ascii="Times New Roman" w:hAnsi="Times New Roman" w:eastAsia="宋体"/>
          <w:sz w:val="24"/>
        </w:rPr>
        <w:t xml:space="preserve">数据优化模块面向后处理字段中的局部随机高频波动，目标是在保留主要结构特征的同时抑制局部扰动。系统基于图邻域执行双边滤波，并通过多尺度分解与融合得到最终输出。该模块对应 </w:t>
      </w:r>
      <w:r>
        <w:rPr>
          <w:rFonts w:ascii="Consolas" w:hAnsi="Consolas" w:eastAsia="Consolas"/>
          <w:sz w:val="24"/>
        </w:rPr>
        <w:t>GLFilterEngine</w:t>
      </w:r>
      <w:r>
        <w:rPr>
          <w:rFonts w:ascii="Times New Roman" w:hAnsi="Times New Roman" w:eastAsia="宋体"/>
          <w:sz w:val="24"/>
        </w:rPr>
        <w:t>、</w:t>
      </w:r>
      <w:r>
        <w:rPr>
          <w:rFonts w:ascii="Consolas" w:hAnsi="Consolas" w:eastAsia="Consolas"/>
          <w:sz w:val="24"/>
        </w:rPr>
        <w:t>Bilateral.glsl</w:t>
      </w:r>
      <w:r>
        <w:rPr>
          <w:rFonts w:ascii="Times New Roman" w:hAnsi="Times New Roman" w:eastAsia="宋体"/>
          <w:sz w:val="24"/>
        </w:rPr>
        <w:t xml:space="preserve"> 和 </w:t>
      </w:r>
      <w:r>
        <w:rPr>
          <w:rFonts w:ascii="Consolas" w:hAnsi="Consolas" w:eastAsia="Consolas"/>
          <w:sz w:val="24"/>
        </w:rPr>
        <w:t>MultiScaleFuse.glsl</w:t>
      </w:r>
      <w:r>
        <w:rPr>
          <w:rFonts w:ascii="Times New Roman" w:hAnsi="Times New Roman" w:eastAsia="宋体"/>
          <w:sz w:val="24"/>
        </w:rPr>
        <w:t>。</w:t>
      </w:r>
    </w:p>
    <w:p>
      <w:pPr>
        <w:pStyle w:val="3"/>
        <w:spacing w:line="360" w:lineRule="auto" w:before="120" w:after="120"/>
        <w:jc w:val="left"/>
      </w:pPr>
      <w:r>
        <w:rPr>
          <w:rFonts w:ascii="Times New Roman" w:hAnsi="Times New Roman" w:eastAsia="黑体"/>
          <w:b/>
          <w:sz w:val="24"/>
        </w:rPr>
        <w:t>4.4.1 图双边滤波实现</w:t>
      </w:r>
    </w:p>
    <w:p>
      <w:pPr>
        <w:spacing w:line="360" w:lineRule="auto" w:after="0"/>
        <w:ind w:firstLine="420"/>
      </w:pPr>
      <w:r>
        <w:rPr>
          <w:rFonts w:ascii="Times New Roman" w:hAnsi="Times New Roman" w:eastAsia="宋体"/>
          <w:sz w:val="24"/>
        </w:rPr>
        <w:t xml:space="preserve">设采样对象 </w:t>
      </w:r>
      <w:r>
        <w:rPr>
          <w:rFonts w:ascii="Consolas" w:hAnsi="Consolas" w:eastAsia="Consolas"/>
          <w:sz w:val="24"/>
        </w:rPr>
        <w:t>i</w:t>
      </w:r>
      <w:r>
        <w:rPr>
          <w:rFonts w:ascii="Times New Roman" w:hAnsi="Times New Roman" w:eastAsia="宋体"/>
          <w:sz w:val="24"/>
        </w:rPr>
        <w:t xml:space="preserve"> 的邻域为 </w:t>
      </w:r>
      <w:r>
        <w:rPr>
          <w:rFonts w:ascii="Consolas" w:hAnsi="Consolas" w:eastAsia="Consolas"/>
          <w:sz w:val="24"/>
        </w:rPr>
        <w:t>N(i)</w:t>
      </w:r>
      <w:r>
        <w:rPr>
          <w:rFonts w:ascii="Times New Roman" w:hAnsi="Times New Roman" w:eastAsia="宋体"/>
          <w:sz w:val="24"/>
        </w:rPr>
        <w:t xml:space="preserve">，字段值为 </w:t>
      </w:r>
      <w:r>
        <w:rPr>
          <w:rFonts w:ascii="Consolas" w:hAnsi="Consolas" w:eastAsia="Consolas"/>
          <w:sz w:val="24"/>
        </w:rPr>
        <w:t>u_i</w:t>
      </w:r>
      <w:r>
        <w:rPr>
          <w:rFonts w:ascii="Times New Roman" w:hAnsi="Times New Roman" w:eastAsia="宋体"/>
          <w:sz w:val="24"/>
        </w:rPr>
        <w:t xml:space="preserve">，空间位置为 </w:t>
      </w:r>
      <w:r>
        <w:rPr>
          <w:rFonts w:ascii="Consolas" w:hAnsi="Consolas" w:eastAsia="Consolas"/>
          <w:sz w:val="24"/>
        </w:rPr>
        <w:t>x_i</w:t>
      </w:r>
      <w:r>
        <w:rPr>
          <w:rFonts w:ascii="Times New Roman" w:hAnsi="Times New Roman" w:eastAsia="宋体"/>
          <w:sz w:val="24"/>
        </w:rPr>
        <w:t>。图双边滤波可写为</w:t>
      </w:r>
    </w:p>
    <w:p>
      <w:pPr>
        <w:spacing w:line="240" w:lineRule="auto" w:before="80" w:after="80"/>
        <w:ind w:firstLine="0"/>
        <w:jc w:val="center"/>
      </w:pPr>
      <w:r>
        <w:rPr>
          <w:rFonts w:ascii="Cambria Math" w:hAnsi="Cambria Math" w:eastAsia="Cambria Math"/>
          <w:sz w:val="22"/>
        </w:rPr>
        <w:t>\tilde u_i = frac∑_j ∈ N(i) w_iju_j∑_j ∈ N(i) w_ij</w:t>
      </w:r>
    </w:p>
    <w:p>
      <w:pPr>
        <w:spacing w:line="360" w:lineRule="auto" w:after="0"/>
        <w:ind w:firstLine="420"/>
      </w:pPr>
      <w:r>
        <w:rPr>
          <w:rFonts w:ascii="Times New Roman" w:hAnsi="Times New Roman" w:eastAsia="宋体"/>
          <w:sz w:val="24"/>
        </w:rPr>
        <w:t>权重由空间项和值域项共同决定：</w:t>
      </w:r>
    </w:p>
    <w:p>
      <w:pPr>
        <w:spacing w:line="240" w:lineRule="auto" w:before="80" w:after="80"/>
        <w:ind w:firstLine="0"/>
        <w:jc w:val="center"/>
      </w:pPr>
      <w:r>
        <w:rPr>
          <w:rFonts w:ascii="Cambria Math" w:hAnsi="Cambria Math" w:eastAsia="Cambria Math"/>
          <w:sz w:val="22"/>
        </w:rPr>
        <w:t>w_ij=\exp(-≤ft\|x_i-x_j\|^2/(2σ_s^2))\exp(-≤ft\|u_i-u_j\|^2/(2σ_r^2))</w:t>
      </w:r>
    </w:p>
    <w:p>
      <w:pPr>
        <w:spacing w:line="360" w:lineRule="auto" w:after="0"/>
        <w:ind w:firstLine="420"/>
      </w:pPr>
      <w:r>
        <w:rPr>
          <w:rFonts w:ascii="Times New Roman" w:hAnsi="Times New Roman" w:eastAsia="宋体"/>
          <w:sz w:val="24"/>
        </w:rPr>
        <w:t>其中，</w:t>
      </w:r>
      <w:r>
        <w:rPr>
          <w:rFonts w:ascii="Consolas" w:hAnsi="Consolas" w:eastAsia="Consolas"/>
          <w:sz w:val="24"/>
        </w:rPr>
        <w:t>\sigma_s</w:t>
      </w:r>
      <w:r>
        <w:rPr>
          <w:rFonts w:ascii="Times New Roman" w:hAnsi="Times New Roman" w:eastAsia="宋体"/>
          <w:sz w:val="24"/>
        </w:rPr>
        <w:t xml:space="preserve"> 控制空间邻域影响范围，</w:t>
      </w:r>
      <w:r>
        <w:rPr>
          <w:rFonts w:ascii="Consolas" w:hAnsi="Consolas" w:eastAsia="Consolas"/>
          <w:sz w:val="24"/>
        </w:rPr>
        <w:t>\sigma_r</w:t>
      </w:r>
      <w:r>
        <w:rPr>
          <w:rFonts w:ascii="Times New Roman" w:hAnsi="Times New Roman" w:eastAsia="宋体"/>
          <w:sz w:val="24"/>
        </w:rPr>
        <w:t xml:space="preserve"> 控制字段值差异的抑制强度。对于多分量字段，值域差异按字段分量向量的范数计算；若字段为标量，则退化为标量差的平方。空间距离较近且字段值相近的样本具有较大权重；跨越明显字段差异的样本权重较小，从而减少跨边缘平滑[14][15]。</w:t>
      </w:r>
    </w:p>
    <w:p>
      <w:pPr>
        <w:spacing w:line="360" w:lineRule="auto" w:after="0"/>
        <w:ind w:firstLine="420"/>
      </w:pPr>
      <w:r>
        <w:rPr>
          <w:rFonts w:ascii="Times New Roman" w:hAnsi="Times New Roman" w:eastAsia="宋体"/>
          <w:sz w:val="24"/>
        </w:rPr>
        <w:t>系统将点邻域和单元邻域统一组织为 CSR 形式。GPU 线程根据采样对象编号读取 offset 数组，确定邻域在 neighbors 数组中的起止范围，并在该范围内完成权重计算和加权平均。</w:t>
      </w:r>
    </w:p>
    <w:p>
      <w:pPr>
        <w:pStyle w:val="3"/>
        <w:spacing w:line="360" w:lineRule="auto" w:before="120" w:after="120"/>
        <w:jc w:val="left"/>
      </w:pPr>
      <w:r>
        <w:rPr>
          <w:rFonts w:ascii="Times New Roman" w:hAnsi="Times New Roman" w:eastAsia="黑体"/>
          <w:b/>
          <w:sz w:val="24"/>
        </w:rPr>
        <w:t>4.4.2 多尺度融合实现</w:t>
      </w:r>
    </w:p>
    <w:p>
      <w:pPr>
        <w:spacing w:line="360" w:lineRule="auto" w:after="0"/>
        <w:ind w:firstLine="420"/>
      </w:pPr>
      <w:r>
        <w:rPr>
          <w:rFonts w:ascii="Times New Roman" w:hAnsi="Times New Roman" w:eastAsia="宋体"/>
          <w:sz w:val="24"/>
        </w:rPr>
        <w:t xml:space="preserve">单层双边滤波主要在给定尺度上执行平滑。为了处理不同尺度的局部波动，系统进一步采用多尺度分解与融合思想[21][22]。令 </w:t>
      </w:r>
      <w:r>
        <w:rPr>
          <w:rFonts w:ascii="Consolas" w:hAnsi="Consolas" w:eastAsia="Consolas"/>
          <w:sz w:val="24"/>
        </w:rPr>
        <w:t>B_l</w:t>
      </w:r>
      <w:r>
        <w:rPr>
          <w:rFonts w:ascii="Times New Roman" w:hAnsi="Times New Roman" w:eastAsia="宋体"/>
          <w:sz w:val="24"/>
        </w:rPr>
        <w:t xml:space="preserve"> 表示第 </w:t>
      </w:r>
      <w:r>
        <w:rPr>
          <w:rFonts w:ascii="Consolas" w:hAnsi="Consolas" w:eastAsia="Consolas"/>
          <w:sz w:val="24"/>
        </w:rPr>
        <w:t>l</w:t>
      </w:r>
      <w:r>
        <w:rPr>
          <w:rFonts w:ascii="Times New Roman" w:hAnsi="Times New Roman" w:eastAsia="宋体"/>
          <w:sz w:val="24"/>
        </w:rPr>
        <w:t xml:space="preserve"> 层双边平滑操作，初始字段为 </w:t>
      </w:r>
      <w:r>
        <w:rPr>
          <w:rFonts w:ascii="Consolas" w:hAnsi="Consolas" w:eastAsia="Consolas"/>
          <w:sz w:val="24"/>
        </w:rPr>
        <w:t>u^0=u</w:t>
      </w:r>
      <w:r>
        <w:rPr>
          <w:rFonts w:ascii="Times New Roman" w:hAnsi="Times New Roman" w:eastAsia="宋体"/>
          <w:sz w:val="24"/>
        </w:rPr>
        <w:t>，则多尺度平滑序列为</w:t>
      </w:r>
    </w:p>
    <w:p>
      <w:pPr>
        <w:spacing w:line="240" w:lineRule="auto" w:before="80" w:after="80"/>
        <w:ind w:firstLine="0"/>
        <w:jc w:val="center"/>
      </w:pPr>
      <w:r>
        <w:rPr>
          <w:rFonts w:ascii="Cambria Math" w:hAnsi="Cambria Math" w:eastAsia="Cambria Math"/>
          <w:sz w:val="22"/>
        </w:rPr>
        <w:t>u^l+1=B_l(u^l)</w:t>
      </w:r>
    </w:p>
    <w:p>
      <w:pPr>
        <w:spacing w:line="360" w:lineRule="auto" w:after="0"/>
        <w:ind w:firstLine="420"/>
      </w:pPr>
      <w:r>
        <w:rPr>
          <w:rFonts w:ascii="Times New Roman" w:hAnsi="Times New Roman" w:eastAsia="宋体"/>
          <w:sz w:val="24"/>
        </w:rPr>
        <w:t xml:space="preserve">第 </w:t>
      </w:r>
      <w:r>
        <w:rPr>
          <w:rFonts w:ascii="Consolas" w:hAnsi="Consolas" w:eastAsia="Consolas"/>
          <w:sz w:val="24"/>
        </w:rPr>
        <w:t>l</w:t>
      </w:r>
      <w:r>
        <w:rPr>
          <w:rFonts w:ascii="Times New Roman" w:hAnsi="Times New Roman" w:eastAsia="宋体"/>
          <w:sz w:val="24"/>
        </w:rPr>
        <w:t xml:space="preserve"> 层细节为</w:t>
      </w:r>
    </w:p>
    <w:p>
      <w:pPr>
        <w:spacing w:line="240" w:lineRule="auto" w:before="80" w:after="80"/>
        <w:ind w:firstLine="0"/>
        <w:jc w:val="center"/>
      </w:pPr>
      <w:r>
        <w:rPr>
          <w:rFonts w:ascii="Cambria Math" w:hAnsi="Cambria Math" w:eastAsia="Cambria Math"/>
          <w:sz w:val="22"/>
        </w:rPr>
        <w:t>d^l=u^l-u^l+1</w:t>
      </w:r>
    </w:p>
    <w:p>
      <w:pPr>
        <w:spacing w:line="360" w:lineRule="auto" w:after="0"/>
        <w:ind w:firstLine="420"/>
      </w:pPr>
      <w:r>
        <w:rPr>
          <w:rFonts w:ascii="Times New Roman" w:hAnsi="Times New Roman" w:eastAsia="宋体"/>
          <w:sz w:val="24"/>
        </w:rPr>
        <w:t>最终融合结果为</w:t>
      </w:r>
    </w:p>
    <w:p>
      <w:pPr>
        <w:spacing w:line="240" w:lineRule="auto" w:before="80" w:after="80"/>
        <w:ind w:firstLine="0"/>
        <w:jc w:val="center"/>
      </w:pPr>
      <w:r>
        <w:rPr>
          <w:rFonts w:ascii="Cambria Math" w:hAnsi="Cambria Math" w:eastAsia="Cambria Math"/>
          <w:sz w:val="22"/>
        </w:rPr>
        <w:t>\hat u=u^L+∑_l=0^L-1α_l d^l</w:t>
      </w:r>
    </w:p>
    <w:p>
      <w:pPr>
        <w:spacing w:line="360" w:lineRule="auto" w:after="0"/>
        <w:ind w:firstLine="420"/>
      </w:pPr>
      <w:r>
        <w:rPr>
          <w:rFonts w:ascii="Times New Roman" w:hAnsi="Times New Roman" w:eastAsia="宋体"/>
          <w:sz w:val="24"/>
        </w:rPr>
        <w:t>其中，</w:t>
      </w:r>
      <w:r>
        <w:rPr>
          <w:rFonts w:ascii="Consolas" w:hAnsi="Consolas" w:eastAsia="Consolas"/>
          <w:sz w:val="24"/>
        </w:rPr>
        <w:t>\alpha_l</w:t>
      </w:r>
      <w:r>
        <w:rPr>
          <w:rFonts w:ascii="Times New Roman" w:hAnsi="Times New Roman" w:eastAsia="宋体"/>
          <w:sz w:val="24"/>
        </w:rPr>
        <w:t xml:space="preserve"> 为细节层权重。较小的细节权重会增强平滑效果，较大的细节权重会保留更多局部变化。本文实验采用固定参数，参数效果和适用边界将在第五章结合实验结果分析。</w:t>
      </w:r>
    </w:p>
    <w:p>
      <w:pPr>
        <w:pStyle w:val="3"/>
        <w:spacing w:line="360" w:lineRule="auto" w:before="120" w:after="120"/>
        <w:jc w:val="left"/>
      </w:pPr>
      <w:r>
        <w:rPr>
          <w:rFonts w:ascii="Times New Roman" w:hAnsi="Times New Roman" w:eastAsia="黑体"/>
          <w:b/>
          <w:sz w:val="24"/>
        </w:rPr>
        <w:t>4.4.3 点数据与单元数据的数据优化路径</w:t>
      </w:r>
    </w:p>
    <w:p>
      <w:pPr>
        <w:spacing w:line="360" w:lineRule="auto" w:after="0"/>
        <w:ind w:firstLine="420"/>
      </w:pPr>
      <w:r>
        <w:rPr>
          <w:rFonts w:ascii="Times New Roman" w:hAnsi="Times New Roman" w:eastAsia="宋体"/>
          <w:sz w:val="24"/>
        </w:rPr>
        <w:t xml:space="preserve">数据优化需要保持字段关联方式一致。点数据使用 </w:t>
      </w:r>
      <w:r>
        <w:rPr>
          <w:rFonts w:ascii="Consolas" w:hAnsi="Consolas" w:eastAsia="Consolas"/>
          <w:sz w:val="24"/>
        </w:rPr>
        <w:t>points</w:t>
      </w:r>
      <w:r>
        <w:rPr>
          <w:rFonts w:ascii="Times New Roman" w:hAnsi="Times New Roman" w:eastAsia="宋体"/>
          <w:sz w:val="24"/>
        </w:rPr>
        <w:t xml:space="preserve"> 作为空间位置，使用 </w:t>
      </w:r>
      <w:r>
        <w:rPr>
          <w:rFonts w:ascii="Consolas" w:hAnsi="Consolas" w:eastAsia="Consolas"/>
          <w:sz w:val="24"/>
        </w:rPr>
        <w:t>pointNeighbors</w:t>
      </w:r>
      <w:r>
        <w:rPr>
          <w:rFonts w:ascii="Times New Roman" w:hAnsi="Times New Roman" w:eastAsia="宋体"/>
          <w:sz w:val="24"/>
        </w:rPr>
        <w:t xml:space="preserve"> 和 </w:t>
      </w:r>
      <w:r>
        <w:rPr>
          <w:rFonts w:ascii="Consolas" w:hAnsi="Consolas" w:eastAsia="Consolas"/>
          <w:sz w:val="24"/>
        </w:rPr>
        <w:t>pointNeighborOffsets</w:t>
      </w:r>
      <w:r>
        <w:rPr>
          <w:rFonts w:ascii="Times New Roman" w:hAnsi="Times New Roman" w:eastAsia="宋体"/>
          <w:sz w:val="24"/>
        </w:rPr>
        <w:t xml:space="preserve"> 作为滤波图；单元数据使用 </w:t>
      </w:r>
      <w:r>
        <w:rPr>
          <w:rFonts w:ascii="Consolas" w:hAnsi="Consolas" w:eastAsia="Consolas"/>
          <w:sz w:val="24"/>
        </w:rPr>
        <w:t>cellCenters</w:t>
      </w:r>
      <w:r>
        <w:rPr>
          <w:rFonts w:ascii="Times New Roman" w:hAnsi="Times New Roman" w:eastAsia="宋体"/>
          <w:sz w:val="24"/>
        </w:rPr>
        <w:t xml:space="preserve"> 作为空间位置，使用 </w:t>
      </w:r>
      <w:r>
        <w:rPr>
          <w:rFonts w:ascii="Consolas" w:hAnsi="Consolas" w:eastAsia="Consolas"/>
          <w:sz w:val="24"/>
        </w:rPr>
        <w:t>cellNeighbors</w:t>
      </w:r>
      <w:r>
        <w:rPr>
          <w:rFonts w:ascii="Times New Roman" w:hAnsi="Times New Roman" w:eastAsia="宋体"/>
          <w:sz w:val="24"/>
        </w:rPr>
        <w:t xml:space="preserve"> 和 </w:t>
      </w:r>
      <w:r>
        <w:rPr>
          <w:rFonts w:ascii="Consolas" w:hAnsi="Consolas" w:eastAsia="Consolas"/>
          <w:sz w:val="24"/>
        </w:rPr>
        <w:t>cellNeighborsOffsets</w:t>
      </w:r>
      <w:r>
        <w:rPr>
          <w:rFonts w:ascii="Times New Roman" w:hAnsi="Times New Roman" w:eastAsia="宋体"/>
          <w:sz w:val="24"/>
        </w:rPr>
        <w:t xml:space="preserve"> 作为滤波图。两类数据的输入、邻域和输出如表 4-4 所示。</w:t>
      </w:r>
    </w:p>
    <w:p>
      <w:pPr>
        <w:spacing w:line="240" w:lineRule="auto" w:before="80" w:after="80"/>
        <w:ind w:firstLine="0"/>
        <w:jc w:val="center"/>
      </w:pPr>
      <w:r>
        <w:rPr>
          <w:rFonts w:ascii="Times New Roman" w:hAnsi="Times New Roman" w:eastAsia="宋体"/>
          <w:sz w:val="21"/>
        </w:rPr>
        <w:t>表 4-4 点数据与单元数据的数据优化路径</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字段类型</w:t>
            </w:r>
          </w:p>
        </w:tc>
        <w:tc>
          <w:tcPr>
            <w:tcW w:type="dxa" w:w="2197"/>
            <w:vAlign w:val="center"/>
          </w:tcPr>
          <w:p>
            <w:pPr>
              <w:spacing w:line="240" w:lineRule="auto"/>
              <w:jc w:val="center"/>
            </w:pPr>
            <w:r>
              <w:rPr>
                <w:rFonts w:ascii="Times New Roman" w:hAnsi="Times New Roman" w:eastAsia="宋体"/>
                <w:b/>
                <w:sz w:val="21"/>
              </w:rPr>
              <w:t>空间位置</w:t>
            </w:r>
          </w:p>
        </w:tc>
        <w:tc>
          <w:tcPr>
            <w:tcW w:type="dxa" w:w="2197"/>
            <w:vAlign w:val="center"/>
          </w:tcPr>
          <w:p>
            <w:pPr>
              <w:spacing w:line="240" w:lineRule="auto"/>
              <w:jc w:val="center"/>
            </w:pPr>
            <w:r>
              <w:rPr>
                <w:rFonts w:ascii="Times New Roman" w:hAnsi="Times New Roman" w:eastAsia="宋体"/>
                <w:b/>
                <w:sz w:val="21"/>
              </w:rPr>
              <w:t>邻域结构</w:t>
            </w:r>
          </w:p>
        </w:tc>
        <w:tc>
          <w:tcPr>
            <w:tcW w:type="dxa" w:w="2197"/>
            <w:vAlign w:val="center"/>
          </w:tcPr>
          <w:p>
            <w:pPr>
              <w:spacing w:line="240" w:lineRule="auto"/>
              <w:jc w:val="center"/>
            </w:pPr>
            <w:r>
              <w:rPr>
                <w:rFonts w:ascii="Times New Roman" w:hAnsi="Times New Roman" w:eastAsia="宋体"/>
                <w:b/>
                <w:sz w:val="21"/>
              </w:rPr>
              <w:t>输出位置</w:t>
            </w:r>
          </w:p>
        </w:tc>
      </w:tr>
      <w:tr>
        <w:tc>
          <w:tcPr>
            <w:tcW w:type="dxa" w:w="2197"/>
            <w:vAlign w:val="center"/>
          </w:tcPr>
          <w:p>
            <w:pPr>
              <w:spacing w:line="240" w:lineRule="auto"/>
              <w:jc w:val="center"/>
            </w:pPr>
            <w:r>
              <w:rPr>
                <w:rFonts w:ascii="Times New Roman" w:hAnsi="Times New Roman" w:eastAsia="宋体"/>
                <w:b w:val="0"/>
                <w:sz w:val="21"/>
              </w:rPr>
              <w:t>点数据</w:t>
            </w:r>
          </w:p>
        </w:tc>
        <w:tc>
          <w:tcPr>
            <w:tcW w:type="dxa" w:w="2197"/>
            <w:vAlign w:val="center"/>
          </w:tcPr>
          <w:p>
            <w:pPr>
              <w:spacing w:line="240" w:lineRule="auto"/>
              <w:jc w:val="center"/>
            </w:pPr>
            <w:r>
              <w:rPr>
                <w:rFonts w:ascii="Consolas" w:hAnsi="Consolas" w:eastAsia="Consolas"/>
                <w:b w:val="0"/>
                <w:sz w:val="21"/>
              </w:rPr>
              <w:t>points</w:t>
            </w:r>
          </w:p>
        </w:tc>
        <w:tc>
          <w:tcPr>
            <w:tcW w:type="dxa" w:w="2197"/>
            <w:vAlign w:val="center"/>
          </w:tcPr>
          <w:p>
            <w:pPr>
              <w:spacing w:line="240" w:lineRule="auto"/>
              <w:jc w:val="center"/>
            </w:pPr>
            <w:r>
              <w:rPr>
                <w:rFonts w:ascii="Times New Roman" w:hAnsi="Times New Roman" w:eastAsia="宋体"/>
                <w:b w:val="0"/>
                <w:sz w:val="21"/>
              </w:rPr>
              <w:t>点邻域 CSR</w:t>
            </w:r>
          </w:p>
        </w:tc>
        <w:tc>
          <w:tcPr>
            <w:tcW w:type="dxa" w:w="2197"/>
            <w:vAlign w:val="center"/>
          </w:tcPr>
          <w:p>
            <w:pPr>
              <w:spacing w:line="240" w:lineRule="auto"/>
              <w:jc w:val="center"/>
            </w:pPr>
            <w:r>
              <w:rPr>
                <w:rFonts w:ascii="Times New Roman" w:hAnsi="Times New Roman" w:eastAsia="宋体"/>
                <w:b w:val="0"/>
                <w:sz w:val="21"/>
              </w:rPr>
              <w:t>点字段</w:t>
            </w:r>
          </w:p>
        </w:tc>
      </w:tr>
      <w:tr>
        <w:tc>
          <w:tcPr>
            <w:tcW w:type="dxa" w:w="2197"/>
            <w:vAlign w:val="center"/>
          </w:tcPr>
          <w:p>
            <w:pPr>
              <w:spacing w:line="240" w:lineRule="auto"/>
              <w:jc w:val="center"/>
            </w:pPr>
            <w:r>
              <w:rPr>
                <w:rFonts w:ascii="Times New Roman" w:hAnsi="Times New Roman" w:eastAsia="宋体"/>
                <w:b w:val="0"/>
                <w:sz w:val="21"/>
              </w:rPr>
              <w:t>单元数据</w:t>
            </w:r>
          </w:p>
        </w:tc>
        <w:tc>
          <w:tcPr>
            <w:tcW w:type="dxa" w:w="2197"/>
            <w:vAlign w:val="center"/>
          </w:tcPr>
          <w:p>
            <w:pPr>
              <w:spacing w:line="240" w:lineRule="auto"/>
              <w:jc w:val="center"/>
            </w:pPr>
            <w:r>
              <w:rPr>
                <w:rFonts w:ascii="Consolas" w:hAnsi="Consolas" w:eastAsia="Consolas"/>
                <w:b w:val="0"/>
                <w:sz w:val="21"/>
              </w:rPr>
              <w:t>cellCenters</w:t>
            </w:r>
          </w:p>
        </w:tc>
        <w:tc>
          <w:tcPr>
            <w:tcW w:type="dxa" w:w="2197"/>
            <w:vAlign w:val="center"/>
          </w:tcPr>
          <w:p>
            <w:pPr>
              <w:spacing w:line="240" w:lineRule="auto"/>
              <w:jc w:val="center"/>
            </w:pPr>
            <w:r>
              <w:rPr>
                <w:rFonts w:ascii="Times New Roman" w:hAnsi="Times New Roman" w:eastAsia="宋体"/>
                <w:b w:val="0"/>
                <w:sz w:val="21"/>
              </w:rPr>
              <w:t>单元邻域 CSR</w:t>
            </w:r>
          </w:p>
        </w:tc>
        <w:tc>
          <w:tcPr>
            <w:tcW w:type="dxa" w:w="2197"/>
            <w:vAlign w:val="center"/>
          </w:tcPr>
          <w:p>
            <w:pPr>
              <w:spacing w:line="240" w:lineRule="auto"/>
              <w:jc w:val="center"/>
            </w:pPr>
            <w:r>
              <w:rPr>
                <w:rFonts w:ascii="Times New Roman" w:hAnsi="Times New Roman" w:eastAsia="宋体"/>
                <w:b w:val="0"/>
                <w:sz w:val="21"/>
              </w:rPr>
              <w:t>单元字段</w:t>
            </w:r>
          </w:p>
        </w:tc>
      </w:tr>
    </w:tbl>
    <w:p/>
    <w:p>
      <w:pPr>
        <w:spacing w:line="360" w:lineRule="auto" w:after="0"/>
        <w:ind w:firstLine="420"/>
      </w:pPr>
      <w:r>
        <w:rPr>
          <w:rFonts w:ascii="Times New Roman" w:hAnsi="Times New Roman" w:eastAsia="宋体"/>
          <w:sz w:val="24"/>
        </w:rPr>
        <w:t>结构化网格的数据优化使用由维度生成的 6 邻域图，非结构化网格的数据优化使用拓扑邻域。通过统一 CSR 邻域接口，</w:t>
      </w:r>
      <w:r>
        <w:rPr>
          <w:rFonts w:ascii="Consolas" w:hAnsi="Consolas" w:eastAsia="Consolas"/>
          <w:sz w:val="24"/>
        </w:rPr>
        <w:t>GLFilterEngine</w:t>
      </w:r>
      <w:r>
        <w:rPr>
          <w:rFonts w:ascii="Times New Roman" w:hAnsi="Times New Roman" w:eastAsia="宋体"/>
          <w:sz w:val="24"/>
        </w:rPr>
        <w:t xml:space="preserve"> 能够在不同网格类型和字段关联方式下复用同一套滤波流程。</w:t>
      </w:r>
    </w:p>
    <w:p>
      <w:pPr>
        <w:pStyle w:val="3"/>
        <w:spacing w:line="360" w:lineRule="auto" w:before="120" w:after="120"/>
        <w:jc w:val="left"/>
      </w:pPr>
      <w:r>
        <w:rPr>
          <w:rFonts w:ascii="Times New Roman" w:hAnsi="Times New Roman" w:eastAsia="黑体"/>
          <w:b/>
          <w:sz w:val="24"/>
        </w:rPr>
        <w:t>4.4.4 GPU 实现</w:t>
      </w:r>
    </w:p>
    <w:p>
      <w:pPr>
        <w:spacing w:line="360" w:lineRule="auto" w:after="0"/>
        <w:ind w:firstLine="420"/>
      </w:pPr>
      <w:r>
        <w:rPr>
          <w:rFonts w:ascii="Times New Roman" w:hAnsi="Times New Roman" w:eastAsia="宋体"/>
          <w:sz w:val="24"/>
        </w:rPr>
        <w:t xml:space="preserve">数据优化的 GPU 实现分为滤波和融合两个阶段。滤波阶段上传位置数组、字段值数组、邻域 offset 数组和邻居索引数组，由 </w:t>
      </w:r>
      <w:r>
        <w:rPr>
          <w:rFonts w:ascii="Consolas" w:hAnsi="Consolas" w:eastAsia="Consolas"/>
          <w:sz w:val="24"/>
        </w:rPr>
        <w:t>Bilateral.glsl</w:t>
      </w:r>
      <w:r>
        <w:rPr>
          <w:rFonts w:ascii="Times New Roman" w:hAnsi="Times New Roman" w:eastAsia="宋体"/>
          <w:sz w:val="24"/>
        </w:rPr>
        <w:t xml:space="preserve"> 对每个采样对象执行局部加权平均。融合阶段上传多尺度平滑结果和细节层权重，由 </w:t>
      </w:r>
      <w:r>
        <w:rPr>
          <w:rFonts w:ascii="Consolas" w:hAnsi="Consolas" w:eastAsia="Consolas"/>
          <w:sz w:val="24"/>
        </w:rPr>
        <w:t>MultiScaleFuse.glsl</w:t>
      </w:r>
      <w:r>
        <w:rPr>
          <w:rFonts w:ascii="Times New Roman" w:hAnsi="Times New Roman" w:eastAsia="宋体"/>
          <w:sz w:val="24"/>
        </w:rPr>
        <w:t xml:space="preserve"> 计算最终融合字段。</w:t>
      </w:r>
    </w:p>
    <w:p>
      <w:pPr>
        <w:spacing w:line="360" w:lineRule="auto" w:after="0"/>
        <w:ind w:firstLine="420"/>
      </w:pPr>
      <w:r>
        <w:rPr>
          <w:rFonts w:ascii="Times New Roman" w:hAnsi="Times New Roman" w:eastAsia="宋体"/>
          <w:sz w:val="24"/>
        </w:rPr>
        <w:t>与梯度计算类似，数据优化模块也按采样对象并行执行。每个线程只写入自身对应的输出位置，避免多个线程同时写同一字段值。计算完成后，CPU 侧读取输出缓冲，并以新增字段形式写回内部数据对象。</w:t>
      </w:r>
    </w:p>
    <w:p>
      <w:pPr>
        <w:pStyle w:val="2"/>
        <w:spacing w:line="360" w:lineRule="auto" w:before="120" w:after="120"/>
        <w:jc w:val="left"/>
      </w:pPr>
      <w:r>
        <w:rPr>
          <w:rFonts w:ascii="Times New Roman" w:hAnsi="Times New Roman" w:eastAsia="黑体"/>
          <w:b/>
          <w:sz w:val="28"/>
        </w:rPr>
        <w:t>4.5 OpenGL 计算组织与结果写回</w:t>
      </w:r>
    </w:p>
    <w:p>
      <w:pPr>
        <w:spacing w:line="360" w:lineRule="auto" w:after="0"/>
        <w:ind w:firstLine="420"/>
      </w:pPr>
      <w:r>
        <w:rPr>
          <w:rFonts w:ascii="Times New Roman" w:hAnsi="Times New Roman" w:eastAsia="宋体"/>
          <w:sz w:val="24"/>
        </w:rPr>
        <w:t>系统中的核心算法均通过 OpenGL Compute Shader 执行。OpenGL 计算组织包括缓冲区准备、参数设置、计算调度、同步和结果读回五个环节。其通用流程如下：</w:t>
      </w:r>
    </w:p>
    <w:p>
      <w:pPr>
        <w:spacing w:line="360" w:lineRule="auto" w:after="0"/>
        <w:ind w:firstLine="420"/>
      </w:pPr>
      <w:r>
        <w:rPr>
          <w:rFonts w:ascii="Times New Roman" w:hAnsi="Times New Roman" w:eastAsia="宋体"/>
          <w:sz w:val="24"/>
        </w:rPr>
        <w:t>1. 根据算法路径准备输入数组和输出数组；</w:t>
      </w:r>
    </w:p>
    <w:p>
      <w:pPr>
        <w:spacing w:line="360" w:lineRule="auto" w:after="0"/>
        <w:ind w:firstLine="420"/>
      </w:pPr>
      <w:r>
        <w:rPr>
          <w:rFonts w:ascii="Times New Roman" w:hAnsi="Times New Roman" w:eastAsia="宋体"/>
          <w:sz w:val="24"/>
        </w:rPr>
        <w:t>2. 创建或更新 SSBO，并绑定到着色器指定绑定点；</w:t>
      </w:r>
    </w:p>
    <w:p>
      <w:pPr>
        <w:spacing w:line="360" w:lineRule="auto" w:after="0"/>
        <w:ind w:firstLine="420"/>
      </w:pPr>
      <w:r>
        <w:rPr>
          <w:rFonts w:ascii="Times New Roman" w:hAnsi="Times New Roman" w:eastAsia="宋体"/>
          <w:sz w:val="24"/>
        </w:rPr>
        <w:t>3. 设置网格维度、字段分量数、采样对象数量和算法参数；</w:t>
      </w:r>
    </w:p>
    <w:p>
      <w:pPr>
        <w:spacing w:line="360" w:lineRule="auto" w:after="0"/>
        <w:ind w:firstLine="420"/>
      </w:pPr>
      <w:r>
        <w:rPr>
          <w:rFonts w:ascii="Times New Roman" w:hAnsi="Times New Roman" w:eastAsia="宋体"/>
          <w:sz w:val="24"/>
        </w:rPr>
        <w:t xml:space="preserve">4. 调用 </w:t>
      </w:r>
      <w:r>
        <w:rPr>
          <w:rFonts w:ascii="Consolas" w:hAnsi="Consolas" w:eastAsia="Consolas"/>
          <w:sz w:val="24"/>
        </w:rPr>
        <w:t>glDispatchCompute</w:t>
      </w:r>
      <w:r>
        <w:rPr>
          <w:rFonts w:ascii="Times New Roman" w:hAnsi="Times New Roman" w:eastAsia="宋体"/>
          <w:sz w:val="24"/>
        </w:rPr>
        <w:t xml:space="preserve"> 启动计算；</w:t>
      </w:r>
    </w:p>
    <w:p>
      <w:pPr>
        <w:spacing w:line="360" w:lineRule="auto" w:after="0"/>
        <w:ind w:firstLine="420"/>
      </w:pPr>
      <w:r>
        <w:rPr>
          <w:rFonts w:ascii="Times New Roman" w:hAnsi="Times New Roman" w:eastAsia="宋体"/>
          <w:sz w:val="24"/>
        </w:rPr>
        <w:t>5. 使用内存屏障保证写入结果对后续读回可见；</w:t>
      </w:r>
    </w:p>
    <w:p>
      <w:pPr>
        <w:spacing w:line="360" w:lineRule="auto" w:after="0"/>
        <w:ind w:firstLine="420"/>
      </w:pPr>
      <w:r>
        <w:rPr>
          <w:rFonts w:ascii="Times New Roman" w:hAnsi="Times New Roman" w:eastAsia="宋体"/>
          <w:sz w:val="24"/>
        </w:rPr>
        <w:t xml:space="preserve">6. 读取输出缓冲并写回 </w:t>
      </w:r>
      <w:r>
        <w:rPr>
          <w:rFonts w:ascii="Consolas" w:hAnsi="Consolas" w:eastAsia="Consolas"/>
          <w:sz w:val="24"/>
        </w:rPr>
        <w:t>dataArrays</w:t>
      </w:r>
      <w:r>
        <w:rPr>
          <w:rFonts w:ascii="Times New Roman" w:hAnsi="Times New Roman" w:eastAsia="宋体"/>
          <w:sz w:val="24"/>
        </w:rPr>
        <w:t>。</w:t>
      </w:r>
    </w:p>
    <w:p>
      <w:pPr>
        <w:spacing w:line="360" w:lineRule="auto" w:after="0"/>
        <w:ind w:firstLine="420"/>
      </w:pPr>
      <w:r>
        <w:rPr>
          <w:rFonts w:ascii="Times New Roman" w:hAnsi="Times New Roman" w:eastAsia="宋体"/>
          <w:sz w:val="24"/>
        </w:rPr>
        <w:t>在具体实现中，系统主要从数据布局和数据传输两个方面降低 GPU 端访问复杂度。点坐标、单元中心、字段值和输出结果均采用连续数组组织，便于 SSBO 按索引读取；非结构化网格中的变长关系通过 offset 数组和索引数组表示，使线程能够根据自身编号定位对应邻域；结构化网格梯度计算不上传显式邻接表，而是由维度直接恢复相邻样本，以减少缓冲区规模；各算法在 GPU 端完成一轮或多轮计算后再统一读回结果，减少计算过程中 CPU 与 GPU 之间的频繁数据传输。</w:t>
      </w:r>
    </w:p>
    <w:p>
      <w:pPr>
        <w:spacing w:line="360" w:lineRule="auto" w:after="0"/>
        <w:ind w:firstLine="420"/>
      </w:pPr>
      <w:r>
        <w:rPr>
          <w:rFonts w:ascii="Times New Roman" w:hAnsi="Times New Roman" w:eastAsia="宋体"/>
          <w:sz w:val="24"/>
        </w:rPr>
        <w:t xml:space="preserve">梯度计算和数据优化在输出布局上存在差异。若输入字段分量数为 </w:t>
      </w:r>
      <w:r>
        <w:rPr>
          <w:rFonts w:ascii="Consolas" w:hAnsi="Consolas" w:eastAsia="Consolas"/>
          <w:sz w:val="24"/>
        </w:rPr>
        <w:t>m</w:t>
      </w:r>
      <w:r>
        <w:rPr>
          <w:rFonts w:ascii="Times New Roman" w:hAnsi="Times New Roman" w:eastAsia="宋体"/>
          <w:sz w:val="24"/>
        </w:rPr>
        <w:t xml:space="preserve">，梯度计算输出 </w:t>
      </w:r>
      <w:r>
        <w:rPr>
          <w:rFonts w:ascii="Consolas" w:hAnsi="Consolas" w:eastAsia="Consolas"/>
          <w:sz w:val="24"/>
        </w:rPr>
        <w:t>3m</w:t>
      </w:r>
      <w:r>
        <w:rPr>
          <w:rFonts w:ascii="Times New Roman" w:hAnsi="Times New Roman" w:eastAsia="宋体"/>
          <w:sz w:val="24"/>
        </w:rPr>
        <w:t xml:space="preserve"> 个分量，依次表示每个输入分量在三个空间方向上的导数；数据优化输出仍为 </w:t>
      </w:r>
      <w:r>
        <w:rPr>
          <w:rFonts w:ascii="Consolas" w:hAnsi="Consolas" w:eastAsia="Consolas"/>
          <w:sz w:val="24"/>
        </w:rPr>
        <w:t>m</w:t>
      </w:r>
      <w:r>
        <w:rPr>
          <w:rFonts w:ascii="Times New Roman" w:hAnsi="Times New Roman" w:eastAsia="宋体"/>
          <w:sz w:val="24"/>
        </w:rPr>
        <w:t xml:space="preserve"> 个分量，与原字段保持相同关联方式。系统在写回字段时同时保存字段名称、字段分量数和字段关联方式，使导出后的 VTK 数据能够被 ParaView 正确识别。</w:t>
      </w:r>
    </w:p>
    <w:p>
      <w:pPr>
        <w:spacing w:line="360" w:lineRule="auto" w:after="0"/>
        <w:ind w:firstLine="420"/>
      </w:pPr>
      <w:r>
        <w:rPr>
          <w:rFonts w:ascii="Times New Roman" w:hAnsi="Times New Roman" w:eastAsia="宋体"/>
          <w:sz w:val="24"/>
        </w:rPr>
        <w:t>系统还记录 GPU 计算时间和总运行时间。GPU 时间通过 OpenGL 时间查询获得，用于描述计算着色器执行阶段耗时；总运行时间包含数据准备、调度、结果读回和写回等过程，用于第五章性能实验中的整体对比。通过区分两类时间指标，能够分别分析 GPU 核心计算效率和系统端到端处理开销。</w:t>
      </w:r>
    </w:p>
    <w:p>
      <w:pPr>
        <w:pStyle w:val="2"/>
        <w:spacing w:line="360" w:lineRule="auto" w:before="120" w:after="120"/>
        <w:jc w:val="left"/>
      </w:pPr>
      <w:r>
        <w:rPr>
          <w:rFonts w:ascii="Times New Roman" w:hAnsi="Times New Roman" w:eastAsia="黑体"/>
          <w:b/>
          <w:sz w:val="28"/>
        </w:rPr>
        <w:t>4.6 本章小结</w:t>
      </w:r>
    </w:p>
    <w:p>
      <w:pPr>
        <w:spacing w:line="360" w:lineRule="auto" w:after="0"/>
        <w:ind w:firstLine="420"/>
      </w:pPr>
      <w:r>
        <w:rPr>
          <w:rFonts w:ascii="Times New Roman" w:hAnsi="Times New Roman" w:eastAsia="宋体"/>
          <w:sz w:val="24"/>
        </w:rPr>
        <w:t>本章说明了系统核心算法的实现方式。结构化网格梯度计算采用有限差分路径，通过逻辑索引访问相邻样本，并结合 Jacobian 关系恢复物理空间梯度；非结构化网格梯度计算采用形函数导数路径，围绕三角形、四边形、四面体和六面体单元组织点数据和单元数据处理；数据优化模块基于图双边滤波和多尺度融合，对点字段和单元字段分别使用对应邻域图。最后，本章说明了 OpenGL 计算调度、SSBO 数据传输、结果读回和字段写回方式，为第五章实验验证提供算法实现基础。</w:t>
      </w:r>
    </w:p>
    <w:p>
      <w:r>
        <w:br w:type="page"/>
      </w:r>
    </w:p>
    <w:p>
      <w:pPr>
        <w:pStyle w:val="1"/>
        <w:spacing w:line="360" w:lineRule="auto" w:before="240" w:after="120"/>
        <w:jc w:val="center"/>
      </w:pPr>
      <w:r>
        <w:rPr>
          <w:rFonts w:ascii="Times New Roman" w:hAnsi="Times New Roman" w:eastAsia="黑体"/>
          <w:b/>
          <w:sz w:val="32"/>
        </w:rPr>
        <w:t>第五章 实验设计与结果分析</w:t>
      </w:r>
    </w:p>
    <w:p>
      <w:pPr>
        <w:pStyle w:val="2"/>
        <w:spacing w:line="360" w:lineRule="auto" w:before="120" w:after="120"/>
        <w:jc w:val="left"/>
      </w:pPr>
      <w:r>
        <w:rPr>
          <w:rFonts w:ascii="Times New Roman" w:hAnsi="Times New Roman" w:eastAsia="黑体"/>
          <w:b/>
          <w:sz w:val="28"/>
        </w:rPr>
        <w:t>5.1 实验目标、环境与数据集</w:t>
      </w:r>
    </w:p>
    <w:p>
      <w:pPr>
        <w:spacing w:line="360" w:lineRule="auto" w:after="0"/>
        <w:ind w:firstLine="420"/>
      </w:pPr>
      <w:r>
        <w:rPr>
          <w:rFonts w:ascii="Times New Roman" w:hAnsi="Times New Roman" w:eastAsia="宋体"/>
          <w:sz w:val="24"/>
        </w:rPr>
        <w:t>本文实验围绕核心算法和系统实现展开，主要包括解析场验证、与 VTK 结果一致性对比、与 VTK 的时间性能对比和数据优化实验。解析场验证用于检查梯度计算算法的数值正确性；VTK 一致性对比用于分析系统输出与成熟工具结果之间的差异；时间性能对比用于评价当前 OpenGL 实现的运行效率；数据优化实验用于验证系统对局部随机高频扰动的抑制效果。四组实验分别从解析真值、工程参考、运行效率和数据优化效果四个方面评价本文系统。</w:t>
      </w:r>
    </w:p>
    <w:p>
      <w:pPr>
        <w:spacing w:line="360" w:lineRule="auto" w:after="0"/>
        <w:ind w:firstLine="420"/>
      </w:pPr>
      <w:r>
        <w:rPr>
          <w:rFonts w:ascii="Times New Roman" w:hAnsi="Times New Roman" w:eastAsia="宋体"/>
          <w:sz w:val="24"/>
        </w:rPr>
        <w:t>实验环境如表 5-1 所示。</w:t>
      </w:r>
    </w:p>
    <w:p>
      <w:pPr>
        <w:spacing w:line="240" w:lineRule="auto" w:before="80" w:after="80"/>
        <w:ind w:firstLine="0"/>
        <w:jc w:val="center"/>
      </w:pPr>
      <w:r>
        <w:rPr>
          <w:rFonts w:ascii="Times New Roman" w:hAnsi="Times New Roman" w:eastAsia="宋体"/>
          <w:sz w:val="21"/>
        </w:rPr>
        <w:t>表 5-1 实验环境配置</w:t>
      </w:r>
    </w:p>
    <w:tbl>
      <w:tblPr>
        <w:tblStyle w:val="a6"/>
        <w:tblW w:type="auto" w:w="0"/>
        <w:jc w:val="center"/>
        <w:tblLayout w:type="autofit"/>
        <w:tblLook w:firstColumn="1" w:firstRow="1" w:lastColumn="0" w:lastRow="0" w:noHBand="0" w:noVBand="1" w:val="04A0"/>
      </w:tblPr>
      <w:tblGrid>
        <w:gridCol w:w="4394"/>
        <w:gridCol w:w="4394"/>
      </w:tblGrid>
      <w:tr>
        <w:tc>
          <w:tcPr>
            <w:tcW w:type="dxa" w:w="4394"/>
            <w:vAlign w:val="center"/>
          </w:tcPr>
          <w:p>
            <w:pPr>
              <w:spacing w:line="240" w:lineRule="auto"/>
              <w:jc w:val="center"/>
            </w:pPr>
            <w:r>
              <w:rPr>
                <w:rFonts w:ascii="Times New Roman" w:hAnsi="Times New Roman" w:eastAsia="宋体"/>
                <w:b/>
                <w:sz w:val="21"/>
              </w:rPr>
              <w:t>项目</w:t>
            </w:r>
          </w:p>
        </w:tc>
        <w:tc>
          <w:tcPr>
            <w:tcW w:type="dxa" w:w="4394"/>
            <w:vAlign w:val="center"/>
          </w:tcPr>
          <w:p>
            <w:pPr>
              <w:spacing w:line="240" w:lineRule="auto"/>
              <w:jc w:val="center"/>
            </w:pPr>
            <w:r>
              <w:rPr>
                <w:rFonts w:ascii="Times New Roman" w:hAnsi="Times New Roman" w:eastAsia="宋体"/>
                <w:b/>
                <w:sz w:val="21"/>
              </w:rPr>
              <w:t>配置</w:t>
            </w:r>
          </w:p>
        </w:tc>
      </w:tr>
      <w:tr>
        <w:tc>
          <w:tcPr>
            <w:tcW w:type="dxa" w:w="4394"/>
            <w:vAlign w:val="center"/>
          </w:tcPr>
          <w:p>
            <w:pPr>
              <w:spacing w:line="240" w:lineRule="auto"/>
              <w:jc w:val="center"/>
            </w:pPr>
            <w:r>
              <w:rPr>
                <w:rFonts w:ascii="Times New Roman" w:hAnsi="Times New Roman" w:eastAsia="宋体"/>
                <w:b w:val="0"/>
                <w:sz w:val="21"/>
              </w:rPr>
              <w:t>操作系统</w:t>
            </w:r>
          </w:p>
        </w:tc>
        <w:tc>
          <w:tcPr>
            <w:tcW w:type="dxa" w:w="4394"/>
            <w:vAlign w:val="center"/>
          </w:tcPr>
          <w:p>
            <w:pPr>
              <w:spacing w:line="240" w:lineRule="auto"/>
              <w:jc w:val="center"/>
            </w:pPr>
            <w:r>
              <w:rPr>
                <w:rFonts w:ascii="Times New Roman" w:hAnsi="Times New Roman" w:eastAsia="宋体"/>
                <w:b w:val="0"/>
                <w:sz w:val="21"/>
              </w:rPr>
              <w:t>Windows x64</w:t>
            </w:r>
          </w:p>
        </w:tc>
      </w:tr>
      <w:tr>
        <w:tc>
          <w:tcPr>
            <w:tcW w:type="dxa" w:w="4394"/>
            <w:vAlign w:val="center"/>
          </w:tcPr>
          <w:p>
            <w:pPr>
              <w:spacing w:line="240" w:lineRule="auto"/>
              <w:jc w:val="center"/>
            </w:pPr>
            <w:r>
              <w:rPr>
                <w:rFonts w:ascii="Times New Roman" w:hAnsi="Times New Roman" w:eastAsia="宋体"/>
                <w:b w:val="0"/>
                <w:sz w:val="21"/>
              </w:rPr>
              <w:t>CPU</w:t>
            </w:r>
          </w:p>
        </w:tc>
        <w:tc>
          <w:tcPr>
            <w:tcW w:type="dxa" w:w="4394"/>
            <w:vAlign w:val="center"/>
          </w:tcPr>
          <w:p>
            <w:pPr>
              <w:spacing w:line="240" w:lineRule="auto"/>
              <w:jc w:val="center"/>
            </w:pPr>
            <w:r>
              <w:rPr>
                <w:rFonts w:ascii="Times New Roman" w:hAnsi="Times New Roman" w:eastAsia="宋体"/>
                <w:b w:val="0"/>
                <w:sz w:val="21"/>
              </w:rPr>
              <w:t>12th Gen Intel(R) Core(TM) i5-12500H，12 核 16 线程</w:t>
            </w:r>
          </w:p>
        </w:tc>
      </w:tr>
      <w:tr>
        <w:tc>
          <w:tcPr>
            <w:tcW w:type="dxa" w:w="4394"/>
            <w:vAlign w:val="center"/>
          </w:tcPr>
          <w:p>
            <w:pPr>
              <w:spacing w:line="240" w:lineRule="auto"/>
              <w:jc w:val="center"/>
            </w:pPr>
            <w:r>
              <w:rPr>
                <w:rFonts w:ascii="Times New Roman" w:hAnsi="Times New Roman" w:eastAsia="宋体"/>
                <w:b w:val="0"/>
                <w:sz w:val="21"/>
              </w:rPr>
              <w:t>内存</w:t>
            </w:r>
          </w:p>
        </w:tc>
        <w:tc>
          <w:tcPr>
            <w:tcW w:type="dxa" w:w="4394"/>
            <w:vAlign w:val="center"/>
          </w:tcPr>
          <w:p>
            <w:pPr>
              <w:spacing w:line="240" w:lineRule="auto"/>
              <w:jc w:val="center"/>
            </w:pPr>
            <w:r>
              <w:rPr>
                <w:rFonts w:ascii="Times New Roman" w:hAnsi="Times New Roman" w:eastAsia="宋体"/>
                <w:b w:val="0"/>
                <w:sz w:val="21"/>
              </w:rPr>
              <w:t>16 GB</w:t>
            </w:r>
          </w:p>
        </w:tc>
      </w:tr>
      <w:tr>
        <w:tc>
          <w:tcPr>
            <w:tcW w:type="dxa" w:w="4394"/>
            <w:vAlign w:val="center"/>
          </w:tcPr>
          <w:p>
            <w:pPr>
              <w:spacing w:line="240" w:lineRule="auto"/>
              <w:jc w:val="center"/>
            </w:pPr>
            <w:r>
              <w:rPr>
                <w:rFonts w:ascii="Times New Roman" w:hAnsi="Times New Roman" w:eastAsia="宋体"/>
                <w:b w:val="0"/>
                <w:sz w:val="21"/>
              </w:rPr>
              <w:t>GPU</w:t>
            </w:r>
          </w:p>
        </w:tc>
        <w:tc>
          <w:tcPr>
            <w:tcW w:type="dxa" w:w="4394"/>
            <w:vAlign w:val="center"/>
          </w:tcPr>
          <w:p>
            <w:pPr>
              <w:spacing w:line="240" w:lineRule="auto"/>
              <w:jc w:val="center"/>
            </w:pPr>
            <w:r>
              <w:rPr>
                <w:rFonts w:ascii="Times New Roman" w:hAnsi="Times New Roman" w:eastAsia="宋体"/>
                <w:b w:val="0"/>
                <w:sz w:val="21"/>
              </w:rPr>
              <w:t>NVIDIA GeForce RTX 3060 Laptop GPU</w:t>
            </w:r>
          </w:p>
        </w:tc>
      </w:tr>
      <w:tr>
        <w:tc>
          <w:tcPr>
            <w:tcW w:type="dxa" w:w="4394"/>
            <w:vAlign w:val="center"/>
          </w:tcPr>
          <w:p>
            <w:pPr>
              <w:spacing w:line="240" w:lineRule="auto"/>
              <w:jc w:val="center"/>
            </w:pPr>
            <w:r>
              <w:rPr>
                <w:rFonts w:ascii="Times New Roman" w:hAnsi="Times New Roman" w:eastAsia="宋体"/>
                <w:b w:val="0"/>
                <w:sz w:val="21"/>
              </w:rPr>
              <w:t>显卡驱动</w:t>
            </w:r>
          </w:p>
        </w:tc>
        <w:tc>
          <w:tcPr>
            <w:tcW w:type="dxa" w:w="4394"/>
            <w:vAlign w:val="center"/>
          </w:tcPr>
          <w:p>
            <w:pPr>
              <w:spacing w:line="240" w:lineRule="auto"/>
              <w:jc w:val="center"/>
            </w:pPr>
            <w:r>
              <w:rPr>
                <w:rFonts w:ascii="Times New Roman" w:hAnsi="Times New Roman" w:eastAsia="宋体"/>
                <w:b w:val="0"/>
                <w:sz w:val="21"/>
              </w:rPr>
              <w:t>31.0.15.4692</w:t>
            </w:r>
          </w:p>
        </w:tc>
      </w:tr>
      <w:tr>
        <w:tc>
          <w:tcPr>
            <w:tcW w:type="dxa" w:w="4394"/>
            <w:vAlign w:val="center"/>
          </w:tcPr>
          <w:p>
            <w:pPr>
              <w:spacing w:line="240" w:lineRule="auto"/>
              <w:jc w:val="center"/>
            </w:pPr>
            <w:r>
              <w:rPr>
                <w:rFonts w:ascii="Times New Roman" w:hAnsi="Times New Roman" w:eastAsia="宋体"/>
                <w:b w:val="0"/>
                <w:sz w:val="21"/>
              </w:rPr>
              <w:t>编译工具</w:t>
            </w:r>
          </w:p>
        </w:tc>
        <w:tc>
          <w:tcPr>
            <w:tcW w:type="dxa" w:w="4394"/>
            <w:vAlign w:val="center"/>
          </w:tcPr>
          <w:p>
            <w:pPr>
              <w:spacing w:line="240" w:lineRule="auto"/>
              <w:jc w:val="center"/>
            </w:pPr>
            <w:r>
              <w:rPr>
                <w:rFonts w:ascii="Times New Roman" w:hAnsi="Times New Roman" w:eastAsia="宋体"/>
                <w:b w:val="0"/>
                <w:sz w:val="21"/>
              </w:rPr>
              <w:t>Visual Studio 2022</w:t>
            </w:r>
          </w:p>
        </w:tc>
      </w:tr>
      <w:tr>
        <w:tc>
          <w:tcPr>
            <w:tcW w:type="dxa" w:w="4394"/>
            <w:vAlign w:val="center"/>
          </w:tcPr>
          <w:p>
            <w:pPr>
              <w:spacing w:line="240" w:lineRule="auto"/>
              <w:jc w:val="center"/>
            </w:pPr>
            <w:r>
              <w:rPr>
                <w:rFonts w:ascii="Times New Roman" w:hAnsi="Times New Roman" w:eastAsia="宋体"/>
                <w:b w:val="0"/>
                <w:sz w:val="21"/>
              </w:rPr>
              <w:t>构建系统</w:t>
            </w:r>
          </w:p>
        </w:tc>
        <w:tc>
          <w:tcPr>
            <w:tcW w:type="dxa" w:w="4394"/>
            <w:vAlign w:val="center"/>
          </w:tcPr>
          <w:p>
            <w:pPr>
              <w:spacing w:line="240" w:lineRule="auto"/>
              <w:jc w:val="center"/>
            </w:pPr>
            <w:r>
              <w:rPr>
                <w:rFonts w:ascii="Times New Roman" w:hAnsi="Times New Roman" w:eastAsia="宋体"/>
                <w:b w:val="0"/>
                <w:sz w:val="21"/>
              </w:rPr>
              <w:t>CMake</w:t>
            </w:r>
          </w:p>
        </w:tc>
      </w:tr>
      <w:tr>
        <w:tc>
          <w:tcPr>
            <w:tcW w:type="dxa" w:w="4394"/>
            <w:vAlign w:val="center"/>
          </w:tcPr>
          <w:p>
            <w:pPr>
              <w:spacing w:line="240" w:lineRule="auto"/>
              <w:jc w:val="center"/>
            </w:pPr>
            <w:r>
              <w:rPr>
                <w:rFonts w:ascii="Times New Roman" w:hAnsi="Times New Roman" w:eastAsia="宋体"/>
                <w:b w:val="0"/>
                <w:sz w:val="21"/>
              </w:rPr>
              <w:t>图形接口</w:t>
            </w:r>
          </w:p>
        </w:tc>
        <w:tc>
          <w:tcPr>
            <w:tcW w:type="dxa" w:w="4394"/>
            <w:vAlign w:val="center"/>
          </w:tcPr>
          <w:p>
            <w:pPr>
              <w:spacing w:line="240" w:lineRule="auto"/>
              <w:jc w:val="center"/>
            </w:pPr>
            <w:r>
              <w:rPr>
                <w:rFonts w:ascii="Times New Roman" w:hAnsi="Times New Roman" w:eastAsia="宋体"/>
                <w:b w:val="0"/>
                <w:sz w:val="21"/>
              </w:rPr>
              <w:t>OpenGL 4.6</w:t>
            </w:r>
          </w:p>
        </w:tc>
      </w:tr>
      <w:tr>
        <w:tc>
          <w:tcPr>
            <w:tcW w:type="dxa" w:w="4394"/>
            <w:vAlign w:val="center"/>
          </w:tcPr>
          <w:p>
            <w:pPr>
              <w:spacing w:line="240" w:lineRule="auto"/>
              <w:jc w:val="center"/>
            </w:pPr>
            <w:r>
              <w:rPr>
                <w:rFonts w:ascii="Times New Roman" w:hAnsi="Times New Roman" w:eastAsia="宋体"/>
                <w:b w:val="0"/>
                <w:sz w:val="21"/>
              </w:rPr>
              <w:t>数据读写与参考库</w:t>
            </w:r>
          </w:p>
        </w:tc>
        <w:tc>
          <w:tcPr>
            <w:tcW w:type="dxa" w:w="4394"/>
            <w:vAlign w:val="center"/>
          </w:tcPr>
          <w:p>
            <w:pPr>
              <w:spacing w:line="240" w:lineRule="auto"/>
              <w:jc w:val="center"/>
            </w:pPr>
            <w:r>
              <w:rPr>
                <w:rFonts w:ascii="Times New Roman" w:hAnsi="Times New Roman" w:eastAsia="宋体"/>
                <w:b w:val="0"/>
                <w:sz w:val="21"/>
              </w:rPr>
              <w:t>VTK 9.5</w:t>
            </w:r>
          </w:p>
        </w:tc>
      </w:tr>
      <w:tr>
        <w:tc>
          <w:tcPr>
            <w:tcW w:type="dxa" w:w="4394"/>
            <w:vAlign w:val="center"/>
          </w:tcPr>
          <w:p>
            <w:pPr>
              <w:spacing w:line="240" w:lineRule="auto"/>
              <w:jc w:val="center"/>
            </w:pPr>
            <w:r>
              <w:rPr>
                <w:rFonts w:ascii="Times New Roman" w:hAnsi="Times New Roman" w:eastAsia="宋体"/>
                <w:b w:val="0"/>
                <w:sz w:val="21"/>
              </w:rPr>
              <w:t>界面库</w:t>
            </w:r>
          </w:p>
        </w:tc>
        <w:tc>
          <w:tcPr>
            <w:tcW w:type="dxa" w:w="4394"/>
            <w:vAlign w:val="center"/>
          </w:tcPr>
          <w:p>
            <w:pPr>
              <w:spacing w:line="240" w:lineRule="auto"/>
              <w:jc w:val="center"/>
            </w:pPr>
            <w:r>
              <w:rPr>
                <w:rFonts w:ascii="Times New Roman" w:hAnsi="Times New Roman" w:eastAsia="宋体"/>
                <w:b w:val="0"/>
                <w:sz w:val="21"/>
              </w:rPr>
              <w:t>Qt 5</w:t>
            </w:r>
          </w:p>
        </w:tc>
      </w:tr>
      <w:tr>
        <w:tc>
          <w:tcPr>
            <w:tcW w:type="dxa" w:w="4394"/>
            <w:vAlign w:val="center"/>
          </w:tcPr>
          <w:p>
            <w:pPr>
              <w:spacing w:line="240" w:lineRule="auto"/>
              <w:jc w:val="center"/>
            </w:pPr>
            <w:r>
              <w:rPr>
                <w:rFonts w:ascii="Times New Roman" w:hAnsi="Times New Roman" w:eastAsia="宋体"/>
                <w:b w:val="0"/>
                <w:sz w:val="21"/>
              </w:rPr>
              <w:t>VTK 并行配置</w:t>
            </w:r>
          </w:p>
        </w:tc>
        <w:tc>
          <w:tcPr>
            <w:tcW w:type="dxa" w:w="4394"/>
            <w:vAlign w:val="center"/>
          </w:tcPr>
          <w:p>
            <w:pPr>
              <w:spacing w:line="240" w:lineRule="auto"/>
              <w:jc w:val="center"/>
            </w:pPr>
            <w:r>
              <w:rPr>
                <w:rFonts w:ascii="Times New Roman" w:hAnsi="Times New Roman" w:eastAsia="宋体"/>
                <w:b w:val="0"/>
                <w:sz w:val="21"/>
              </w:rPr>
              <w:t>STDThread 后端，16 线程</w:t>
            </w:r>
          </w:p>
        </w:tc>
      </w:tr>
    </w:tbl>
    <w:p/>
    <w:p>
      <w:pPr>
        <w:spacing w:line="360" w:lineRule="auto" w:after="0"/>
        <w:ind w:firstLine="420"/>
      </w:pPr>
      <w:r>
        <w:rPr>
          <w:rFonts w:ascii="Times New Roman" w:hAnsi="Times New Roman" w:eastAsia="宋体"/>
          <w:sz w:val="24"/>
        </w:rPr>
        <w:t xml:space="preserve">所有实验均在同一软件环境下完成。梯度计算实验使用相同输入文件和相同字段名称进行对比，时间实验使用统一生成的数据集进行测试，以减少模型来源差异对结果分析的影响。VTK 参考流程采用 </w:t>
      </w:r>
      <w:r>
        <w:rPr>
          <w:rFonts w:ascii="Consolas" w:hAnsi="Consolas" w:eastAsia="Consolas"/>
          <w:sz w:val="24"/>
        </w:rPr>
        <w:t>vtkGradientFilter</w:t>
      </w:r>
      <w:r>
        <w:rPr>
          <w:rFonts w:ascii="Times New Roman" w:hAnsi="Times New Roman" w:eastAsia="宋体"/>
          <w:sz w:val="24"/>
        </w:rPr>
        <w:t xml:space="preserve">，时间统计口径为本文参考程序中 </w:t>
      </w:r>
      <w:r>
        <w:rPr>
          <w:rFonts w:ascii="Consolas" w:hAnsi="Consolas" w:eastAsia="Consolas"/>
          <w:sz w:val="24"/>
        </w:rPr>
        <w:t>vtkGradientFilter::Update()</w:t>
      </w:r>
      <w:r>
        <w:rPr>
          <w:rFonts w:ascii="Times New Roman" w:hAnsi="Times New Roman" w:eastAsia="宋体"/>
          <w:sz w:val="24"/>
        </w:rPr>
        <w:t xml:space="preserve"> 调用的平均耗时，不包含人工打开 ParaView 观察的时间。</w:t>
      </w:r>
    </w:p>
    <w:p>
      <w:pPr>
        <w:spacing w:line="360" w:lineRule="auto" w:after="0"/>
        <w:ind w:firstLine="420"/>
      </w:pPr>
      <w:r>
        <w:rPr>
          <w:rFonts w:ascii="Times New Roman" w:hAnsi="Times New Roman" w:eastAsia="宋体"/>
          <w:sz w:val="24"/>
        </w:rPr>
        <w:t>实验数据集包括结构化网格、非结构化体网格、非结构化曲面网格、工程曲面数据以及统一生成的时间测试网格。不同数据集对应不同验证目标，其用途如表 5-2 所示。</w:t>
      </w:r>
    </w:p>
    <w:p>
      <w:pPr>
        <w:spacing w:line="240" w:lineRule="auto" w:before="80" w:after="80"/>
        <w:ind w:firstLine="0"/>
        <w:jc w:val="center"/>
      </w:pPr>
      <w:r>
        <w:rPr>
          <w:rFonts w:ascii="Times New Roman" w:hAnsi="Times New Roman" w:eastAsia="宋体"/>
          <w:sz w:val="21"/>
        </w:rPr>
        <w:t>表 5-2 实验数据集说明</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数据集</w:t>
            </w:r>
          </w:p>
        </w:tc>
        <w:tc>
          <w:tcPr>
            <w:tcW w:type="dxa" w:w="2197"/>
            <w:vAlign w:val="center"/>
          </w:tcPr>
          <w:p>
            <w:pPr>
              <w:spacing w:line="240" w:lineRule="auto"/>
              <w:jc w:val="center"/>
            </w:pPr>
            <w:r>
              <w:rPr>
                <w:rFonts w:ascii="Times New Roman" w:hAnsi="Times New Roman" w:eastAsia="宋体"/>
                <w:b/>
                <w:sz w:val="21"/>
              </w:rPr>
              <w:t>网格类型</w:t>
            </w:r>
          </w:p>
        </w:tc>
        <w:tc>
          <w:tcPr>
            <w:tcW w:type="dxa" w:w="2197"/>
            <w:vAlign w:val="center"/>
          </w:tcPr>
          <w:p>
            <w:pPr>
              <w:spacing w:line="240" w:lineRule="auto"/>
              <w:jc w:val="center"/>
            </w:pPr>
            <w:r>
              <w:rPr>
                <w:rFonts w:ascii="Times New Roman" w:hAnsi="Times New Roman" w:eastAsia="宋体"/>
                <w:b/>
                <w:sz w:val="21"/>
              </w:rPr>
              <w:t>主要用途</w:t>
            </w:r>
          </w:p>
        </w:tc>
        <w:tc>
          <w:tcPr>
            <w:tcW w:type="dxa" w:w="2197"/>
            <w:vAlign w:val="center"/>
          </w:tcPr>
          <w:p>
            <w:pPr>
              <w:spacing w:line="240" w:lineRule="auto"/>
              <w:jc w:val="center"/>
            </w:pPr>
            <w:r>
              <w:rPr>
                <w:rFonts w:ascii="Times New Roman" w:hAnsi="Times New Roman" w:eastAsia="宋体"/>
                <w:b/>
                <w:sz w:val="21"/>
              </w:rPr>
              <w:t>说明</w:t>
            </w:r>
          </w:p>
        </w:tc>
      </w:tr>
      <w:tr>
        <w:tc>
          <w:tcPr>
            <w:tcW w:type="dxa" w:w="2197"/>
            <w:vAlign w:val="center"/>
          </w:tcPr>
          <w:p>
            <w:pPr>
              <w:spacing w:line="240" w:lineRule="auto"/>
              <w:jc w:val="center"/>
            </w:pPr>
            <w:r>
              <w:rPr>
                <w:rFonts w:ascii="Times New Roman" w:hAnsi="Times New Roman" w:eastAsia="宋体"/>
                <w:b w:val="0"/>
                <w:sz w:val="21"/>
              </w:rPr>
              <w:t>SampleStructGrid</w:t>
            </w:r>
          </w:p>
        </w:tc>
        <w:tc>
          <w:tcPr>
            <w:tcW w:type="dxa" w:w="2197"/>
            <w:vAlign w:val="center"/>
          </w:tcPr>
          <w:p>
            <w:pPr>
              <w:spacing w:line="240" w:lineRule="auto"/>
              <w:jc w:val="center"/>
            </w:pPr>
            <w:r>
              <w:rPr>
                <w:rFonts w:ascii="Times New Roman" w:hAnsi="Times New Roman" w:eastAsia="宋体"/>
                <w:b w:val="0"/>
                <w:sz w:val="21"/>
              </w:rPr>
              <w:t>结构化网格</w:t>
            </w:r>
          </w:p>
        </w:tc>
        <w:tc>
          <w:tcPr>
            <w:tcW w:type="dxa" w:w="2197"/>
            <w:vAlign w:val="center"/>
          </w:tcPr>
          <w:p>
            <w:pPr>
              <w:spacing w:line="240" w:lineRule="auto"/>
              <w:jc w:val="center"/>
            </w:pPr>
            <w:r>
              <w:rPr>
                <w:rFonts w:ascii="Times New Roman" w:hAnsi="Times New Roman" w:eastAsia="宋体"/>
                <w:b w:val="0"/>
                <w:sz w:val="21"/>
              </w:rPr>
              <w:t>结构化网格梯度验证、VTK 一致性对比</w:t>
            </w:r>
          </w:p>
        </w:tc>
        <w:tc>
          <w:tcPr>
            <w:tcW w:type="dxa" w:w="2197"/>
            <w:vAlign w:val="center"/>
          </w:tcPr>
          <w:p>
            <w:pPr>
              <w:spacing w:line="240" w:lineRule="auto"/>
              <w:jc w:val="center"/>
            </w:pPr>
            <w:r>
              <w:rPr>
                <w:rFonts w:ascii="Times New Roman" w:hAnsi="Times New Roman" w:eastAsia="宋体"/>
                <w:b w:val="0"/>
                <w:sz w:val="21"/>
              </w:rPr>
              <w:t>用于验证有限差分路径</w:t>
            </w:r>
          </w:p>
        </w:tc>
      </w:tr>
      <w:tr>
        <w:tc>
          <w:tcPr>
            <w:tcW w:type="dxa" w:w="2197"/>
            <w:vAlign w:val="center"/>
          </w:tcPr>
          <w:p>
            <w:pPr>
              <w:spacing w:line="240" w:lineRule="auto"/>
              <w:jc w:val="center"/>
            </w:pPr>
            <w:r>
              <w:rPr>
                <w:rFonts w:ascii="Times New Roman" w:hAnsi="Times New Roman" w:eastAsia="宋体"/>
                <w:b w:val="0"/>
                <w:sz w:val="21"/>
              </w:rPr>
              <w:t>hexa</w:t>
            </w:r>
          </w:p>
        </w:tc>
        <w:tc>
          <w:tcPr>
            <w:tcW w:type="dxa" w:w="2197"/>
            <w:vAlign w:val="center"/>
          </w:tcPr>
          <w:p>
            <w:pPr>
              <w:spacing w:line="240" w:lineRule="auto"/>
              <w:jc w:val="center"/>
            </w:pPr>
            <w:r>
              <w:rPr>
                <w:rFonts w:ascii="Times New Roman" w:hAnsi="Times New Roman" w:eastAsia="宋体"/>
                <w:b w:val="0"/>
                <w:sz w:val="21"/>
              </w:rPr>
              <w:t>非结构化体网格</w:t>
            </w:r>
          </w:p>
        </w:tc>
        <w:tc>
          <w:tcPr>
            <w:tcW w:type="dxa" w:w="2197"/>
            <w:vAlign w:val="center"/>
          </w:tcPr>
          <w:p>
            <w:pPr>
              <w:spacing w:line="240" w:lineRule="auto"/>
              <w:jc w:val="center"/>
            </w:pPr>
            <w:r>
              <w:rPr>
                <w:rFonts w:ascii="Times New Roman" w:hAnsi="Times New Roman" w:eastAsia="宋体"/>
                <w:b w:val="0"/>
                <w:sz w:val="21"/>
              </w:rPr>
              <w:t>非结构化点数据与单元数据解析场验证</w:t>
            </w:r>
          </w:p>
        </w:tc>
        <w:tc>
          <w:tcPr>
            <w:tcW w:type="dxa" w:w="2197"/>
            <w:vAlign w:val="center"/>
          </w:tcPr>
          <w:p>
            <w:pPr>
              <w:spacing w:line="240" w:lineRule="auto"/>
              <w:jc w:val="center"/>
            </w:pPr>
            <w:r>
              <w:rPr>
                <w:rFonts w:ascii="Times New Roman" w:hAnsi="Times New Roman" w:eastAsia="宋体"/>
                <w:b w:val="0"/>
                <w:sz w:val="21"/>
              </w:rPr>
              <w:t>用于验证六面体相关路径</w:t>
            </w:r>
          </w:p>
        </w:tc>
      </w:tr>
      <w:tr>
        <w:tc>
          <w:tcPr>
            <w:tcW w:type="dxa" w:w="2197"/>
            <w:vAlign w:val="center"/>
          </w:tcPr>
          <w:p>
            <w:pPr>
              <w:spacing w:line="240" w:lineRule="auto"/>
              <w:jc w:val="center"/>
            </w:pPr>
            <w:r>
              <w:rPr>
                <w:rFonts w:ascii="Times New Roman" w:hAnsi="Times New Roman" w:eastAsia="宋体"/>
                <w:b w:val="0"/>
                <w:sz w:val="21"/>
              </w:rPr>
              <w:t>limb</w:t>
            </w:r>
          </w:p>
        </w:tc>
        <w:tc>
          <w:tcPr>
            <w:tcW w:type="dxa" w:w="2197"/>
            <w:vAlign w:val="center"/>
          </w:tcPr>
          <w:p>
            <w:pPr>
              <w:spacing w:line="240" w:lineRule="auto"/>
              <w:jc w:val="center"/>
            </w:pPr>
            <w:r>
              <w:rPr>
                <w:rFonts w:ascii="Times New Roman" w:hAnsi="Times New Roman" w:eastAsia="宋体"/>
                <w:b w:val="0"/>
                <w:sz w:val="21"/>
              </w:rPr>
              <w:t>非结构化体网格</w:t>
            </w:r>
          </w:p>
        </w:tc>
        <w:tc>
          <w:tcPr>
            <w:tcW w:type="dxa" w:w="2197"/>
            <w:vAlign w:val="center"/>
          </w:tcPr>
          <w:p>
            <w:pPr>
              <w:spacing w:line="240" w:lineRule="auto"/>
              <w:jc w:val="center"/>
            </w:pPr>
            <w:r>
              <w:rPr>
                <w:rFonts w:ascii="Times New Roman" w:hAnsi="Times New Roman" w:eastAsia="宋体"/>
                <w:b w:val="0"/>
                <w:sz w:val="21"/>
              </w:rPr>
              <w:t>非结构化工程单元字段一致性对比</w:t>
            </w:r>
          </w:p>
        </w:tc>
        <w:tc>
          <w:tcPr>
            <w:tcW w:type="dxa" w:w="2197"/>
            <w:vAlign w:val="center"/>
          </w:tcPr>
          <w:p>
            <w:pPr>
              <w:spacing w:line="240" w:lineRule="auto"/>
              <w:jc w:val="center"/>
            </w:pPr>
            <w:r>
              <w:rPr>
                <w:rFonts w:ascii="Times New Roman" w:hAnsi="Times New Roman" w:eastAsia="宋体"/>
                <w:b w:val="0"/>
                <w:sz w:val="21"/>
              </w:rPr>
              <w:t>用于补充工程单元字段对照</w:t>
            </w:r>
          </w:p>
        </w:tc>
      </w:tr>
      <w:tr>
        <w:tc>
          <w:tcPr>
            <w:tcW w:type="dxa" w:w="2197"/>
            <w:vAlign w:val="center"/>
          </w:tcPr>
          <w:p>
            <w:pPr>
              <w:spacing w:line="240" w:lineRule="auto"/>
              <w:jc w:val="center"/>
            </w:pPr>
            <w:r>
              <w:rPr>
                <w:rFonts w:ascii="Times New Roman" w:hAnsi="Times New Roman" w:eastAsia="宋体"/>
                <w:b w:val="0"/>
                <w:sz w:val="21"/>
              </w:rPr>
              <w:t>1_0</w:t>
            </w:r>
          </w:p>
        </w:tc>
        <w:tc>
          <w:tcPr>
            <w:tcW w:type="dxa" w:w="2197"/>
            <w:vAlign w:val="center"/>
          </w:tcPr>
          <w:p>
            <w:pPr>
              <w:spacing w:line="240" w:lineRule="auto"/>
              <w:jc w:val="center"/>
            </w:pPr>
            <w:r>
              <w:rPr>
                <w:rFonts w:ascii="Times New Roman" w:hAnsi="Times New Roman" w:eastAsia="宋体"/>
                <w:b w:val="0"/>
                <w:sz w:val="21"/>
              </w:rPr>
              <w:t>非结构化曲面网格</w:t>
            </w:r>
          </w:p>
        </w:tc>
        <w:tc>
          <w:tcPr>
            <w:tcW w:type="dxa" w:w="2197"/>
            <w:vAlign w:val="center"/>
          </w:tcPr>
          <w:p>
            <w:pPr>
              <w:spacing w:line="240" w:lineRule="auto"/>
              <w:jc w:val="center"/>
            </w:pPr>
            <w:r>
              <w:rPr>
                <w:rFonts w:ascii="Times New Roman" w:hAnsi="Times New Roman" w:eastAsia="宋体"/>
                <w:b w:val="0"/>
                <w:sz w:val="21"/>
              </w:rPr>
              <w:t>曲面点数据与单元数据梯度验证</w:t>
            </w:r>
          </w:p>
        </w:tc>
        <w:tc>
          <w:tcPr>
            <w:tcW w:type="dxa" w:w="2197"/>
            <w:vAlign w:val="center"/>
          </w:tcPr>
          <w:p>
            <w:pPr>
              <w:spacing w:line="240" w:lineRule="auto"/>
              <w:jc w:val="center"/>
            </w:pPr>
            <w:r>
              <w:rPr>
                <w:rFonts w:ascii="Times New Roman" w:hAnsi="Times New Roman" w:eastAsia="宋体"/>
                <w:b w:val="0"/>
                <w:sz w:val="21"/>
              </w:rPr>
              <w:t>用于曲面场结果分析</w:t>
            </w:r>
          </w:p>
        </w:tc>
      </w:tr>
      <w:tr>
        <w:tc>
          <w:tcPr>
            <w:tcW w:type="dxa" w:w="2197"/>
            <w:vAlign w:val="center"/>
          </w:tcPr>
          <w:p>
            <w:pPr>
              <w:spacing w:line="240" w:lineRule="auto"/>
              <w:jc w:val="center"/>
            </w:pPr>
            <w:r>
              <w:rPr>
                <w:rFonts w:ascii="Times New Roman" w:hAnsi="Times New Roman" w:eastAsia="宋体"/>
                <w:b w:val="0"/>
                <w:sz w:val="21"/>
              </w:rPr>
              <w:t>ShipHull_0</w:t>
            </w:r>
          </w:p>
        </w:tc>
        <w:tc>
          <w:tcPr>
            <w:tcW w:type="dxa" w:w="2197"/>
            <w:vAlign w:val="center"/>
          </w:tcPr>
          <w:p>
            <w:pPr>
              <w:spacing w:line="240" w:lineRule="auto"/>
              <w:jc w:val="center"/>
            </w:pPr>
            <w:r>
              <w:rPr>
                <w:rFonts w:ascii="Times New Roman" w:hAnsi="Times New Roman" w:eastAsia="宋体"/>
                <w:b w:val="0"/>
                <w:sz w:val="21"/>
              </w:rPr>
              <w:t>工程曲面数据</w:t>
            </w:r>
          </w:p>
        </w:tc>
        <w:tc>
          <w:tcPr>
            <w:tcW w:type="dxa" w:w="2197"/>
            <w:vAlign w:val="center"/>
          </w:tcPr>
          <w:p>
            <w:pPr>
              <w:spacing w:line="240" w:lineRule="auto"/>
              <w:jc w:val="center"/>
            </w:pPr>
            <w:r>
              <w:rPr>
                <w:rFonts w:ascii="Times New Roman" w:hAnsi="Times New Roman" w:eastAsia="宋体"/>
                <w:b w:val="0"/>
                <w:sz w:val="21"/>
              </w:rPr>
              <w:t>数据优化实验</w:t>
            </w:r>
          </w:p>
        </w:tc>
        <w:tc>
          <w:tcPr>
            <w:tcW w:type="dxa" w:w="2197"/>
            <w:vAlign w:val="center"/>
          </w:tcPr>
          <w:p>
            <w:pPr>
              <w:spacing w:line="240" w:lineRule="auto"/>
              <w:jc w:val="center"/>
            </w:pPr>
            <w:r>
              <w:rPr>
                <w:rFonts w:ascii="Times New Roman" w:hAnsi="Times New Roman" w:eastAsia="宋体"/>
                <w:b w:val="0"/>
                <w:sz w:val="21"/>
              </w:rPr>
              <w:t>用于构造高斯扰动并验证平滑效果</w:t>
            </w:r>
          </w:p>
        </w:tc>
      </w:tr>
      <w:tr>
        <w:tc>
          <w:tcPr>
            <w:tcW w:type="dxa" w:w="2197"/>
            <w:vAlign w:val="center"/>
          </w:tcPr>
          <w:p>
            <w:pPr>
              <w:spacing w:line="240" w:lineRule="auto"/>
              <w:jc w:val="center"/>
            </w:pPr>
            <w:r>
              <w:rPr>
                <w:rFonts w:ascii="Times New Roman" w:hAnsi="Times New Roman" w:eastAsia="宋体"/>
                <w:b w:val="0"/>
                <w:sz w:val="21"/>
              </w:rPr>
              <w:t>timing_struct_*</w:t>
            </w:r>
          </w:p>
        </w:tc>
        <w:tc>
          <w:tcPr>
            <w:tcW w:type="dxa" w:w="2197"/>
            <w:vAlign w:val="center"/>
          </w:tcPr>
          <w:p>
            <w:pPr>
              <w:spacing w:line="240" w:lineRule="auto"/>
              <w:jc w:val="center"/>
            </w:pPr>
            <w:r>
              <w:rPr>
                <w:rFonts w:ascii="Times New Roman" w:hAnsi="Times New Roman" w:eastAsia="宋体"/>
                <w:b w:val="0"/>
                <w:sz w:val="21"/>
              </w:rPr>
              <w:t>结构化网格族</w:t>
            </w:r>
          </w:p>
        </w:tc>
        <w:tc>
          <w:tcPr>
            <w:tcW w:type="dxa" w:w="2197"/>
            <w:vAlign w:val="center"/>
          </w:tcPr>
          <w:p>
            <w:pPr>
              <w:spacing w:line="240" w:lineRule="auto"/>
              <w:jc w:val="center"/>
            </w:pPr>
            <w:r>
              <w:rPr>
                <w:rFonts w:ascii="Times New Roman" w:hAnsi="Times New Roman" w:eastAsia="宋体"/>
                <w:b w:val="0"/>
                <w:sz w:val="21"/>
              </w:rPr>
              <w:t>时间性能对比</w:t>
            </w:r>
          </w:p>
        </w:tc>
        <w:tc>
          <w:tcPr>
            <w:tcW w:type="dxa" w:w="2197"/>
            <w:vAlign w:val="center"/>
          </w:tcPr>
          <w:p>
            <w:pPr>
              <w:spacing w:line="240" w:lineRule="auto"/>
              <w:jc w:val="center"/>
            </w:pPr>
            <w:r>
              <w:rPr>
                <w:rFonts w:ascii="Times New Roman" w:hAnsi="Times New Roman" w:eastAsia="宋体"/>
                <w:b w:val="0"/>
                <w:sz w:val="21"/>
              </w:rPr>
              <w:t>由统一规模生成</w:t>
            </w:r>
          </w:p>
        </w:tc>
      </w:tr>
      <w:tr>
        <w:tc>
          <w:tcPr>
            <w:tcW w:type="dxa" w:w="2197"/>
            <w:vAlign w:val="center"/>
          </w:tcPr>
          <w:p>
            <w:pPr>
              <w:spacing w:line="240" w:lineRule="auto"/>
              <w:jc w:val="center"/>
            </w:pPr>
            <w:r>
              <w:rPr>
                <w:rFonts w:ascii="Times New Roman" w:hAnsi="Times New Roman" w:eastAsia="宋体"/>
                <w:b w:val="0"/>
                <w:sz w:val="21"/>
              </w:rPr>
              <w:t>timing_uhex_*</w:t>
            </w:r>
          </w:p>
        </w:tc>
        <w:tc>
          <w:tcPr>
            <w:tcW w:type="dxa" w:w="2197"/>
            <w:vAlign w:val="center"/>
          </w:tcPr>
          <w:p>
            <w:pPr>
              <w:spacing w:line="240" w:lineRule="auto"/>
              <w:jc w:val="center"/>
            </w:pPr>
            <w:r>
              <w:rPr>
                <w:rFonts w:ascii="Times New Roman" w:hAnsi="Times New Roman" w:eastAsia="宋体"/>
                <w:b w:val="0"/>
                <w:sz w:val="21"/>
              </w:rPr>
              <w:t>非结构化体网格组</w:t>
            </w:r>
          </w:p>
        </w:tc>
        <w:tc>
          <w:tcPr>
            <w:tcW w:type="dxa" w:w="2197"/>
            <w:vAlign w:val="center"/>
          </w:tcPr>
          <w:p>
            <w:pPr>
              <w:spacing w:line="240" w:lineRule="auto"/>
              <w:jc w:val="center"/>
            </w:pPr>
            <w:r>
              <w:rPr>
                <w:rFonts w:ascii="Times New Roman" w:hAnsi="Times New Roman" w:eastAsia="宋体"/>
                <w:b w:val="0"/>
                <w:sz w:val="21"/>
              </w:rPr>
              <w:t>时间性能对比</w:t>
            </w:r>
          </w:p>
        </w:tc>
        <w:tc>
          <w:tcPr>
            <w:tcW w:type="dxa" w:w="2197"/>
            <w:vAlign w:val="center"/>
          </w:tcPr>
          <w:p>
            <w:pPr>
              <w:spacing w:line="240" w:lineRule="auto"/>
              <w:jc w:val="center"/>
            </w:pPr>
            <w:r>
              <w:rPr>
                <w:rFonts w:ascii="Times New Roman" w:hAnsi="Times New Roman" w:eastAsia="宋体"/>
                <w:b w:val="0"/>
                <w:sz w:val="21"/>
              </w:rPr>
              <w:t>用于比较非结构化路径耗时</w:t>
            </w:r>
          </w:p>
        </w:tc>
      </w:tr>
    </w:tbl>
    <w:p/>
    <w:p>
      <w:pPr>
        <w:spacing w:line="360" w:lineRule="auto" w:after="0"/>
        <w:ind w:firstLine="420"/>
      </w:pPr>
      <w:r>
        <w:rPr>
          <w:rFonts w:ascii="Times New Roman" w:hAnsi="Times New Roman" w:eastAsia="宋体"/>
          <w:sz w:val="24"/>
        </w:rPr>
        <w:t>上述数据集覆盖本文系统的主要算法路径。</w:t>
      </w:r>
      <w:r>
        <w:rPr>
          <w:rFonts w:ascii="Consolas" w:hAnsi="Consolas" w:eastAsia="Consolas"/>
          <w:sz w:val="24"/>
        </w:rPr>
        <w:t>SampleStructGrid</w:t>
      </w:r>
      <w:r>
        <w:rPr>
          <w:rFonts w:ascii="Times New Roman" w:hAnsi="Times New Roman" w:eastAsia="宋体"/>
          <w:sz w:val="24"/>
        </w:rPr>
        <w:t xml:space="preserve"> 对应结构化网格有限差分路径，</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limb</w:t>
      </w:r>
      <w:r>
        <w:rPr>
          <w:rFonts w:ascii="Times New Roman" w:hAnsi="Times New Roman" w:eastAsia="宋体"/>
          <w:sz w:val="24"/>
        </w:rPr>
        <w:t xml:space="preserve"> 对应非结构化体网格处理路径，</w:t>
      </w:r>
      <w:r>
        <w:rPr>
          <w:rFonts w:ascii="Consolas" w:hAnsi="Consolas" w:eastAsia="Consolas"/>
          <w:sz w:val="24"/>
        </w:rPr>
        <w:t>1_0</w:t>
      </w:r>
      <w:r>
        <w:rPr>
          <w:rFonts w:ascii="Times New Roman" w:hAnsi="Times New Roman" w:eastAsia="宋体"/>
          <w:sz w:val="24"/>
        </w:rPr>
        <w:t xml:space="preserve"> 对应非结构化曲面网格处理路径，时间测试网格用于观察数据规模变化对耗时的影响。</w:t>
      </w:r>
      <w:r>
        <w:rPr>
          <w:rFonts w:ascii="Consolas" w:hAnsi="Consolas" w:eastAsia="Consolas"/>
          <w:sz w:val="24"/>
        </w:rPr>
        <w:t>ShipHull_0</w:t>
      </w:r>
      <w:r>
        <w:rPr>
          <w:rFonts w:ascii="Times New Roman" w:hAnsi="Times New Roman" w:eastAsia="宋体"/>
          <w:sz w:val="24"/>
        </w:rPr>
        <w:t xml:space="preserve"> 主要用于数据优化实验，不纳入梯度一致性对比。</w:t>
      </w:r>
    </w:p>
    <w:p>
      <w:pPr>
        <w:spacing w:line="360" w:lineRule="auto" w:after="0"/>
        <w:ind w:firstLine="420"/>
      </w:pPr>
      <w:r>
        <w:rPr>
          <w:rFonts w:ascii="Times New Roman" w:hAnsi="Times New Roman" w:eastAsia="宋体"/>
          <w:sz w:val="24"/>
        </w:rPr>
        <w:t>数据优化实验使用的主要参数如表 5-3 所示。本文没有进行完整参数寻优，而是在固定参数下验证当前模块对高斯随机扰动场景的抑制效果。</w:t>
      </w:r>
    </w:p>
    <w:p>
      <w:pPr>
        <w:spacing w:line="240" w:lineRule="auto" w:before="80" w:after="80"/>
        <w:ind w:firstLine="0"/>
        <w:jc w:val="center"/>
      </w:pPr>
      <w:r>
        <w:rPr>
          <w:rFonts w:ascii="Times New Roman" w:hAnsi="Times New Roman" w:eastAsia="宋体"/>
          <w:sz w:val="21"/>
        </w:rPr>
        <w:t>表 5-3 数据优化实验参数</w:t>
      </w:r>
    </w:p>
    <w:tbl>
      <w:tblPr>
        <w:tblStyle w:val="a6"/>
        <w:tblW w:type="auto" w:w="0"/>
        <w:jc w:val="center"/>
        <w:tblLayout w:type="autofit"/>
        <w:tblLook w:firstColumn="1" w:firstRow="1" w:lastColumn="0" w:lastRow="0" w:noHBand="0" w:noVBand="1" w:val="04A0"/>
      </w:tblPr>
      <w:tblGrid>
        <w:gridCol w:w="2929"/>
        <w:gridCol w:w="2929"/>
        <w:gridCol w:w="2929"/>
      </w:tblGrid>
      <w:tr>
        <w:tc>
          <w:tcPr>
            <w:tcW w:type="dxa" w:w="2929"/>
            <w:vAlign w:val="center"/>
          </w:tcPr>
          <w:p>
            <w:pPr>
              <w:spacing w:line="240" w:lineRule="auto"/>
              <w:jc w:val="center"/>
            </w:pPr>
            <w:r>
              <w:rPr>
                <w:rFonts w:ascii="Times New Roman" w:hAnsi="Times New Roman" w:eastAsia="宋体"/>
                <w:b/>
                <w:sz w:val="21"/>
              </w:rPr>
              <w:t>参数</w:t>
            </w:r>
          </w:p>
        </w:tc>
        <w:tc>
          <w:tcPr>
            <w:tcW w:type="dxa" w:w="2929"/>
            <w:vAlign w:val="center"/>
          </w:tcPr>
          <w:p>
            <w:pPr>
              <w:spacing w:line="240" w:lineRule="auto"/>
              <w:jc w:val="center"/>
            </w:pPr>
            <w:r>
              <w:rPr>
                <w:rFonts w:ascii="Times New Roman" w:hAnsi="Times New Roman" w:eastAsia="宋体"/>
                <w:b/>
                <w:sz w:val="21"/>
              </w:rPr>
              <w:t>取值</w:t>
            </w:r>
          </w:p>
        </w:tc>
        <w:tc>
          <w:tcPr>
            <w:tcW w:type="dxa" w:w="2929"/>
            <w:vAlign w:val="center"/>
          </w:tcPr>
          <w:p>
            <w:pPr>
              <w:spacing w:line="240" w:lineRule="auto"/>
              <w:jc w:val="center"/>
            </w:pPr>
            <w:r>
              <w:rPr>
                <w:rFonts w:ascii="Times New Roman" w:hAnsi="Times New Roman" w:eastAsia="宋体"/>
                <w:b/>
                <w:sz w:val="21"/>
              </w:rPr>
              <w:t>含义</w:t>
            </w:r>
          </w:p>
        </w:tc>
      </w:tr>
      <w:tr>
        <w:tc>
          <w:tcPr>
            <w:tcW w:type="dxa" w:w="2929"/>
            <w:vAlign w:val="center"/>
          </w:tcPr>
          <w:p>
            <w:pPr>
              <w:spacing w:line="240" w:lineRule="auto"/>
              <w:jc w:val="center"/>
            </w:pPr>
            <w:r>
              <w:rPr>
                <w:rFonts w:ascii="Consolas" w:hAnsi="Consolas" w:eastAsia="Consolas"/>
                <w:b w:val="0"/>
                <w:sz w:val="21"/>
              </w:rPr>
              <w:t>levels</w:t>
            </w:r>
          </w:p>
        </w:tc>
        <w:tc>
          <w:tcPr>
            <w:tcW w:type="dxa" w:w="2929"/>
            <w:vAlign w:val="center"/>
          </w:tcPr>
          <w:p>
            <w:pPr>
              <w:spacing w:line="240" w:lineRule="auto"/>
              <w:jc w:val="center"/>
            </w:pPr>
            <w:r>
              <w:rPr>
                <w:rFonts w:ascii="Times New Roman" w:hAnsi="Times New Roman" w:eastAsia="宋体"/>
                <w:b w:val="0"/>
                <w:sz w:val="21"/>
              </w:rPr>
              <w:t>3</w:t>
            </w:r>
          </w:p>
        </w:tc>
        <w:tc>
          <w:tcPr>
            <w:tcW w:type="dxa" w:w="2929"/>
            <w:vAlign w:val="center"/>
          </w:tcPr>
          <w:p>
            <w:pPr>
              <w:spacing w:line="240" w:lineRule="auto"/>
              <w:jc w:val="center"/>
            </w:pPr>
            <w:r>
              <w:rPr>
                <w:rFonts w:ascii="Times New Roman" w:hAnsi="Times New Roman" w:eastAsia="宋体"/>
                <w:b w:val="0"/>
                <w:sz w:val="21"/>
              </w:rPr>
              <w:t>多尺度分解层数</w:t>
            </w:r>
          </w:p>
        </w:tc>
      </w:tr>
      <w:tr>
        <w:tc>
          <w:tcPr>
            <w:tcW w:type="dxa" w:w="2929"/>
            <w:vAlign w:val="center"/>
          </w:tcPr>
          <w:p>
            <w:pPr>
              <w:spacing w:line="240" w:lineRule="auto"/>
              <w:jc w:val="center"/>
            </w:pPr>
            <w:r>
              <w:rPr>
                <w:rFonts w:ascii="Consolas" w:hAnsi="Consolas" w:eastAsia="Consolas"/>
                <w:b w:val="0"/>
                <w:sz w:val="21"/>
              </w:rPr>
              <w:t>iterations</w:t>
            </w:r>
          </w:p>
        </w:tc>
        <w:tc>
          <w:tcPr>
            <w:tcW w:type="dxa" w:w="2929"/>
            <w:vAlign w:val="center"/>
          </w:tcPr>
          <w:p>
            <w:pPr>
              <w:spacing w:line="240" w:lineRule="auto"/>
              <w:jc w:val="center"/>
            </w:pPr>
            <w:r>
              <w:rPr>
                <w:rFonts w:ascii="Times New Roman" w:hAnsi="Times New Roman" w:eastAsia="宋体"/>
                <w:b w:val="0"/>
                <w:sz w:val="21"/>
              </w:rPr>
              <w:t>1</w:t>
            </w:r>
          </w:p>
        </w:tc>
        <w:tc>
          <w:tcPr>
            <w:tcW w:type="dxa" w:w="2929"/>
            <w:vAlign w:val="center"/>
          </w:tcPr>
          <w:p>
            <w:pPr>
              <w:spacing w:line="240" w:lineRule="auto"/>
              <w:jc w:val="center"/>
            </w:pPr>
            <w:r>
              <w:rPr>
                <w:rFonts w:ascii="Times New Roman" w:hAnsi="Times New Roman" w:eastAsia="宋体"/>
                <w:b w:val="0"/>
                <w:sz w:val="21"/>
              </w:rPr>
              <w:t>每层滤波迭代次数</w:t>
            </w:r>
          </w:p>
        </w:tc>
      </w:tr>
      <w:tr>
        <w:tc>
          <w:tcPr>
            <w:tcW w:type="dxa" w:w="2929"/>
            <w:vAlign w:val="center"/>
          </w:tcPr>
          <w:p>
            <w:pPr>
              <w:spacing w:line="240" w:lineRule="auto"/>
              <w:jc w:val="center"/>
            </w:pPr>
            <w:r>
              <w:rPr>
                <w:rFonts w:ascii="Consolas" w:hAnsi="Consolas" w:eastAsia="Consolas"/>
                <w:b w:val="0"/>
                <w:sz w:val="21"/>
              </w:rPr>
              <w:t>spatial_sigma_factor</w:t>
            </w:r>
          </w:p>
        </w:tc>
        <w:tc>
          <w:tcPr>
            <w:tcW w:type="dxa" w:w="2929"/>
            <w:vAlign w:val="center"/>
          </w:tcPr>
          <w:p>
            <w:pPr>
              <w:spacing w:line="240" w:lineRule="auto"/>
              <w:jc w:val="center"/>
            </w:pPr>
            <w:r>
              <w:rPr>
                <w:rFonts w:ascii="Times New Roman" w:hAnsi="Times New Roman" w:eastAsia="宋体"/>
                <w:b w:val="0"/>
                <w:sz w:val="21"/>
              </w:rPr>
              <w:t>1.50</w:t>
            </w:r>
          </w:p>
        </w:tc>
        <w:tc>
          <w:tcPr>
            <w:tcW w:type="dxa" w:w="2929"/>
            <w:vAlign w:val="center"/>
          </w:tcPr>
          <w:p>
            <w:pPr>
              <w:spacing w:line="240" w:lineRule="auto"/>
              <w:jc w:val="center"/>
            </w:pPr>
            <w:r>
              <w:rPr>
                <w:rFonts w:ascii="Times New Roman" w:hAnsi="Times New Roman" w:eastAsia="宋体"/>
                <w:b w:val="0"/>
                <w:sz w:val="21"/>
              </w:rPr>
              <w:t>空间邻域权重尺度系数</w:t>
            </w:r>
          </w:p>
        </w:tc>
      </w:tr>
      <w:tr>
        <w:tc>
          <w:tcPr>
            <w:tcW w:type="dxa" w:w="2929"/>
            <w:vAlign w:val="center"/>
          </w:tcPr>
          <w:p>
            <w:pPr>
              <w:spacing w:line="240" w:lineRule="auto"/>
              <w:jc w:val="center"/>
            </w:pPr>
            <w:r>
              <w:rPr>
                <w:rFonts w:ascii="Consolas" w:hAnsi="Consolas" w:eastAsia="Consolas"/>
                <w:b w:val="0"/>
                <w:sz w:val="21"/>
              </w:rPr>
              <w:t>range_sigma_factor</w:t>
            </w:r>
          </w:p>
        </w:tc>
        <w:tc>
          <w:tcPr>
            <w:tcW w:type="dxa" w:w="2929"/>
            <w:vAlign w:val="center"/>
          </w:tcPr>
          <w:p>
            <w:pPr>
              <w:spacing w:line="240" w:lineRule="auto"/>
              <w:jc w:val="center"/>
            </w:pPr>
            <w:r>
              <w:rPr>
                <w:rFonts w:ascii="Times New Roman" w:hAnsi="Times New Roman" w:eastAsia="宋体"/>
                <w:b w:val="0"/>
                <w:sz w:val="21"/>
              </w:rPr>
              <w:t>0.50</w:t>
            </w:r>
          </w:p>
        </w:tc>
        <w:tc>
          <w:tcPr>
            <w:tcW w:type="dxa" w:w="2929"/>
            <w:vAlign w:val="center"/>
          </w:tcPr>
          <w:p>
            <w:pPr>
              <w:spacing w:line="240" w:lineRule="auto"/>
              <w:jc w:val="center"/>
            </w:pPr>
            <w:r>
              <w:rPr>
                <w:rFonts w:ascii="Times New Roman" w:hAnsi="Times New Roman" w:eastAsia="宋体"/>
                <w:b w:val="0"/>
                <w:sz w:val="21"/>
              </w:rPr>
              <w:t>值域相似性权重尺度系数</w:t>
            </w:r>
          </w:p>
        </w:tc>
      </w:tr>
      <w:tr>
        <w:tc>
          <w:tcPr>
            <w:tcW w:type="dxa" w:w="2929"/>
            <w:vAlign w:val="center"/>
          </w:tcPr>
          <w:p>
            <w:pPr>
              <w:spacing w:line="240" w:lineRule="auto"/>
              <w:jc w:val="center"/>
            </w:pPr>
            <w:r>
              <w:rPr>
                <w:rFonts w:ascii="Consolas" w:hAnsi="Consolas" w:eastAsia="Consolas"/>
                <w:b w:val="0"/>
                <w:sz w:val="21"/>
              </w:rPr>
              <w:t>level_scale</w:t>
            </w:r>
          </w:p>
        </w:tc>
        <w:tc>
          <w:tcPr>
            <w:tcW w:type="dxa" w:w="2929"/>
            <w:vAlign w:val="center"/>
          </w:tcPr>
          <w:p>
            <w:pPr>
              <w:spacing w:line="240" w:lineRule="auto"/>
              <w:jc w:val="center"/>
            </w:pPr>
            <w:r>
              <w:rPr>
                <w:rFonts w:ascii="Times New Roman" w:hAnsi="Times New Roman" w:eastAsia="宋体"/>
                <w:b w:val="0"/>
                <w:sz w:val="21"/>
              </w:rPr>
              <w:t>1.80</w:t>
            </w:r>
          </w:p>
        </w:tc>
        <w:tc>
          <w:tcPr>
            <w:tcW w:type="dxa" w:w="2929"/>
            <w:vAlign w:val="center"/>
          </w:tcPr>
          <w:p>
            <w:pPr>
              <w:spacing w:line="240" w:lineRule="auto"/>
              <w:jc w:val="center"/>
            </w:pPr>
            <w:r>
              <w:rPr>
                <w:rFonts w:ascii="Times New Roman" w:hAnsi="Times New Roman" w:eastAsia="宋体"/>
                <w:b w:val="0"/>
                <w:sz w:val="21"/>
              </w:rPr>
              <w:t>层间尺度放大倍数</w:t>
            </w:r>
          </w:p>
        </w:tc>
      </w:tr>
      <w:tr>
        <w:tc>
          <w:tcPr>
            <w:tcW w:type="dxa" w:w="2929"/>
            <w:vAlign w:val="center"/>
          </w:tcPr>
          <w:p>
            <w:pPr>
              <w:spacing w:line="240" w:lineRule="auto"/>
              <w:jc w:val="center"/>
            </w:pPr>
            <w:r>
              <w:rPr>
                <w:rFonts w:ascii="Consolas" w:hAnsi="Consolas" w:eastAsia="Consolas"/>
                <w:b w:val="0"/>
                <w:sz w:val="21"/>
              </w:rPr>
              <w:t>edge_sigma_factor</w:t>
            </w:r>
          </w:p>
        </w:tc>
        <w:tc>
          <w:tcPr>
            <w:tcW w:type="dxa" w:w="2929"/>
            <w:vAlign w:val="center"/>
          </w:tcPr>
          <w:p>
            <w:pPr>
              <w:spacing w:line="240" w:lineRule="auto"/>
              <w:jc w:val="center"/>
            </w:pPr>
            <w:r>
              <w:rPr>
                <w:rFonts w:ascii="Times New Roman" w:hAnsi="Times New Roman" w:eastAsia="宋体"/>
                <w:b w:val="0"/>
                <w:sz w:val="21"/>
              </w:rPr>
              <w:t>0.35</w:t>
            </w:r>
          </w:p>
        </w:tc>
        <w:tc>
          <w:tcPr>
            <w:tcW w:type="dxa" w:w="2929"/>
            <w:vAlign w:val="center"/>
          </w:tcPr>
          <w:p>
            <w:pPr>
              <w:spacing w:line="240" w:lineRule="auto"/>
              <w:jc w:val="center"/>
            </w:pPr>
            <w:r>
              <w:rPr>
                <w:rFonts w:ascii="Times New Roman" w:hAnsi="Times New Roman" w:eastAsia="宋体"/>
                <w:b w:val="0"/>
                <w:sz w:val="21"/>
              </w:rPr>
              <w:t>细节融合中的边缘抑制尺度</w:t>
            </w:r>
          </w:p>
        </w:tc>
      </w:tr>
      <w:tr>
        <w:tc>
          <w:tcPr>
            <w:tcW w:type="dxa" w:w="2929"/>
            <w:vAlign w:val="center"/>
          </w:tcPr>
          <w:p>
            <w:pPr>
              <w:spacing w:line="240" w:lineRule="auto"/>
              <w:jc w:val="center"/>
            </w:pPr>
            <w:r>
              <w:rPr>
                <w:rFonts w:ascii="Consolas" w:hAnsi="Consolas" w:eastAsia="Consolas"/>
                <w:b w:val="0"/>
                <w:sz w:val="21"/>
              </w:rPr>
              <w:t>detail_gain0/detail_gain1/detail_gain2</w:t>
            </w:r>
          </w:p>
        </w:tc>
        <w:tc>
          <w:tcPr>
            <w:tcW w:type="dxa" w:w="2929"/>
            <w:vAlign w:val="center"/>
          </w:tcPr>
          <w:p>
            <w:pPr>
              <w:spacing w:line="240" w:lineRule="auto"/>
              <w:jc w:val="center"/>
            </w:pPr>
            <w:r>
              <w:rPr>
                <w:rFonts w:ascii="Times New Roman" w:hAnsi="Times New Roman" w:eastAsia="宋体"/>
                <w:b w:val="0"/>
                <w:sz w:val="21"/>
              </w:rPr>
              <w:t>1.00/0.75/0.50</w:t>
            </w:r>
          </w:p>
        </w:tc>
        <w:tc>
          <w:tcPr>
            <w:tcW w:type="dxa" w:w="2929"/>
            <w:vAlign w:val="center"/>
          </w:tcPr>
          <w:p>
            <w:pPr>
              <w:spacing w:line="240" w:lineRule="auto"/>
              <w:jc w:val="center"/>
            </w:pPr>
            <w:r>
              <w:rPr>
                <w:rFonts w:ascii="Times New Roman" w:hAnsi="Times New Roman" w:eastAsia="宋体"/>
                <w:b w:val="0"/>
                <w:sz w:val="21"/>
              </w:rPr>
              <w:t>各尺度细节层权重</w:t>
            </w:r>
          </w:p>
        </w:tc>
      </w:tr>
      <w:tr>
        <w:tc>
          <w:tcPr>
            <w:tcW w:type="dxa" w:w="2929"/>
            <w:vAlign w:val="center"/>
          </w:tcPr>
          <w:p>
            <w:pPr>
              <w:spacing w:line="240" w:lineRule="auto"/>
              <w:jc w:val="center"/>
            </w:pPr>
            <w:r>
              <w:rPr>
                <w:rFonts w:ascii="Consolas" w:hAnsi="Consolas" w:eastAsia="Consolas"/>
                <w:b w:val="0"/>
                <w:sz w:val="21"/>
              </w:rPr>
              <w:t>sigma_factor</w:t>
            </w:r>
          </w:p>
        </w:tc>
        <w:tc>
          <w:tcPr>
            <w:tcW w:type="dxa" w:w="2929"/>
            <w:vAlign w:val="center"/>
          </w:tcPr>
          <w:p>
            <w:pPr>
              <w:spacing w:line="240" w:lineRule="auto"/>
              <w:jc w:val="center"/>
            </w:pPr>
            <w:r>
              <w:rPr>
                <w:rFonts w:ascii="Times New Roman" w:hAnsi="Times New Roman" w:eastAsia="宋体"/>
                <w:b w:val="0"/>
                <w:sz w:val="21"/>
              </w:rPr>
              <w:t>0.35</w:t>
            </w:r>
          </w:p>
        </w:tc>
        <w:tc>
          <w:tcPr>
            <w:tcW w:type="dxa" w:w="2929"/>
            <w:vAlign w:val="center"/>
          </w:tcPr>
          <w:p>
            <w:pPr>
              <w:spacing w:line="240" w:lineRule="auto"/>
              <w:jc w:val="center"/>
            </w:pPr>
            <w:r>
              <w:rPr>
                <w:rFonts w:ascii="Times New Roman" w:hAnsi="Times New Roman" w:eastAsia="宋体"/>
                <w:b w:val="0"/>
                <w:sz w:val="21"/>
              </w:rPr>
              <w:t>高斯扰动标准差相对字段标准差的比例</w:t>
            </w:r>
          </w:p>
        </w:tc>
      </w:tr>
      <w:tr>
        <w:tc>
          <w:tcPr>
            <w:tcW w:type="dxa" w:w="2929"/>
            <w:vAlign w:val="center"/>
          </w:tcPr>
          <w:p>
            <w:pPr>
              <w:spacing w:line="240" w:lineRule="auto"/>
              <w:jc w:val="center"/>
            </w:pPr>
            <w:r>
              <w:rPr>
                <w:rFonts w:ascii="Consolas" w:hAnsi="Consolas" w:eastAsia="Consolas"/>
                <w:b w:val="0"/>
                <w:sz w:val="21"/>
              </w:rPr>
              <w:t>seed</w:t>
            </w:r>
          </w:p>
        </w:tc>
        <w:tc>
          <w:tcPr>
            <w:tcW w:type="dxa" w:w="2929"/>
            <w:vAlign w:val="center"/>
          </w:tcPr>
          <w:p>
            <w:pPr>
              <w:spacing w:line="240" w:lineRule="auto"/>
              <w:jc w:val="center"/>
            </w:pPr>
            <w:r>
              <w:rPr>
                <w:rFonts w:ascii="Times New Roman" w:hAnsi="Times New Roman" w:eastAsia="宋体"/>
                <w:b w:val="0"/>
                <w:sz w:val="21"/>
              </w:rPr>
              <w:t>1337</w:t>
            </w:r>
          </w:p>
        </w:tc>
        <w:tc>
          <w:tcPr>
            <w:tcW w:type="dxa" w:w="2929"/>
            <w:vAlign w:val="center"/>
          </w:tcPr>
          <w:p>
            <w:pPr>
              <w:spacing w:line="240" w:lineRule="auto"/>
              <w:jc w:val="center"/>
            </w:pPr>
            <w:r>
              <w:rPr>
                <w:rFonts w:ascii="Times New Roman" w:hAnsi="Times New Roman" w:eastAsia="宋体"/>
                <w:b w:val="0"/>
                <w:sz w:val="21"/>
              </w:rPr>
              <w:t>随机扰动种子</w:t>
            </w:r>
          </w:p>
        </w:tc>
      </w:tr>
    </w:tbl>
    <w:p/>
    <w:p>
      <w:pPr>
        <w:pStyle w:val="2"/>
        <w:spacing w:line="360" w:lineRule="auto" w:before="120" w:after="120"/>
        <w:jc w:val="left"/>
      </w:pPr>
      <w:r>
        <w:rPr>
          <w:rFonts w:ascii="Times New Roman" w:hAnsi="Times New Roman" w:eastAsia="黑体"/>
          <w:b/>
          <w:sz w:val="28"/>
        </w:rPr>
        <w:t>5.2 实验指标</w:t>
      </w:r>
    </w:p>
    <w:p>
      <w:pPr>
        <w:spacing w:line="360" w:lineRule="auto" w:after="0"/>
        <w:ind w:firstLine="420"/>
      </w:pPr>
      <w:r>
        <w:rPr>
          <w:rFonts w:ascii="Times New Roman" w:hAnsi="Times New Roman" w:eastAsia="宋体"/>
          <w:sz w:val="24"/>
        </w:rPr>
        <w:t>解析场验证和 VTK 一致性对比采用归一化平均绝对误差（NMAE）作为主要指标，用于评价梯度向量之间的整体相对偏差：</w:t>
      </w:r>
    </w:p>
    <w:p>
      <w:pPr>
        <w:spacing w:line="240" w:lineRule="auto" w:before="80" w:after="80"/>
        <w:ind w:firstLine="0"/>
        <w:jc w:val="center"/>
      </w:pPr>
      <w:r>
        <w:rPr>
          <w:rFonts w:ascii="Cambria Math" w:hAnsi="Cambria Math" w:eastAsia="Cambria Math"/>
          <w:sz w:val="22"/>
        </w:rPr>
        <w:t>E_NMAE</w:t>
        <w:br/>
        <w:t>=</w:t>
        <w:br/>
        <w:t>frac∑_i=1^n\|g_i-g_i^\ast\|_2</w:t>
        <w:br/>
        <w:t>∑_i=1^n\|g_i^\ast\|_2+ε.</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g_i</w:t>
      </w:r>
      <w:r>
        <w:rPr>
          <w:rFonts w:ascii="Times New Roman" w:hAnsi="Times New Roman" w:eastAsia="宋体"/>
          <w:sz w:val="24"/>
        </w:rPr>
        <w:t xml:space="preserve"> 为系统计算结果，</w:t>
      </w:r>
      <w:r>
        <w:rPr>
          <w:rFonts w:ascii="Cambria Math" w:hAnsi="Cambria Math" w:eastAsia="Cambria Math"/>
          <w:sz w:val="22"/>
        </w:rPr>
        <w:t>g_i^\ast</w:t>
      </w:r>
      <w:r>
        <w:rPr>
          <w:rFonts w:ascii="Times New Roman" w:hAnsi="Times New Roman" w:eastAsia="宋体"/>
          <w:sz w:val="24"/>
        </w:rPr>
        <w:t xml:space="preserve"> 为解析真值或 VTK 参考结果，</w:t>
      </w:r>
      <w:r>
        <w:rPr>
          <w:rFonts w:ascii="Cambria Math" w:hAnsi="Cambria Math" w:eastAsia="Cambria Math"/>
          <w:sz w:val="22"/>
        </w:rPr>
        <w:t>ε</w:t>
      </w:r>
      <w:r>
        <w:rPr>
          <w:rFonts w:ascii="Times New Roman" w:hAnsi="Times New Roman" w:eastAsia="宋体"/>
          <w:sz w:val="24"/>
        </w:rPr>
        <w:t xml:space="preserve"> 为稳定项。NMAE 用误差范数总和相对参考梯度范数总和进行归一化，适合比较不同字段尺度下的梯度结果，因此作为解析场验证和一致性对比的主要评价指标。</w:t>
      </w:r>
    </w:p>
    <w:p>
      <w:pPr>
        <w:spacing w:line="360" w:lineRule="auto" w:after="0"/>
        <w:ind w:firstLine="420"/>
      </w:pPr>
      <w:r>
        <w:rPr>
          <w:rFonts w:ascii="Times New Roman" w:hAnsi="Times New Roman" w:eastAsia="宋体"/>
          <w:sz w:val="24"/>
        </w:rPr>
        <w:t>部分实验同时给出平均绝对误差和相对软误差均值。平均绝对误差用于反映结果在原始量纲下的偏差，其定义为</w:t>
      </w:r>
    </w:p>
    <w:p>
      <w:pPr>
        <w:spacing w:line="240" w:lineRule="auto" w:before="80" w:after="80"/>
        <w:ind w:firstLine="0"/>
        <w:jc w:val="center"/>
      </w:pPr>
      <w:r>
        <w:rPr>
          <w:rFonts w:ascii="Cambria Math" w:hAnsi="Cambria Math" w:eastAsia="Cambria Math"/>
          <w:sz w:val="22"/>
        </w:rPr>
        <w:t>E_abs</w:t>
        <w:br/>
        <w:t>=</w:t>
        <w:br/>
        <w:t>(1)/(n)∑_i=1^n\|g_i-g_i^\ast\|_2.</w:t>
      </w:r>
    </w:p>
    <w:p>
      <w:pPr>
        <w:spacing w:line="360" w:lineRule="auto" w:after="0"/>
        <w:ind w:firstLine="420"/>
      </w:pPr>
      <w:r>
        <w:rPr>
          <w:rFonts w:ascii="Times New Roman" w:hAnsi="Times New Roman" w:eastAsia="宋体"/>
          <w:sz w:val="24"/>
        </w:rPr>
        <w:t>相对软误差均值采用带尺度项的分母计算，用于降低低参考范数样本对相对误差统计的放大影响。其单样本形式为</w:t>
      </w:r>
    </w:p>
    <w:p>
      <w:pPr>
        <w:spacing w:line="240" w:lineRule="auto" w:before="80" w:after="80"/>
        <w:ind w:firstLine="0"/>
        <w:jc w:val="center"/>
      </w:pPr>
      <w:r>
        <w:rPr>
          <w:rFonts w:ascii="Cambria Math" w:hAnsi="Cambria Math" w:eastAsia="Cambria Math"/>
          <w:sz w:val="22"/>
        </w:rPr>
        <w:t>E_soft,i</w:t>
        <w:br/>
        <w:t>=</w:t>
        <w:br/>
        <w:t>(\|g_i-g_i^\ast\|_2)/(\max(\|g_i^\ast\|_2,\tau)).</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\tau=\max(10^-12,0.05G_rms)</w:t>
      </w:r>
      <w:r>
        <w:rPr>
          <w:rFonts w:ascii="Times New Roman" w:hAnsi="Times New Roman" w:eastAsia="宋体"/>
          <w:sz w:val="24"/>
        </w:rPr>
        <w:t>，</w:t>
      </w:r>
      <w:r>
        <w:rPr>
          <w:rFonts w:ascii="Cambria Math" w:hAnsi="Cambria Math" w:eastAsia="Cambria Math"/>
          <w:sz w:val="22"/>
        </w:rPr>
        <w:t>G_rms</w:t>
      </w:r>
      <w:r>
        <w:rPr>
          <w:rFonts w:ascii="Times New Roman" w:hAnsi="Times New Roman" w:eastAsia="宋体"/>
          <w:sz w:val="24"/>
        </w:rPr>
        <w:t xml:space="preserve"> 为参考梯度范数的均方根尺度：</w:t>
      </w:r>
    </w:p>
    <w:p>
      <w:pPr>
        <w:spacing w:line="240" w:lineRule="auto" w:before="80" w:after="80"/>
        <w:ind w:firstLine="0"/>
        <w:jc w:val="center"/>
      </w:pPr>
      <w:r>
        <w:rPr>
          <w:rFonts w:ascii="Cambria Math" w:hAnsi="Cambria Math" w:eastAsia="Cambria Math"/>
          <w:sz w:val="22"/>
        </w:rPr>
        <w:t>G_rms=\sqrt(1)/(n)∑_i=1^n\|g_i^\ast\|_2^2.</w:t>
      </w:r>
    </w:p>
    <w:p>
      <w:pPr>
        <w:spacing w:line="360" w:lineRule="auto" w:after="0"/>
        <w:ind w:firstLine="420"/>
      </w:pPr>
      <w:r>
        <w:rPr>
          <w:rFonts w:ascii="Times New Roman" w:hAnsi="Times New Roman" w:eastAsia="宋体"/>
          <w:sz w:val="24"/>
        </w:rPr>
        <w:t xml:space="preserve">表中相对软误差均值为各采样对象 </w:t>
      </w:r>
      <w:r>
        <w:rPr>
          <w:rFonts w:ascii="Cambria Math" w:hAnsi="Cambria Math" w:eastAsia="Cambria Math"/>
          <w:sz w:val="22"/>
        </w:rPr>
        <w:t>E_soft,i</w:t>
      </w:r>
      <w:r>
        <w:rPr>
          <w:rFonts w:ascii="Times New Roman" w:hAnsi="Times New Roman" w:eastAsia="宋体"/>
          <w:sz w:val="24"/>
        </w:rPr>
        <w:t xml:space="preserve"> 的平均值。上述指标共同用于观察误差的绝对大小、归一化大小和稳定化后的分布特征。</w:t>
      </w:r>
    </w:p>
    <w:p>
      <w:pPr>
        <w:spacing w:line="360" w:lineRule="auto" w:after="0"/>
        <w:ind w:firstLine="420"/>
      </w:pPr>
      <w:r>
        <w:rPr>
          <w:rFonts w:ascii="Times New Roman" w:hAnsi="Times New Roman" w:eastAsia="宋体"/>
          <w:sz w:val="24"/>
        </w:rPr>
        <w:t xml:space="preserve">时间实验记录系统总时间、GPU 计算时间和 VTK 并行时间。系统总时间包含当前测试流程中的数据准备、计算调度、结果读回和字段写回等环节；GPU 时间表示 Compute Shader 执行阶段耗时；VTK 并行时间对应本文参考程序中 </w:t>
      </w:r>
      <w:r>
        <w:rPr>
          <w:rFonts w:ascii="Consolas" w:hAnsi="Consolas" w:eastAsia="Consolas"/>
          <w:sz w:val="24"/>
        </w:rPr>
        <w:t>vtkGradientFilter::Update()</w:t>
      </w:r>
      <w:r>
        <w:rPr>
          <w:rFonts w:ascii="Times New Roman" w:hAnsi="Times New Roman" w:eastAsia="宋体"/>
          <w:sz w:val="24"/>
        </w:rPr>
        <w:t xml:space="preserve"> 调用的执行时间。三类时间指标的统计口径并不完全相同，因此本文中的加速比用于描述当前 OpenGL 流程与本文 VTK 参考流程之间的时间比值，而不表示对所有 VTK 使用方式的普遍性能结论。相对 VTK 并行时间的加速比定义为</w:t>
      </w:r>
    </w:p>
    <w:p>
      <w:pPr>
        <w:spacing w:line="240" w:lineRule="auto" w:before="80" w:after="80"/>
        <w:ind w:firstLine="0"/>
        <w:jc w:val="center"/>
      </w:pPr>
      <w:r>
        <w:rPr>
          <w:rFonts w:ascii="Cambria Math" w:hAnsi="Cambria Math" w:eastAsia="Cambria Math"/>
          <w:sz w:val="22"/>
        </w:rPr>
        <w:t>S_VTK=fracT_VTKT_sys.</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T_VTK</w:t>
      </w:r>
      <w:r>
        <w:rPr>
          <w:rFonts w:ascii="Times New Roman" w:hAnsi="Times New Roman" w:eastAsia="宋体"/>
          <w:sz w:val="24"/>
        </w:rPr>
        <w:t xml:space="preserve"> 为本文 VTK 参考流程时间，</w:t>
      </w:r>
      <w:r>
        <w:rPr>
          <w:rFonts w:ascii="Cambria Math" w:hAnsi="Cambria Math" w:eastAsia="Cambria Math"/>
          <w:sz w:val="22"/>
        </w:rPr>
        <w:t>T_sys</w:t>
      </w:r>
      <w:r>
        <w:rPr>
          <w:rFonts w:ascii="Times New Roman" w:hAnsi="Times New Roman" w:eastAsia="宋体"/>
          <w:sz w:val="24"/>
        </w:rPr>
        <w:t xml:space="preserve"> 为系统总时间。</w:t>
      </w:r>
    </w:p>
    <w:p>
      <w:pPr>
        <w:spacing w:line="360" w:lineRule="auto" w:after="0"/>
        <w:ind w:firstLine="420"/>
      </w:pPr>
      <w:r>
        <w:rPr>
          <w:rFonts w:ascii="Times New Roman" w:hAnsi="Times New Roman" w:eastAsia="宋体"/>
          <w:sz w:val="24"/>
        </w:rPr>
        <w:t>数据优化实验采用误差比评价平滑处理前后误差变化：</w:t>
      </w:r>
    </w:p>
    <w:p>
      <w:pPr>
        <w:spacing w:line="240" w:lineRule="auto" w:before="80" w:after="80"/>
        <w:ind w:firstLine="0"/>
        <w:jc w:val="center"/>
      </w:pPr>
      <w:r>
        <w:rPr>
          <w:rFonts w:ascii="Cambria Math" w:hAnsi="Cambria Math" w:eastAsia="Cambria Math"/>
          <w:sz w:val="22"/>
        </w:rPr>
        <w:t>R_err=fracE_afterE_before.</w:t>
      </w:r>
    </w:p>
    <w:p>
      <w:pPr>
        <w:spacing w:line="360" w:lineRule="auto" w:after="0"/>
        <w:ind w:firstLine="420"/>
      </w:pPr>
      <w:r>
        <w:rPr>
          <w:rFonts w:ascii="Times New Roman" w:hAnsi="Times New Roman" w:eastAsia="宋体"/>
          <w:sz w:val="24"/>
        </w:rPr>
        <w:t>其中，</w:t>
      </w:r>
      <w:r>
        <w:rPr>
          <w:rFonts w:ascii="Cambria Math" w:hAnsi="Cambria Math" w:eastAsia="Cambria Math"/>
          <w:sz w:val="22"/>
        </w:rPr>
        <w:t>E_before</w:t>
      </w:r>
      <w:r>
        <w:rPr>
          <w:rFonts w:ascii="Times New Roman" w:hAnsi="Times New Roman" w:eastAsia="宋体"/>
          <w:sz w:val="24"/>
        </w:rPr>
        <w:t xml:space="preserve"> 为扰动输入场相对无扰动参考场的误差，</w:t>
      </w:r>
      <w:r>
        <w:rPr>
          <w:rFonts w:ascii="Cambria Math" w:hAnsi="Cambria Math" w:eastAsia="Cambria Math"/>
          <w:sz w:val="22"/>
        </w:rPr>
        <w:t>E_after</w:t>
      </w:r>
      <w:r>
        <w:rPr>
          <w:rFonts w:ascii="Times New Roman" w:hAnsi="Times New Roman" w:eastAsia="宋体"/>
          <w:sz w:val="24"/>
        </w:rPr>
        <w:t xml:space="preserve"> 为平滑输出场相对无扰动参考场的误差。当 </w:t>
      </w:r>
      <w:r>
        <w:rPr>
          <w:rFonts w:ascii="Cambria Math" w:hAnsi="Cambria Math" w:eastAsia="Cambria Math"/>
          <w:sz w:val="22"/>
        </w:rPr>
        <w:t>R_err&lt;1</w:t>
      </w:r>
      <w:r>
        <w:rPr>
          <w:rFonts w:ascii="Times New Roman" w:hAnsi="Times New Roman" w:eastAsia="宋体"/>
          <w:sz w:val="24"/>
        </w:rPr>
        <w:t xml:space="preserve"> 时，表示平滑处理后误差下降。</w:t>
      </w:r>
    </w:p>
    <w:p>
      <w:pPr>
        <w:spacing w:line="360" w:lineRule="auto" w:after="0"/>
        <w:ind w:firstLine="420"/>
      </w:pPr>
      <w:r>
        <w:rPr>
          <w:rFonts w:ascii="Times New Roman" w:hAnsi="Times New Roman" w:eastAsia="宋体"/>
          <w:sz w:val="24"/>
        </w:rPr>
        <w:t>VTK 一致性对比中的 VTK 结果作为工程参考，不作为解析真值。解析场验证用于检验算法与数学真值的接近程度，VTK 一致性对比用于检验系统输出与成熟工具输出的一致程度，两类实验的评价目的不同。</w:t>
      </w:r>
    </w:p>
    <w:p>
      <w:pPr>
        <w:pStyle w:val="2"/>
        <w:spacing w:line="360" w:lineRule="auto" w:before="120" w:after="120"/>
        <w:jc w:val="left"/>
      </w:pPr>
      <w:r>
        <w:rPr>
          <w:rFonts w:ascii="Times New Roman" w:hAnsi="Times New Roman" w:eastAsia="黑体"/>
          <w:b/>
          <w:sz w:val="28"/>
        </w:rPr>
        <w:t>5.3 解析场验证实验</w:t>
      </w:r>
    </w:p>
    <w:p>
      <w:pPr>
        <w:spacing w:line="360" w:lineRule="auto" w:after="0"/>
        <w:ind w:firstLine="420"/>
      </w:pPr>
      <w:r>
        <w:rPr>
          <w:rFonts w:ascii="Times New Roman" w:hAnsi="Times New Roman" w:eastAsia="宋体"/>
          <w:sz w:val="24"/>
        </w:rPr>
        <w:t>解析场验证使用具有已知梯度真值的线性标量场和线性向量场。线性场的理论梯度为常量，适合检查有限差分、形函数导数、坐标映射和多分量字段组织是否正确。本文分别在结构化网格、非结构化体网格和非结构化曲面网格上进行验证，以覆盖结构化网格路径、非结构化体单元路径和曲面单元路径。</w:t>
      </w:r>
    </w:p>
    <w:p>
      <w:pPr>
        <w:pStyle w:val="3"/>
        <w:spacing w:line="360" w:lineRule="auto" w:before="120" w:after="120"/>
        <w:jc w:val="left"/>
      </w:pPr>
      <w:r>
        <w:rPr>
          <w:rFonts w:ascii="Times New Roman" w:hAnsi="Times New Roman" w:eastAsia="黑体"/>
          <w:b/>
          <w:sz w:val="24"/>
        </w:rPr>
        <w:t>5.3.1 点数据解析场</w:t>
      </w:r>
    </w:p>
    <w:p>
      <w:pPr>
        <w:spacing w:line="360" w:lineRule="auto" w:after="0"/>
        <w:ind w:firstLine="420"/>
      </w:pPr>
      <w:r>
        <w:rPr>
          <w:rFonts w:ascii="Times New Roman" w:hAnsi="Times New Roman" w:eastAsia="宋体"/>
          <w:sz w:val="24"/>
        </w:rPr>
        <w:t>点数据解析场结果如表 5-4 所示。表中误差均为系统输出相对解析真值的 NMAE。</w:t>
      </w:r>
    </w:p>
    <w:p>
      <w:pPr>
        <w:spacing w:line="240" w:lineRule="auto" w:before="80" w:after="80"/>
        <w:ind w:firstLine="0"/>
        <w:jc w:val="center"/>
      </w:pPr>
      <w:r>
        <w:rPr>
          <w:rFonts w:ascii="Times New Roman" w:hAnsi="Times New Roman" w:eastAsia="宋体"/>
          <w:sz w:val="21"/>
        </w:rPr>
        <w:t>表 5-4 点数据解析场误差</w:t>
      </w:r>
    </w:p>
    <w:tbl>
      <w:tblPr>
        <w:tblStyle w:val="a6"/>
        <w:tblW w:type="auto" w:w="0"/>
        <w:jc w:val="center"/>
        <w:tblLayout w:type="autofit"/>
        <w:tblLook w:firstColumn="1" w:firstRow="1" w:lastColumn="0" w:lastRow="0" w:noHBand="0" w:noVBand="1" w:val="04A0"/>
      </w:tblPr>
      <w:tblGrid>
        <w:gridCol w:w="2197"/>
        <w:gridCol w:w="2197"/>
        <w:gridCol w:w="2197"/>
        <w:gridCol w:w="2197"/>
      </w:tblGrid>
      <w:tr>
        <w:tc>
          <w:tcPr>
            <w:tcW w:type="dxa" w:w="2197"/>
            <w:vAlign w:val="center"/>
          </w:tcPr>
          <w:p>
            <w:pPr>
              <w:spacing w:line="240" w:lineRule="auto"/>
              <w:jc w:val="center"/>
            </w:pPr>
            <w:r>
              <w:rPr>
                <w:rFonts w:ascii="Times New Roman" w:hAnsi="Times New Roman" w:eastAsia="宋体"/>
                <w:b/>
                <w:sz w:val="21"/>
              </w:rPr>
              <w:t>数据集</w:t>
            </w:r>
          </w:p>
        </w:tc>
        <w:tc>
          <w:tcPr>
            <w:tcW w:type="dxa" w:w="2197"/>
            <w:vAlign w:val="center"/>
          </w:tcPr>
          <w:p>
            <w:pPr>
              <w:spacing w:line="240" w:lineRule="auto"/>
              <w:jc w:val="center"/>
            </w:pPr>
            <w:r>
              <w:rPr>
                <w:rFonts w:ascii="Times New Roman" w:hAnsi="Times New Roman" w:eastAsia="宋体"/>
                <w:b/>
                <w:sz w:val="21"/>
              </w:rPr>
              <w:t>字段类型</w:t>
            </w:r>
          </w:p>
        </w:tc>
        <w:tc>
          <w:tcPr>
            <w:tcW w:type="dxa" w:w="2197"/>
            <w:vAlign w:val="center"/>
          </w:tcPr>
          <w:p>
            <w:pPr>
              <w:spacing w:line="240" w:lineRule="auto"/>
              <w:jc w:val="center"/>
            </w:pPr>
            <w:r>
              <w:rPr>
                <w:rFonts w:ascii="Times New Roman" w:hAnsi="Times New Roman" w:eastAsia="宋体"/>
                <w:b/>
                <w:sz w:val="21"/>
              </w:rPr>
              <w:t>线性标量场 NMAE</w:t>
            </w:r>
          </w:p>
        </w:tc>
        <w:tc>
          <w:tcPr>
            <w:tcW w:type="dxa" w:w="2197"/>
            <w:vAlign w:val="center"/>
          </w:tcPr>
          <w:p>
            <w:pPr>
              <w:spacing w:line="240" w:lineRule="auto"/>
              <w:jc w:val="center"/>
            </w:pPr>
            <w:r>
              <w:rPr>
                <w:rFonts w:ascii="Times New Roman" w:hAnsi="Times New Roman" w:eastAsia="宋体"/>
                <w:b/>
                <w:sz w:val="21"/>
              </w:rPr>
              <w:t>线性向量场 NMAE</w:t>
            </w:r>
          </w:p>
        </w:tc>
      </w:tr>
      <w:tr>
        <w:tc>
          <w:tcPr>
            <w:tcW w:type="dxa" w:w="2197"/>
            <w:vAlign w:val="center"/>
          </w:tcPr>
          <w:p>
            <w:pPr>
              <w:spacing w:line="240" w:lineRule="auto"/>
              <w:jc w:val="center"/>
            </w:pPr>
            <w:r>
              <w:rPr>
                <w:rFonts w:ascii="Times New Roman" w:hAnsi="Times New Roman" w:eastAsia="宋体"/>
                <w:b w:val="0"/>
                <w:sz w:val="21"/>
              </w:rPr>
              <w:t>SampleStructGrid</w:t>
            </w:r>
          </w:p>
        </w:tc>
        <w:tc>
          <w:tcPr>
            <w:tcW w:type="dxa" w:w="2197"/>
            <w:vAlign w:val="center"/>
          </w:tcPr>
          <w:p>
            <w:pPr>
              <w:spacing w:line="240" w:lineRule="auto"/>
              <w:jc w:val="center"/>
            </w:pPr>
            <w:r>
              <w:rPr>
                <w:rFonts w:ascii="Times New Roman" w:hAnsi="Times New Roman" w:eastAsia="宋体"/>
                <w:b w:val="0"/>
                <w:sz w:val="21"/>
              </w:rPr>
              <w:t>结构化网格点数据</w:t>
            </w:r>
          </w:p>
        </w:tc>
        <w:tc>
          <w:tcPr>
            <w:tcW w:type="dxa" w:w="2197"/>
            <w:vAlign w:val="center"/>
          </w:tcPr>
          <w:p>
            <w:pPr>
              <w:spacing w:line="240" w:lineRule="auto"/>
              <w:jc w:val="center"/>
            </w:pPr>
            <w:r>
              <w:rPr>
                <w:rFonts w:ascii="Times New Roman" w:hAnsi="Times New Roman" w:eastAsia="宋体"/>
                <w:b w:val="0"/>
                <w:sz w:val="21"/>
              </w:rPr>
              <w:t>2.12896e-07</w:t>
            </w:r>
          </w:p>
        </w:tc>
        <w:tc>
          <w:tcPr>
            <w:tcW w:type="dxa" w:w="2197"/>
            <w:vAlign w:val="center"/>
          </w:tcPr>
          <w:p>
            <w:pPr>
              <w:spacing w:line="240" w:lineRule="auto"/>
              <w:jc w:val="center"/>
            </w:pPr>
            <w:r>
              <w:rPr>
                <w:rFonts w:ascii="Times New Roman" w:hAnsi="Times New Roman" w:eastAsia="宋体"/>
                <w:b w:val="0"/>
                <w:sz w:val="21"/>
              </w:rPr>
              <w:t>2.56902e-07</w:t>
            </w:r>
          </w:p>
        </w:tc>
      </w:tr>
      <w:tr>
        <w:tc>
          <w:tcPr>
            <w:tcW w:type="dxa" w:w="2197"/>
            <w:vAlign w:val="center"/>
          </w:tcPr>
          <w:p>
            <w:pPr>
              <w:spacing w:line="240" w:lineRule="auto"/>
              <w:jc w:val="center"/>
            </w:pPr>
            <w:r>
              <w:rPr>
                <w:rFonts w:ascii="Times New Roman" w:hAnsi="Times New Roman" w:eastAsia="宋体"/>
                <w:b w:val="0"/>
                <w:sz w:val="21"/>
              </w:rPr>
              <w:t>hexa</w:t>
            </w:r>
          </w:p>
        </w:tc>
        <w:tc>
          <w:tcPr>
            <w:tcW w:type="dxa" w:w="2197"/>
            <w:vAlign w:val="center"/>
          </w:tcPr>
          <w:p>
            <w:pPr>
              <w:spacing w:line="240" w:lineRule="auto"/>
              <w:jc w:val="center"/>
            </w:pPr>
            <w:r>
              <w:rPr>
                <w:rFonts w:ascii="Times New Roman" w:hAnsi="Times New Roman" w:eastAsia="宋体"/>
                <w:b w:val="0"/>
                <w:sz w:val="21"/>
              </w:rPr>
              <w:t>非结构化体点数据</w:t>
            </w:r>
          </w:p>
        </w:tc>
        <w:tc>
          <w:tcPr>
            <w:tcW w:type="dxa" w:w="2197"/>
            <w:vAlign w:val="center"/>
          </w:tcPr>
          <w:p>
            <w:pPr>
              <w:spacing w:line="240" w:lineRule="auto"/>
              <w:jc w:val="center"/>
            </w:pPr>
            <w:r>
              <w:rPr>
                <w:rFonts w:ascii="Times New Roman" w:hAnsi="Times New Roman" w:eastAsia="宋体"/>
                <w:b w:val="0"/>
                <w:sz w:val="21"/>
              </w:rPr>
              <w:t>1.14546e-07</w:t>
            </w:r>
          </w:p>
        </w:tc>
        <w:tc>
          <w:tcPr>
            <w:tcW w:type="dxa" w:w="2197"/>
            <w:vAlign w:val="center"/>
          </w:tcPr>
          <w:p>
            <w:pPr>
              <w:spacing w:line="240" w:lineRule="auto"/>
              <w:jc w:val="center"/>
            </w:pPr>
            <w:r>
              <w:rPr>
                <w:rFonts w:ascii="Times New Roman" w:hAnsi="Times New Roman" w:eastAsia="宋体"/>
                <w:b w:val="0"/>
                <w:sz w:val="21"/>
              </w:rPr>
              <w:t>1.83220e-07</w:t>
            </w:r>
          </w:p>
        </w:tc>
      </w:tr>
      <w:tr>
        <w:tc>
          <w:tcPr>
            <w:tcW w:type="dxa" w:w="2197"/>
            <w:vAlign w:val="center"/>
          </w:tcPr>
          <w:p>
            <w:pPr>
              <w:spacing w:line="240" w:lineRule="auto"/>
              <w:jc w:val="center"/>
            </w:pPr>
            <w:r>
              <w:rPr>
                <w:rFonts w:ascii="Times New Roman" w:hAnsi="Times New Roman" w:eastAsia="宋体"/>
                <w:b w:val="0"/>
                <w:sz w:val="21"/>
              </w:rPr>
              <w:t>1_0</w:t>
            </w:r>
          </w:p>
        </w:tc>
        <w:tc>
          <w:tcPr>
            <w:tcW w:type="dxa" w:w="2197"/>
            <w:vAlign w:val="center"/>
          </w:tcPr>
          <w:p>
            <w:pPr>
              <w:spacing w:line="240" w:lineRule="auto"/>
              <w:jc w:val="center"/>
            </w:pPr>
            <w:r>
              <w:rPr>
                <w:rFonts w:ascii="Times New Roman" w:hAnsi="Times New Roman" w:eastAsia="宋体"/>
                <w:b w:val="0"/>
                <w:sz w:val="21"/>
              </w:rPr>
              <w:t>非结构化曲面点数据</w:t>
            </w:r>
          </w:p>
        </w:tc>
        <w:tc>
          <w:tcPr>
            <w:tcW w:type="dxa" w:w="2197"/>
            <w:vAlign w:val="center"/>
          </w:tcPr>
          <w:p>
            <w:pPr>
              <w:spacing w:line="240" w:lineRule="auto"/>
              <w:jc w:val="center"/>
            </w:pPr>
            <w:r>
              <w:rPr>
                <w:rFonts w:ascii="Times New Roman" w:hAnsi="Times New Roman" w:eastAsia="宋体"/>
                <w:b w:val="0"/>
                <w:sz w:val="21"/>
              </w:rPr>
              <w:t>5.92162e-08</w:t>
            </w:r>
          </w:p>
        </w:tc>
        <w:tc>
          <w:tcPr>
            <w:tcW w:type="dxa" w:w="2197"/>
            <w:vAlign w:val="center"/>
          </w:tcPr>
          <w:p>
            <w:pPr>
              <w:spacing w:line="240" w:lineRule="auto"/>
              <w:jc w:val="center"/>
            </w:pPr>
            <w:r>
              <w:rPr>
                <w:rFonts w:ascii="Times New Roman" w:hAnsi="Times New Roman" w:eastAsia="宋体"/>
                <w:b w:val="0"/>
                <w:sz w:val="21"/>
              </w:rPr>
              <w:t>1.11066e-07</w:t>
            </w:r>
          </w:p>
        </w:tc>
      </w:tr>
    </w:tbl>
    <w:p/>
    <w:p>
      <w:pPr>
        <w:spacing w:line="360" w:lineRule="auto" w:after="0"/>
        <w:ind w:firstLine="420"/>
      </w:pPr>
      <w:r>
        <w:rPr>
          <w:rFonts w:ascii="Times New Roman" w:hAnsi="Times New Roman" w:eastAsia="宋体"/>
          <w:sz w:val="24"/>
        </w:rPr>
        <w:t xml:space="preserve">表 5-4 中，结构化网格和非结构化网格的线性场误差均保持在 </w:t>
      </w:r>
      <w:r>
        <w:rPr>
          <w:rFonts w:ascii="Cambria Math" w:hAnsi="Cambria Math" w:eastAsia="Cambria Math"/>
          <w:sz w:val="22"/>
        </w:rPr>
        <w:t>10^-7</w:t>
      </w:r>
      <w:r>
        <w:rPr>
          <w:rFonts w:ascii="Times New Roman" w:hAnsi="Times New Roman" w:eastAsia="宋体"/>
          <w:sz w:val="24"/>
        </w:rPr>
        <w:t xml:space="preserve"> 量级附近。该结果说明，结构化网格有限差分路径和非结构化网格形函数导数路径在点数据上能够正确恢复线性场梯度。对于 </w:t>
      </w:r>
      <w:r>
        <w:rPr>
          <w:rFonts w:ascii="Consolas" w:hAnsi="Consolas" w:eastAsia="Consolas"/>
          <w:sz w:val="24"/>
        </w:rPr>
        <w:t>1_0</w:t>
      </w:r>
      <w:r>
        <w:rPr>
          <w:rFonts w:ascii="Times New Roman" w:hAnsi="Times New Roman" w:eastAsia="宋体"/>
          <w:sz w:val="24"/>
        </w:rPr>
        <w:t xml:space="preserve"> 曲面数据，表中采用曲面场更适用的内蕴评价结果，以减少曲面法向分量对梯度误差统计的影响。线性向量场结果同时验证了多分量字段的循环计算、输出分量排列和字段写回过程。</w:t>
      </w:r>
    </w:p>
    <w:p>
      <w:pPr>
        <w:pStyle w:val="3"/>
        <w:spacing w:line="360" w:lineRule="auto" w:before="120" w:after="120"/>
        <w:jc w:val="left"/>
      </w:pPr>
      <w:r>
        <w:rPr>
          <w:rFonts w:ascii="Times New Roman" w:hAnsi="Times New Roman" w:eastAsia="黑体"/>
          <w:b/>
          <w:sz w:val="24"/>
        </w:rPr>
        <w:t>5.3.2 单元数据解析场</w:t>
      </w:r>
    </w:p>
    <w:p>
      <w:pPr>
        <w:spacing w:line="360" w:lineRule="auto" w:after="0"/>
        <w:ind w:firstLine="420"/>
      </w:pPr>
      <w:r>
        <w:rPr>
          <w:rFonts w:ascii="Times New Roman" w:hAnsi="Times New Roman" w:eastAsia="宋体"/>
          <w:sz w:val="24"/>
        </w:rPr>
        <w:t>单元数据定义在单元上，其梯度计算需要经过单元场提升或单元中心差分等处理。表 5-5 给出单元数据解析场结果，并列出 VTK 路径的对应误差作为参考。</w:t>
      </w:r>
    </w:p>
    <w:p>
      <w:pPr>
        <w:spacing w:line="240" w:lineRule="auto" w:before="80" w:after="80"/>
        <w:ind w:firstLine="0"/>
        <w:jc w:val="center"/>
      </w:pPr>
      <w:r>
        <w:rPr>
          <w:rFonts w:ascii="Times New Roman" w:hAnsi="Times New Roman" w:eastAsia="宋体"/>
          <w:sz w:val="21"/>
        </w:rPr>
        <w:t>表 5-5 单元数据解析场误差</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字段类型</w:t>
            </w:r>
          </w:p>
        </w:tc>
        <w:tc>
          <w:tcPr>
            <w:tcW w:type="dxa" w:w="1465"/>
            <w:vAlign w:val="center"/>
          </w:tcPr>
          <w:p>
            <w:pPr>
              <w:spacing w:line="240" w:lineRule="auto"/>
              <w:jc w:val="center"/>
            </w:pPr>
            <w:r>
              <w:rPr>
                <w:rFonts w:ascii="Times New Roman" w:hAnsi="Times New Roman" w:eastAsia="宋体"/>
                <w:b/>
                <w:sz w:val="17"/>
              </w:rPr>
              <w:t>OpenGL 标量场 NMAE</w:t>
            </w:r>
          </w:p>
        </w:tc>
        <w:tc>
          <w:tcPr>
            <w:tcW w:type="dxa" w:w="1465"/>
            <w:vAlign w:val="center"/>
          </w:tcPr>
          <w:p>
            <w:pPr>
              <w:spacing w:line="240" w:lineRule="auto"/>
              <w:jc w:val="center"/>
            </w:pPr>
            <w:r>
              <w:rPr>
                <w:rFonts w:ascii="Times New Roman" w:hAnsi="Times New Roman" w:eastAsia="宋体"/>
                <w:b/>
                <w:sz w:val="17"/>
              </w:rPr>
              <w:t>OpenGL 向量场 NMAE</w:t>
            </w:r>
          </w:p>
        </w:tc>
        <w:tc>
          <w:tcPr>
            <w:tcW w:type="dxa" w:w="1465"/>
            <w:vAlign w:val="center"/>
          </w:tcPr>
          <w:p>
            <w:pPr>
              <w:spacing w:line="240" w:lineRule="auto"/>
              <w:jc w:val="center"/>
            </w:pPr>
            <w:r>
              <w:rPr>
                <w:rFonts w:ascii="Times New Roman" w:hAnsi="Times New Roman" w:eastAsia="宋体"/>
                <w:b/>
                <w:sz w:val="17"/>
              </w:rPr>
              <w:t>VTK 标量场 NMAE</w:t>
            </w:r>
          </w:p>
        </w:tc>
        <w:tc>
          <w:tcPr>
            <w:tcW w:type="dxa" w:w="1465"/>
            <w:vAlign w:val="center"/>
          </w:tcPr>
          <w:p>
            <w:pPr>
              <w:spacing w:line="240" w:lineRule="auto"/>
              <w:jc w:val="center"/>
            </w:pPr>
            <w:r>
              <w:rPr>
                <w:rFonts w:ascii="Times New Roman" w:hAnsi="Times New Roman" w:eastAsia="宋体"/>
                <w:b/>
                <w:sz w:val="17"/>
              </w:rPr>
              <w:t>VTK 向量场 NMAE</w:t>
            </w:r>
          </w:p>
        </w:tc>
      </w:tr>
      <w:tr>
        <w:tc>
          <w:tcPr>
            <w:tcW w:type="dxa" w:w="1465"/>
            <w:vAlign w:val="center"/>
          </w:tcPr>
          <w:p>
            <w:pPr>
              <w:spacing w:line="240" w:lineRule="auto"/>
              <w:jc w:val="center"/>
            </w:pPr>
            <w:r>
              <w:rPr>
                <w:rFonts w:ascii="Times New Roman" w:hAnsi="Times New Roman" w:eastAsia="宋体"/>
                <w:b w:val="0"/>
                <w:sz w:val="17"/>
              </w:rPr>
              <w:t>SampleStructGrid</w:t>
            </w:r>
          </w:p>
        </w:tc>
        <w:tc>
          <w:tcPr>
            <w:tcW w:type="dxa" w:w="1465"/>
            <w:vAlign w:val="center"/>
          </w:tcPr>
          <w:p>
            <w:pPr>
              <w:spacing w:line="240" w:lineRule="auto"/>
              <w:jc w:val="center"/>
            </w:pPr>
            <w:r>
              <w:rPr>
                <w:rFonts w:ascii="Times New Roman" w:hAnsi="Times New Roman" w:eastAsia="宋体"/>
                <w:b w:val="0"/>
                <w:sz w:val="17"/>
              </w:rPr>
              <w:t>结构化网格单元数据</w:t>
            </w:r>
          </w:p>
        </w:tc>
        <w:tc>
          <w:tcPr>
            <w:tcW w:type="dxa" w:w="1465"/>
            <w:vAlign w:val="center"/>
          </w:tcPr>
          <w:p>
            <w:pPr>
              <w:spacing w:line="240" w:lineRule="auto"/>
              <w:jc w:val="center"/>
            </w:pPr>
            <w:r>
              <w:rPr>
                <w:rFonts w:ascii="Times New Roman" w:hAnsi="Times New Roman" w:eastAsia="宋体"/>
                <w:b w:val="0"/>
                <w:sz w:val="17"/>
              </w:rPr>
              <w:t>2.03698e-07</w:t>
            </w:r>
          </w:p>
        </w:tc>
        <w:tc>
          <w:tcPr>
            <w:tcW w:type="dxa" w:w="1465"/>
            <w:vAlign w:val="center"/>
          </w:tcPr>
          <w:p>
            <w:pPr>
              <w:spacing w:line="240" w:lineRule="auto"/>
              <w:jc w:val="center"/>
            </w:pPr>
            <w:r>
              <w:rPr>
                <w:rFonts w:ascii="Times New Roman" w:hAnsi="Times New Roman" w:eastAsia="宋体"/>
                <w:b w:val="0"/>
                <w:sz w:val="17"/>
              </w:rPr>
              <w:t>2.47084e-07</w:t>
            </w:r>
          </w:p>
        </w:tc>
        <w:tc>
          <w:tcPr>
            <w:tcW w:type="dxa" w:w="1465"/>
            <w:vAlign w:val="center"/>
          </w:tcPr>
          <w:p>
            <w:pPr>
              <w:spacing w:line="240" w:lineRule="auto"/>
              <w:jc w:val="center"/>
            </w:pPr>
            <w:r>
              <w:rPr>
                <w:rFonts w:ascii="Times New Roman" w:hAnsi="Times New Roman" w:eastAsia="宋体"/>
                <w:b w:val="0"/>
                <w:sz w:val="17"/>
              </w:rPr>
              <w:t>4.61893e-07</w:t>
            </w:r>
          </w:p>
        </w:tc>
        <w:tc>
          <w:tcPr>
            <w:tcW w:type="dxa" w:w="1465"/>
            <w:vAlign w:val="center"/>
          </w:tcPr>
          <w:p>
            <w:pPr>
              <w:spacing w:line="240" w:lineRule="auto"/>
              <w:jc w:val="center"/>
            </w:pPr>
            <w:r>
              <w:rPr>
                <w:rFonts w:ascii="Times New Roman" w:hAnsi="Times New Roman" w:eastAsia="宋体"/>
                <w:b w:val="0"/>
                <w:sz w:val="17"/>
              </w:rPr>
              <w:t>5.57695e-07</w:t>
            </w:r>
          </w:p>
        </w:tc>
      </w:tr>
      <w:tr>
        <w:tc>
          <w:tcPr>
            <w:tcW w:type="dxa" w:w="1465"/>
            <w:vAlign w:val="center"/>
          </w:tcPr>
          <w:p>
            <w:pPr>
              <w:spacing w:line="240" w:lineRule="auto"/>
              <w:jc w:val="center"/>
            </w:pPr>
            <w:r>
              <w:rPr>
                <w:rFonts w:ascii="Times New Roman" w:hAnsi="Times New Roman" w:eastAsia="宋体"/>
                <w:b w:val="0"/>
                <w:sz w:val="17"/>
              </w:rPr>
              <w:t>hexa</w:t>
            </w:r>
          </w:p>
        </w:tc>
        <w:tc>
          <w:tcPr>
            <w:tcW w:type="dxa" w:w="1465"/>
            <w:vAlign w:val="center"/>
          </w:tcPr>
          <w:p>
            <w:pPr>
              <w:spacing w:line="240" w:lineRule="auto"/>
              <w:jc w:val="center"/>
            </w:pPr>
            <w:r>
              <w:rPr>
                <w:rFonts w:ascii="Times New Roman" w:hAnsi="Times New Roman" w:eastAsia="宋体"/>
                <w:b w:val="0"/>
                <w:sz w:val="17"/>
              </w:rPr>
              <w:t>非结构化体单元数据</w:t>
            </w:r>
          </w:p>
        </w:tc>
        <w:tc>
          <w:tcPr>
            <w:tcW w:type="dxa" w:w="1465"/>
            <w:vAlign w:val="center"/>
          </w:tcPr>
          <w:p>
            <w:pPr>
              <w:spacing w:line="240" w:lineRule="auto"/>
              <w:jc w:val="center"/>
            </w:pPr>
            <w:r>
              <w:rPr>
                <w:rFonts w:ascii="Times New Roman" w:hAnsi="Times New Roman" w:eastAsia="宋体"/>
                <w:b w:val="0"/>
                <w:sz w:val="17"/>
              </w:rPr>
              <w:t>7.01308e-02</w:t>
            </w:r>
          </w:p>
        </w:tc>
        <w:tc>
          <w:tcPr>
            <w:tcW w:type="dxa" w:w="1465"/>
            <w:vAlign w:val="center"/>
          </w:tcPr>
          <w:p>
            <w:pPr>
              <w:spacing w:line="240" w:lineRule="auto"/>
              <w:jc w:val="center"/>
            </w:pPr>
            <w:r>
              <w:rPr>
                <w:rFonts w:ascii="Times New Roman" w:hAnsi="Times New Roman" w:eastAsia="宋体"/>
                <w:b w:val="0"/>
                <w:sz w:val="17"/>
              </w:rPr>
              <w:t>6.78263e-02</w:t>
            </w:r>
          </w:p>
        </w:tc>
        <w:tc>
          <w:tcPr>
            <w:tcW w:type="dxa" w:w="1465"/>
            <w:vAlign w:val="center"/>
          </w:tcPr>
          <w:p>
            <w:pPr>
              <w:spacing w:line="240" w:lineRule="auto"/>
              <w:jc w:val="center"/>
            </w:pPr>
            <w:r>
              <w:rPr>
                <w:rFonts w:ascii="Times New Roman" w:hAnsi="Times New Roman" w:eastAsia="宋体"/>
                <w:b w:val="0"/>
                <w:sz w:val="17"/>
              </w:rPr>
              <w:t>7.01308e-02</w:t>
            </w:r>
          </w:p>
        </w:tc>
        <w:tc>
          <w:tcPr>
            <w:tcW w:type="dxa" w:w="1465"/>
            <w:vAlign w:val="center"/>
          </w:tcPr>
          <w:p>
            <w:pPr>
              <w:spacing w:line="240" w:lineRule="auto"/>
              <w:jc w:val="center"/>
            </w:pPr>
            <w:r>
              <w:rPr>
                <w:rFonts w:ascii="Times New Roman" w:hAnsi="Times New Roman" w:eastAsia="宋体"/>
                <w:b w:val="0"/>
                <w:sz w:val="17"/>
              </w:rPr>
              <w:t>6.78263e-02</w:t>
            </w:r>
          </w:p>
        </w:tc>
      </w:tr>
      <w:tr>
        <w:tc>
          <w:tcPr>
            <w:tcW w:type="dxa" w:w="1465"/>
            <w:vAlign w:val="center"/>
          </w:tcPr>
          <w:p>
            <w:pPr>
              <w:spacing w:line="240" w:lineRule="auto"/>
              <w:jc w:val="center"/>
            </w:pPr>
            <w:r>
              <w:rPr>
                <w:rFonts w:ascii="Times New Roman" w:hAnsi="Times New Roman" w:eastAsia="宋体"/>
                <w:b w:val="0"/>
                <w:sz w:val="17"/>
              </w:rPr>
              <w:t>1_0</w:t>
            </w:r>
          </w:p>
        </w:tc>
        <w:tc>
          <w:tcPr>
            <w:tcW w:type="dxa" w:w="1465"/>
            <w:vAlign w:val="center"/>
          </w:tcPr>
          <w:p>
            <w:pPr>
              <w:spacing w:line="240" w:lineRule="auto"/>
              <w:jc w:val="center"/>
            </w:pPr>
            <w:r>
              <w:rPr>
                <w:rFonts w:ascii="Times New Roman" w:hAnsi="Times New Roman" w:eastAsia="宋体"/>
                <w:b w:val="0"/>
                <w:sz w:val="17"/>
              </w:rPr>
              <w:t>非结构化曲面单元数据</w:t>
            </w:r>
          </w:p>
        </w:tc>
        <w:tc>
          <w:tcPr>
            <w:tcW w:type="dxa" w:w="1465"/>
            <w:vAlign w:val="center"/>
          </w:tcPr>
          <w:p>
            <w:pPr>
              <w:spacing w:line="240" w:lineRule="auto"/>
              <w:jc w:val="center"/>
            </w:pPr>
            <w:r>
              <w:rPr>
                <w:rFonts w:ascii="Times New Roman" w:hAnsi="Times New Roman" w:eastAsia="宋体"/>
                <w:b w:val="0"/>
                <w:sz w:val="17"/>
              </w:rPr>
              <w:t>1.05548e-01</w:t>
            </w:r>
          </w:p>
        </w:tc>
        <w:tc>
          <w:tcPr>
            <w:tcW w:type="dxa" w:w="1465"/>
            <w:vAlign w:val="center"/>
          </w:tcPr>
          <w:p>
            <w:pPr>
              <w:spacing w:line="240" w:lineRule="auto"/>
              <w:jc w:val="center"/>
            </w:pPr>
            <w:r>
              <w:rPr>
                <w:rFonts w:ascii="Times New Roman" w:hAnsi="Times New Roman" w:eastAsia="宋体"/>
                <w:b w:val="0"/>
                <w:sz w:val="17"/>
              </w:rPr>
              <w:t>1.00933e-01</w:t>
            </w:r>
          </w:p>
        </w:tc>
        <w:tc>
          <w:tcPr>
            <w:tcW w:type="dxa" w:w="1465"/>
            <w:vAlign w:val="center"/>
          </w:tcPr>
          <w:p>
            <w:pPr>
              <w:spacing w:line="240" w:lineRule="auto"/>
              <w:jc w:val="center"/>
            </w:pPr>
            <w:r>
              <w:rPr>
                <w:rFonts w:ascii="Times New Roman" w:hAnsi="Times New Roman" w:eastAsia="宋体"/>
                <w:b w:val="0"/>
                <w:sz w:val="17"/>
              </w:rPr>
              <w:t>1.05548e-01</w:t>
            </w:r>
          </w:p>
        </w:tc>
        <w:tc>
          <w:tcPr>
            <w:tcW w:type="dxa" w:w="1465"/>
            <w:vAlign w:val="center"/>
          </w:tcPr>
          <w:p>
            <w:pPr>
              <w:spacing w:line="240" w:lineRule="auto"/>
              <w:jc w:val="center"/>
            </w:pPr>
            <w:r>
              <w:rPr>
                <w:rFonts w:ascii="Times New Roman" w:hAnsi="Times New Roman" w:eastAsia="宋体"/>
                <w:b w:val="0"/>
                <w:sz w:val="17"/>
              </w:rPr>
              <w:t>9.68753e-02</w:t>
            </w:r>
          </w:p>
        </w:tc>
      </w:tr>
    </w:tbl>
    <w:p/>
    <w:p>
      <w:pPr>
        <w:spacing w:line="360" w:lineRule="auto" w:after="0"/>
        <w:ind w:firstLine="420"/>
      </w:pPr>
      <w:r>
        <w:rPr>
          <w:rFonts w:ascii="Times New Roman" w:hAnsi="Times New Roman" w:eastAsia="宋体"/>
          <w:sz w:val="24"/>
        </w:rPr>
        <w:t xml:space="preserve">结构化网格单元数据误差达到 </w:t>
      </w:r>
      <w:r>
        <w:rPr>
          <w:rFonts w:ascii="Cambria Math" w:hAnsi="Cambria Math" w:eastAsia="Cambria Math"/>
          <w:sz w:val="22"/>
        </w:rPr>
        <w:t>10^-7</w:t>
      </w:r>
      <w:r>
        <w:rPr>
          <w:rFonts w:ascii="Times New Roman" w:hAnsi="Times New Roman" w:eastAsia="宋体"/>
          <w:sz w:val="24"/>
        </w:rPr>
        <w:t xml:space="preserve"> 量级，说明结构化网格单元中心差分路径具有较高精度。非结构化体单元数据和曲面单元数据误差高于点数据，主要与单元场提升、单元中心评价以及曲面场评价方式有关。</w:t>
      </w:r>
      <w:r>
        <w:rPr>
          <w:rFonts w:ascii="Consolas" w:hAnsi="Consolas" w:eastAsia="Consolas"/>
          <w:sz w:val="24"/>
        </w:rPr>
        <w:t>hexa</w:t>
      </w:r>
      <w:r>
        <w:rPr>
          <w:rFonts w:ascii="Times New Roman" w:hAnsi="Times New Roman" w:eastAsia="宋体"/>
          <w:sz w:val="24"/>
        </w:rPr>
        <w:t xml:space="preserve"> 中 OpenGL 路径与 VTK 路径误差一致，说明该偏差主要反映单元场恢复方式的影响。相比点数据，单元数据没有可直接代入形函数公式的节点值，梯度恢复前需要构造点级中间场或单元中心差分对象，因此误差表现更依赖字段关联方式。</w:t>
      </w:r>
    </w:p>
    <w:p>
      <w:pPr>
        <w:pStyle w:val="3"/>
        <w:spacing w:line="360" w:lineRule="auto" w:before="120" w:after="120"/>
        <w:jc w:val="left"/>
      </w:pPr>
      <w:r>
        <w:rPr>
          <w:rFonts w:ascii="Times New Roman" w:hAnsi="Times New Roman" w:eastAsia="黑体"/>
          <w:b/>
          <w:sz w:val="24"/>
        </w:rPr>
        <w:t>5.3.3 解析场实验结论</w:t>
      </w:r>
    </w:p>
    <w:p>
      <w:pPr>
        <w:spacing w:line="360" w:lineRule="auto" w:after="0"/>
        <w:ind w:firstLine="420"/>
      </w:pPr>
      <w:r>
        <w:rPr>
          <w:rFonts w:ascii="Times New Roman" w:hAnsi="Times New Roman" w:eastAsia="宋体"/>
          <w:sz w:val="24"/>
        </w:rPr>
        <w:t>解析场实验表明，点数据梯度结果与解析真值保持较高一致性，是验证梯度计算正确性的主要依据。单元数据结果体现了单元场恢复和评价方式对误差的影响，可作为点数据验证之外的补充证据。综合点数据和单元数据结果可以看出，系统能够处理不同字段关联方式下的线性解析场，但单元数据结果需要结合其采样位置和重构过程进行分析。</w:t>
      </w:r>
    </w:p>
    <w:p>
      <w:pPr>
        <w:spacing w:line="360" w:lineRule="auto" w:after="0"/>
        <w:ind w:firstLine="420"/>
      </w:pPr>
      <w:r>
        <w:rPr>
          <w:rFonts w:ascii="Times New Roman" w:hAnsi="Times New Roman" w:eastAsia="宋体"/>
          <w:sz w:val="24"/>
        </w:rPr>
        <w:t xml:space="preserve">从解析场结果可以看出，点数据误差整体处于 </w:t>
      </w:r>
      <w:r>
        <w:rPr>
          <w:rFonts w:ascii="Cambria Math" w:hAnsi="Cambria Math" w:eastAsia="Cambria Math"/>
          <w:sz w:val="22"/>
        </w:rPr>
        <w:t>10^-7</w:t>
      </w:r>
      <w:r>
        <w:rPr>
          <w:rFonts w:ascii="Times New Roman" w:hAnsi="Times New Roman" w:eastAsia="宋体"/>
          <w:sz w:val="24"/>
        </w:rPr>
        <w:t xml:space="preserve"> 量级，非结构化单元数据误差相对较高，符合前文对单元场重构过程的分析。</w:t>
      </w:r>
    </w:p>
    <w:p>
      <w:pPr>
        <w:pStyle w:val="2"/>
        <w:spacing w:line="360" w:lineRule="auto" w:before="120" w:after="120"/>
        <w:jc w:val="left"/>
      </w:pPr>
      <w:r>
        <w:rPr>
          <w:rFonts w:ascii="Times New Roman" w:hAnsi="Times New Roman" w:eastAsia="黑体"/>
          <w:b/>
          <w:sz w:val="28"/>
        </w:rPr>
        <w:t>5.4 与 VTK 结果一致性对比实验</w:t>
      </w:r>
    </w:p>
    <w:p>
      <w:pPr>
        <w:spacing w:line="360" w:lineRule="auto" w:after="0"/>
        <w:ind w:firstLine="420"/>
      </w:pPr>
      <w:r>
        <w:rPr>
          <w:rFonts w:ascii="Times New Roman" w:hAnsi="Times New Roman" w:eastAsia="宋体"/>
          <w:sz w:val="24"/>
        </w:rPr>
        <w:t xml:space="preserve">工程字段通常没有解析梯度真值，因此本文使用 </w:t>
      </w:r>
      <w:r>
        <w:rPr>
          <w:rFonts w:ascii="Consolas" w:hAnsi="Consolas" w:eastAsia="Consolas"/>
          <w:sz w:val="24"/>
        </w:rPr>
        <w:t>vtkGradientFilter</w:t>
      </w:r>
      <w:r>
        <w:rPr>
          <w:rFonts w:ascii="Times New Roman" w:hAnsi="Times New Roman" w:eastAsia="宋体"/>
          <w:sz w:val="24"/>
        </w:rPr>
        <w:t xml:space="preserve"> 作为工程参考。VTK 文档说明，该过滤器用于估计数据集中字段的梯度，输出数组与输入字段关联方式保持一致[19]。本节选取结构化网格、非结构化体网格和非结构化曲面网格进行对比，分析系统结果与 VTK 结果的一致性。点数据对比使用 </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，单元数据对比使用 </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limb</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，分别覆盖结构化网格、非结构化体网格和曲面网格场景。</w:t>
      </w:r>
    </w:p>
    <w:p>
      <w:pPr>
        <w:pStyle w:val="3"/>
        <w:spacing w:line="360" w:lineRule="auto" w:before="120" w:after="120"/>
        <w:jc w:val="left"/>
      </w:pPr>
      <w:r>
        <w:rPr>
          <w:rFonts w:ascii="Times New Roman" w:hAnsi="Times New Roman" w:eastAsia="黑体"/>
          <w:b/>
          <w:sz w:val="24"/>
        </w:rPr>
        <w:t>5.4.1 点数据对比</w:t>
      </w:r>
    </w:p>
    <w:p>
      <w:pPr>
        <w:spacing w:line="360" w:lineRule="auto" w:after="0"/>
        <w:ind w:firstLine="420"/>
      </w:pPr>
      <w:r>
        <w:rPr>
          <w:rFonts w:ascii="Times New Roman" w:hAnsi="Times New Roman" w:eastAsia="宋体"/>
          <w:sz w:val="24"/>
        </w:rPr>
        <w:t>点数据一致性对比结果如表 5-6 所示。</w:t>
      </w:r>
    </w:p>
    <w:p>
      <w:pPr>
        <w:spacing w:line="240" w:lineRule="auto" w:before="80" w:after="80"/>
        <w:ind w:firstLine="0"/>
        <w:jc w:val="center"/>
      </w:pPr>
      <w:r>
        <w:rPr>
          <w:rFonts w:ascii="Times New Roman" w:hAnsi="Times New Roman" w:eastAsia="宋体"/>
          <w:sz w:val="21"/>
        </w:rPr>
        <w:t>表 5-6 点数据与 VTK 结果一致性对比</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数据集</w:t>
            </w:r>
          </w:p>
        </w:tc>
        <w:tc>
          <w:tcPr>
            <w:tcW w:type="dxa" w:w="1758"/>
            <w:vAlign w:val="center"/>
          </w:tcPr>
          <w:p>
            <w:pPr>
              <w:spacing w:line="240" w:lineRule="auto"/>
              <w:jc w:val="center"/>
            </w:pPr>
            <w:r>
              <w:rPr>
                <w:rFonts w:ascii="Times New Roman" w:hAnsi="Times New Roman" w:eastAsia="宋体"/>
                <w:b/>
                <w:sz w:val="21"/>
              </w:rPr>
              <w:t>字段</w:t>
            </w:r>
          </w:p>
        </w:tc>
        <w:tc>
          <w:tcPr>
            <w:tcW w:type="dxa" w:w="1758"/>
            <w:vAlign w:val="center"/>
          </w:tcPr>
          <w:p>
            <w:pPr>
              <w:spacing w:line="240" w:lineRule="auto"/>
              <w:jc w:val="center"/>
            </w:pPr>
            <w:r>
              <w:rPr>
                <w:rFonts w:ascii="Times New Roman" w:hAnsi="Times New Roman" w:eastAsia="宋体"/>
                <w:b/>
                <w:sz w:val="21"/>
              </w:rPr>
              <w:t>NMAE</w:t>
            </w:r>
          </w:p>
        </w:tc>
        <w:tc>
          <w:tcPr>
            <w:tcW w:type="dxa" w:w="1758"/>
            <w:vAlign w:val="center"/>
          </w:tcPr>
          <w:p>
            <w:pPr>
              <w:spacing w:line="240" w:lineRule="auto"/>
              <w:jc w:val="center"/>
            </w:pPr>
            <w:r>
              <w:rPr>
                <w:rFonts w:ascii="Times New Roman" w:hAnsi="Times New Roman" w:eastAsia="宋体"/>
                <w:b/>
                <w:sz w:val="21"/>
              </w:rPr>
              <w:t>平均绝对误差 MAE</w:t>
            </w:r>
          </w:p>
        </w:tc>
        <w:tc>
          <w:tcPr>
            <w:tcW w:type="dxa" w:w="1758"/>
            <w:vAlign w:val="center"/>
          </w:tcPr>
          <w:p>
            <w:pPr>
              <w:spacing w:line="240" w:lineRule="auto"/>
              <w:jc w:val="center"/>
            </w:pPr>
            <w:r>
              <w:rPr>
                <w:rFonts w:ascii="Times New Roman" w:hAnsi="Times New Roman" w:eastAsia="宋体"/>
                <w:b/>
                <w:sz w:val="21"/>
              </w:rPr>
              <w:t>相对软误差均值</w:t>
            </w:r>
          </w:p>
        </w:tc>
      </w:tr>
      <w:tr>
        <w:tc>
          <w:tcPr>
            <w:tcW w:type="dxa" w:w="1758"/>
            <w:vAlign w:val="center"/>
          </w:tcPr>
          <w:p>
            <w:pPr>
              <w:spacing w:line="240" w:lineRule="auto"/>
              <w:jc w:val="center"/>
            </w:pPr>
            <w:r>
              <w:rPr>
                <w:rFonts w:ascii="Times New Roman" w:hAnsi="Times New Roman" w:eastAsia="宋体"/>
                <w:b w:val="0"/>
                <w:sz w:val="21"/>
              </w:rPr>
              <w:t>SampleStructGrid</w:t>
            </w:r>
          </w:p>
        </w:tc>
        <w:tc>
          <w:tcPr>
            <w:tcW w:type="dxa" w:w="1758"/>
            <w:vAlign w:val="center"/>
          </w:tcPr>
          <w:p>
            <w:pPr>
              <w:spacing w:line="240" w:lineRule="auto"/>
              <w:jc w:val="center"/>
            </w:pPr>
            <w:r>
              <w:rPr>
                <w:rFonts w:ascii="Times New Roman" w:hAnsi="Times New Roman" w:eastAsia="宋体"/>
                <w:b w:val="0"/>
                <w:sz w:val="21"/>
              </w:rPr>
              <w:t>scalars</w:t>
            </w:r>
          </w:p>
        </w:tc>
        <w:tc>
          <w:tcPr>
            <w:tcW w:type="dxa" w:w="1758"/>
            <w:vAlign w:val="center"/>
          </w:tcPr>
          <w:p>
            <w:pPr>
              <w:spacing w:line="240" w:lineRule="auto"/>
              <w:jc w:val="center"/>
            </w:pPr>
            <w:r>
              <w:rPr>
                <w:rFonts w:ascii="Times New Roman" w:hAnsi="Times New Roman" w:eastAsia="宋体"/>
                <w:b w:val="0"/>
                <w:sz w:val="21"/>
              </w:rPr>
              <w:t>7.01208e-08</w:t>
            </w:r>
          </w:p>
        </w:tc>
        <w:tc>
          <w:tcPr>
            <w:tcW w:type="dxa" w:w="1758"/>
            <w:vAlign w:val="center"/>
          </w:tcPr>
          <w:p>
            <w:pPr>
              <w:spacing w:line="240" w:lineRule="auto"/>
              <w:jc w:val="center"/>
            </w:pPr>
            <w:r>
              <w:rPr>
                <w:rFonts w:ascii="Times New Roman" w:hAnsi="Times New Roman" w:eastAsia="宋体"/>
                <w:b w:val="0"/>
                <w:sz w:val="21"/>
              </w:rPr>
              <w:t>7.12407e-08</w:t>
            </w:r>
          </w:p>
        </w:tc>
        <w:tc>
          <w:tcPr>
            <w:tcW w:type="dxa" w:w="1758"/>
            <w:vAlign w:val="center"/>
          </w:tcPr>
          <w:p>
            <w:pPr>
              <w:spacing w:line="240" w:lineRule="auto"/>
              <w:jc w:val="center"/>
            </w:pPr>
            <w:r>
              <w:rPr>
                <w:rFonts w:ascii="Times New Roman" w:hAnsi="Times New Roman" w:eastAsia="宋体"/>
                <w:b w:val="0"/>
                <w:sz w:val="21"/>
              </w:rPr>
              <w:t>7.02685e-08</w:t>
            </w:r>
          </w:p>
        </w:tc>
      </w:tr>
      <w:tr>
        <w:tc>
          <w:tcPr>
            <w:tcW w:type="dxa" w:w="1758"/>
            <w:vAlign w:val="center"/>
          </w:tcPr>
          <w:p>
            <w:pPr>
              <w:spacing w:line="240" w:lineRule="auto"/>
              <w:jc w:val="center"/>
            </w:pPr>
            <w:r>
              <w:rPr>
                <w:rFonts w:ascii="Times New Roman" w:hAnsi="Times New Roman" w:eastAsia="宋体"/>
                <w:b w:val="0"/>
                <w:sz w:val="21"/>
              </w:rPr>
              <w:t>hexa</w:t>
            </w:r>
          </w:p>
        </w:tc>
        <w:tc>
          <w:tcPr>
            <w:tcW w:type="dxa" w:w="1758"/>
            <w:vAlign w:val="center"/>
          </w:tcPr>
          <w:p>
            <w:pPr>
              <w:spacing w:line="240" w:lineRule="auto"/>
              <w:jc w:val="center"/>
            </w:pPr>
            <w:r>
              <w:rPr>
                <w:rFonts w:ascii="Times New Roman" w:hAnsi="Times New Roman" w:eastAsia="宋体"/>
                <w:b w:val="0"/>
                <w:sz w:val="21"/>
              </w:rPr>
              <w:t>scalars</w:t>
            </w:r>
          </w:p>
        </w:tc>
        <w:tc>
          <w:tcPr>
            <w:tcW w:type="dxa" w:w="1758"/>
            <w:vAlign w:val="center"/>
          </w:tcPr>
          <w:p>
            <w:pPr>
              <w:spacing w:line="240" w:lineRule="auto"/>
              <w:jc w:val="center"/>
            </w:pPr>
            <w:r>
              <w:rPr>
                <w:rFonts w:ascii="Times New Roman" w:hAnsi="Times New Roman" w:eastAsia="宋体"/>
                <w:b w:val="0"/>
                <w:sz w:val="21"/>
              </w:rPr>
              <w:t>5.16345e-08</w:t>
            </w:r>
          </w:p>
        </w:tc>
        <w:tc>
          <w:tcPr>
            <w:tcW w:type="dxa" w:w="1758"/>
            <w:vAlign w:val="center"/>
          </w:tcPr>
          <w:p>
            <w:pPr>
              <w:spacing w:line="240" w:lineRule="auto"/>
              <w:jc w:val="center"/>
            </w:pPr>
            <w:r>
              <w:rPr>
                <w:rFonts w:ascii="Times New Roman" w:hAnsi="Times New Roman" w:eastAsia="宋体"/>
                <w:b w:val="0"/>
                <w:sz w:val="21"/>
              </w:rPr>
              <w:t>1.02708e-06</w:t>
            </w:r>
          </w:p>
        </w:tc>
        <w:tc>
          <w:tcPr>
            <w:tcW w:type="dxa" w:w="1758"/>
            <w:vAlign w:val="center"/>
          </w:tcPr>
          <w:p>
            <w:pPr>
              <w:spacing w:line="240" w:lineRule="auto"/>
              <w:jc w:val="center"/>
            </w:pPr>
            <w:r>
              <w:rPr>
                <w:rFonts w:ascii="Times New Roman" w:hAnsi="Times New Roman" w:eastAsia="宋体"/>
                <w:b w:val="0"/>
                <w:sz w:val="21"/>
              </w:rPr>
              <w:t>5.16076e-08</w:t>
            </w:r>
          </w:p>
        </w:tc>
      </w:tr>
      <w:tr>
        <w:tc>
          <w:tcPr>
            <w:tcW w:type="dxa" w:w="1758"/>
            <w:vAlign w:val="center"/>
          </w:tcPr>
          <w:p>
            <w:pPr>
              <w:spacing w:line="240" w:lineRule="auto"/>
              <w:jc w:val="center"/>
            </w:pPr>
            <w:r>
              <w:rPr>
                <w:rFonts w:ascii="Times New Roman" w:hAnsi="Times New Roman" w:eastAsia="宋体"/>
                <w:b w:val="0"/>
                <w:sz w:val="21"/>
              </w:rPr>
              <w:t>1_0</w:t>
            </w:r>
          </w:p>
        </w:tc>
        <w:tc>
          <w:tcPr>
            <w:tcW w:type="dxa" w:w="1758"/>
            <w:vAlign w:val="center"/>
          </w:tcPr>
          <w:p>
            <w:pPr>
              <w:spacing w:line="240" w:lineRule="auto"/>
              <w:jc w:val="center"/>
            </w:pPr>
            <w:r>
              <w:rPr>
                <w:rFonts w:ascii="Times New Roman" w:hAnsi="Times New Roman" w:eastAsia="宋体"/>
                <w:b w:val="0"/>
                <w:sz w:val="21"/>
              </w:rPr>
              <w:t>RF</w:t>
            </w:r>
          </w:p>
        </w:tc>
        <w:tc>
          <w:tcPr>
            <w:tcW w:type="dxa" w:w="1758"/>
            <w:vAlign w:val="center"/>
          </w:tcPr>
          <w:p>
            <w:pPr>
              <w:spacing w:line="240" w:lineRule="auto"/>
              <w:jc w:val="center"/>
            </w:pPr>
            <w:r>
              <w:rPr>
                <w:rFonts w:ascii="Times New Roman" w:hAnsi="Times New Roman" w:eastAsia="宋体"/>
                <w:b w:val="0"/>
                <w:sz w:val="21"/>
              </w:rPr>
              <w:t>2.91327e-08</w:t>
            </w:r>
          </w:p>
        </w:tc>
        <w:tc>
          <w:tcPr>
            <w:tcW w:type="dxa" w:w="1758"/>
            <w:vAlign w:val="center"/>
          </w:tcPr>
          <w:p>
            <w:pPr>
              <w:spacing w:line="240" w:lineRule="auto"/>
              <w:jc w:val="center"/>
            </w:pPr>
            <w:r>
              <w:rPr>
                <w:rFonts w:ascii="Times New Roman" w:hAnsi="Times New Roman" w:eastAsia="宋体"/>
                <w:b w:val="0"/>
                <w:sz w:val="21"/>
              </w:rPr>
              <w:t>4.69850e-10</w:t>
            </w:r>
          </w:p>
        </w:tc>
        <w:tc>
          <w:tcPr>
            <w:tcW w:type="dxa" w:w="1758"/>
            <w:vAlign w:val="center"/>
          </w:tcPr>
          <w:p>
            <w:pPr>
              <w:spacing w:line="240" w:lineRule="auto"/>
              <w:jc w:val="center"/>
            </w:pPr>
            <w:r>
              <w:rPr>
                <w:rFonts w:ascii="Times New Roman" w:hAnsi="Times New Roman" w:eastAsia="宋体"/>
                <w:b w:val="0"/>
                <w:sz w:val="21"/>
              </w:rPr>
              <w:t>3.42126e-10</w:t>
            </w:r>
          </w:p>
        </w:tc>
      </w:tr>
    </w:tbl>
    <w:p/>
    <w:p>
      <w:pPr>
        <w:spacing w:line="360" w:lineRule="auto" w:after="0"/>
        <w:ind w:firstLine="420"/>
      </w:pPr>
      <w:r>
        <w:rPr>
          <w:rFonts w:ascii="Times New Roman" w:hAnsi="Times New Roman" w:eastAsia="宋体"/>
          <w:sz w:val="24"/>
        </w:rPr>
        <w:t xml:space="preserve">点数据结果的 NMAE 均处于 </w:t>
      </w:r>
      <w:r>
        <w:rPr>
          <w:rFonts w:ascii="Cambria Math" w:hAnsi="Cambria Math" w:eastAsia="Cambria Math"/>
          <w:sz w:val="22"/>
        </w:rPr>
        <w:t>10^-8</w:t>
      </w:r>
      <w:r>
        <w:rPr>
          <w:rFonts w:ascii="Times New Roman" w:hAnsi="Times New Roman" w:eastAsia="宋体"/>
          <w:sz w:val="24"/>
        </w:rPr>
        <w:t xml:space="preserve"> 量级，说明系统在结构化网格、非结构化体网格和非结构化曲面网格点字段上均能得到与 VTK 接近的梯度结果。平均绝对误差在不同数据集之间存在差异，主要与字段本身的数值尺度有关；NMAE 和相对软误差均值则更适合用于判断整体一致性。</w:t>
      </w:r>
    </w:p>
    <w:p>
      <w:pPr>
        <w:pStyle w:val="3"/>
        <w:spacing w:line="360" w:lineRule="auto" w:before="120" w:after="120"/>
        <w:jc w:val="left"/>
      </w:pPr>
      <w:r>
        <w:rPr>
          <w:rFonts w:ascii="Times New Roman" w:hAnsi="Times New Roman" w:eastAsia="黑体"/>
          <w:b/>
          <w:sz w:val="24"/>
        </w:rPr>
        <w:t>5.4.2 单元数据对比</w:t>
      </w:r>
    </w:p>
    <w:p>
      <w:pPr>
        <w:spacing w:line="360" w:lineRule="auto" w:after="0"/>
        <w:ind w:firstLine="420"/>
      </w:pPr>
      <w:r>
        <w:rPr>
          <w:rFonts w:ascii="Times New Roman" w:hAnsi="Times New Roman" w:eastAsia="宋体"/>
          <w:sz w:val="24"/>
        </w:rPr>
        <w:t>单元数据一致性对比结果如表 5-7 所示。</w:t>
      </w:r>
    </w:p>
    <w:p>
      <w:pPr>
        <w:spacing w:line="240" w:lineRule="auto" w:before="80" w:after="80"/>
        <w:ind w:firstLine="0"/>
        <w:jc w:val="center"/>
      </w:pPr>
      <w:r>
        <w:rPr>
          <w:rFonts w:ascii="Times New Roman" w:hAnsi="Times New Roman" w:eastAsia="宋体"/>
          <w:sz w:val="21"/>
        </w:rPr>
        <w:t>表 5-7 单元数据与 VTK 结果一致性对比</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数据集</w:t>
            </w:r>
          </w:p>
        </w:tc>
        <w:tc>
          <w:tcPr>
            <w:tcW w:type="dxa" w:w="1758"/>
            <w:vAlign w:val="center"/>
          </w:tcPr>
          <w:p>
            <w:pPr>
              <w:spacing w:line="240" w:lineRule="auto"/>
              <w:jc w:val="center"/>
            </w:pPr>
            <w:r>
              <w:rPr>
                <w:rFonts w:ascii="Times New Roman" w:hAnsi="Times New Roman" w:eastAsia="宋体"/>
                <w:b/>
                <w:sz w:val="21"/>
              </w:rPr>
              <w:t>字段</w:t>
            </w:r>
          </w:p>
        </w:tc>
        <w:tc>
          <w:tcPr>
            <w:tcW w:type="dxa" w:w="1758"/>
            <w:vAlign w:val="center"/>
          </w:tcPr>
          <w:p>
            <w:pPr>
              <w:spacing w:line="240" w:lineRule="auto"/>
              <w:jc w:val="center"/>
            </w:pPr>
            <w:r>
              <w:rPr>
                <w:rFonts w:ascii="Times New Roman" w:hAnsi="Times New Roman" w:eastAsia="宋体"/>
                <w:b/>
                <w:sz w:val="21"/>
              </w:rPr>
              <w:t>NMAE</w:t>
            </w:r>
          </w:p>
        </w:tc>
        <w:tc>
          <w:tcPr>
            <w:tcW w:type="dxa" w:w="1758"/>
            <w:vAlign w:val="center"/>
          </w:tcPr>
          <w:p>
            <w:pPr>
              <w:spacing w:line="240" w:lineRule="auto"/>
              <w:jc w:val="center"/>
            </w:pPr>
            <w:r>
              <w:rPr>
                <w:rFonts w:ascii="Times New Roman" w:hAnsi="Times New Roman" w:eastAsia="宋体"/>
                <w:b/>
                <w:sz w:val="21"/>
              </w:rPr>
              <w:t>平均绝对误差 MAE</w:t>
            </w:r>
          </w:p>
        </w:tc>
        <w:tc>
          <w:tcPr>
            <w:tcW w:type="dxa" w:w="1758"/>
            <w:vAlign w:val="center"/>
          </w:tcPr>
          <w:p>
            <w:pPr>
              <w:spacing w:line="240" w:lineRule="auto"/>
              <w:jc w:val="center"/>
            </w:pPr>
            <w:r>
              <w:rPr>
                <w:rFonts w:ascii="Times New Roman" w:hAnsi="Times New Roman" w:eastAsia="宋体"/>
                <w:b/>
                <w:sz w:val="21"/>
              </w:rPr>
              <w:t>相对软误差均值</w:t>
            </w:r>
          </w:p>
        </w:tc>
      </w:tr>
      <w:tr>
        <w:tc>
          <w:tcPr>
            <w:tcW w:type="dxa" w:w="1758"/>
            <w:vAlign w:val="center"/>
          </w:tcPr>
          <w:p>
            <w:pPr>
              <w:spacing w:line="240" w:lineRule="auto"/>
              <w:jc w:val="center"/>
            </w:pPr>
            <w:r>
              <w:rPr>
                <w:rFonts w:ascii="Times New Roman" w:hAnsi="Times New Roman" w:eastAsia="宋体"/>
                <w:b w:val="0"/>
                <w:sz w:val="21"/>
              </w:rPr>
              <w:t>SampleStructGrid</w:t>
            </w:r>
          </w:p>
        </w:tc>
        <w:tc>
          <w:tcPr>
            <w:tcW w:type="dxa" w:w="1758"/>
            <w:vAlign w:val="center"/>
          </w:tcPr>
          <w:p>
            <w:pPr>
              <w:spacing w:line="240" w:lineRule="auto"/>
              <w:jc w:val="center"/>
            </w:pPr>
            <w:r>
              <w:rPr>
                <w:rFonts w:ascii="Times New Roman" w:hAnsi="Times New Roman" w:eastAsia="宋体"/>
                <w:b w:val="0"/>
                <w:sz w:val="21"/>
              </w:rPr>
              <w:t>scalars</w:t>
            </w:r>
          </w:p>
        </w:tc>
        <w:tc>
          <w:tcPr>
            <w:tcW w:type="dxa" w:w="1758"/>
            <w:vAlign w:val="center"/>
          </w:tcPr>
          <w:p>
            <w:pPr>
              <w:spacing w:line="240" w:lineRule="auto"/>
              <w:jc w:val="center"/>
            </w:pPr>
            <w:r>
              <w:rPr>
                <w:rFonts w:ascii="Times New Roman" w:hAnsi="Times New Roman" w:eastAsia="宋体"/>
                <w:b w:val="0"/>
                <w:sz w:val="21"/>
              </w:rPr>
              <w:t>6.62593e-07</w:t>
            </w:r>
          </w:p>
        </w:tc>
        <w:tc>
          <w:tcPr>
            <w:tcW w:type="dxa" w:w="1758"/>
            <w:vAlign w:val="center"/>
          </w:tcPr>
          <w:p>
            <w:pPr>
              <w:spacing w:line="240" w:lineRule="auto"/>
              <w:jc w:val="center"/>
            </w:pPr>
            <w:r>
              <w:rPr>
                <w:rFonts w:ascii="Times New Roman" w:hAnsi="Times New Roman" w:eastAsia="宋体"/>
                <w:b w:val="0"/>
                <w:sz w:val="21"/>
              </w:rPr>
              <w:t>6.63385e-07</w:t>
            </w:r>
          </w:p>
        </w:tc>
        <w:tc>
          <w:tcPr>
            <w:tcW w:type="dxa" w:w="1758"/>
            <w:vAlign w:val="center"/>
          </w:tcPr>
          <w:p>
            <w:pPr>
              <w:spacing w:line="240" w:lineRule="auto"/>
              <w:jc w:val="center"/>
            </w:pPr>
            <w:r>
              <w:rPr>
                <w:rFonts w:ascii="Times New Roman" w:hAnsi="Times New Roman" w:eastAsia="宋体"/>
                <w:b w:val="0"/>
                <w:sz w:val="21"/>
              </w:rPr>
              <w:t>6.62262e-07</w:t>
            </w:r>
          </w:p>
        </w:tc>
      </w:tr>
      <w:tr>
        <w:tc>
          <w:tcPr>
            <w:tcW w:type="dxa" w:w="1758"/>
            <w:vAlign w:val="center"/>
          </w:tcPr>
          <w:p>
            <w:pPr>
              <w:spacing w:line="240" w:lineRule="auto"/>
              <w:jc w:val="center"/>
            </w:pPr>
            <w:r>
              <w:rPr>
                <w:rFonts w:ascii="Times New Roman" w:hAnsi="Times New Roman" w:eastAsia="宋体"/>
                <w:b w:val="0"/>
                <w:sz w:val="21"/>
              </w:rPr>
              <w:t>limb</w:t>
            </w:r>
          </w:p>
        </w:tc>
        <w:tc>
          <w:tcPr>
            <w:tcW w:type="dxa" w:w="1758"/>
            <w:vAlign w:val="center"/>
          </w:tcPr>
          <w:p>
            <w:pPr>
              <w:spacing w:line="240" w:lineRule="auto"/>
              <w:jc w:val="center"/>
            </w:pPr>
            <w:r>
              <w:rPr>
                <w:rFonts w:ascii="Times New Roman" w:hAnsi="Times New Roman" w:eastAsia="宋体"/>
                <w:b w:val="0"/>
                <w:sz w:val="21"/>
              </w:rPr>
              <w:t>chem_0</w:t>
            </w:r>
          </w:p>
        </w:tc>
        <w:tc>
          <w:tcPr>
            <w:tcW w:type="dxa" w:w="1758"/>
            <w:vAlign w:val="center"/>
          </w:tcPr>
          <w:p>
            <w:pPr>
              <w:spacing w:line="240" w:lineRule="auto"/>
              <w:jc w:val="center"/>
            </w:pPr>
            <w:r>
              <w:rPr>
                <w:rFonts w:ascii="Times New Roman" w:hAnsi="Times New Roman" w:eastAsia="宋体"/>
                <w:b w:val="0"/>
                <w:sz w:val="21"/>
              </w:rPr>
              <w:t>4.60322e-07</w:t>
            </w:r>
          </w:p>
        </w:tc>
        <w:tc>
          <w:tcPr>
            <w:tcW w:type="dxa" w:w="1758"/>
            <w:vAlign w:val="center"/>
          </w:tcPr>
          <w:p>
            <w:pPr>
              <w:spacing w:line="240" w:lineRule="auto"/>
              <w:jc w:val="center"/>
            </w:pPr>
            <w:r>
              <w:rPr>
                <w:rFonts w:ascii="Times New Roman" w:hAnsi="Times New Roman" w:eastAsia="宋体"/>
                <w:b w:val="0"/>
                <w:sz w:val="21"/>
              </w:rPr>
              <w:t>1.47255e-09</w:t>
            </w:r>
          </w:p>
        </w:tc>
        <w:tc>
          <w:tcPr>
            <w:tcW w:type="dxa" w:w="1758"/>
            <w:vAlign w:val="center"/>
          </w:tcPr>
          <w:p>
            <w:pPr>
              <w:spacing w:line="240" w:lineRule="auto"/>
              <w:jc w:val="center"/>
            </w:pPr>
            <w:r>
              <w:rPr>
                <w:rFonts w:ascii="Times New Roman" w:hAnsi="Times New Roman" w:eastAsia="宋体"/>
                <w:b w:val="0"/>
                <w:sz w:val="21"/>
              </w:rPr>
              <w:t>2.72555e-06</w:t>
            </w:r>
          </w:p>
        </w:tc>
      </w:tr>
      <w:tr>
        <w:tc>
          <w:tcPr>
            <w:tcW w:type="dxa" w:w="1758"/>
            <w:vAlign w:val="center"/>
          </w:tcPr>
          <w:p>
            <w:pPr>
              <w:spacing w:line="240" w:lineRule="auto"/>
              <w:jc w:val="center"/>
            </w:pPr>
            <w:r>
              <w:rPr>
                <w:rFonts w:ascii="Times New Roman" w:hAnsi="Times New Roman" w:eastAsia="宋体"/>
                <w:b w:val="0"/>
                <w:sz w:val="21"/>
              </w:rPr>
              <w:t>1_0</w:t>
            </w:r>
          </w:p>
        </w:tc>
        <w:tc>
          <w:tcPr>
            <w:tcW w:type="dxa" w:w="1758"/>
            <w:vAlign w:val="center"/>
          </w:tcPr>
          <w:p>
            <w:pPr>
              <w:spacing w:line="240" w:lineRule="auto"/>
              <w:jc w:val="center"/>
            </w:pPr>
            <w:r>
              <w:rPr>
                <w:rFonts w:ascii="Times New Roman" w:hAnsi="Times New Roman" w:eastAsia="宋体"/>
                <w:b w:val="0"/>
                <w:sz w:val="21"/>
              </w:rPr>
              <w:t>S_Mises</w:t>
            </w:r>
          </w:p>
        </w:tc>
        <w:tc>
          <w:tcPr>
            <w:tcW w:type="dxa" w:w="1758"/>
            <w:vAlign w:val="center"/>
          </w:tcPr>
          <w:p>
            <w:pPr>
              <w:spacing w:line="240" w:lineRule="auto"/>
              <w:jc w:val="center"/>
            </w:pPr>
            <w:r>
              <w:rPr>
                <w:rFonts w:ascii="Times New Roman" w:hAnsi="Times New Roman" w:eastAsia="宋体"/>
                <w:b w:val="0"/>
                <w:sz w:val="21"/>
              </w:rPr>
              <w:t>7.08797e-08</w:t>
            </w:r>
          </w:p>
        </w:tc>
        <w:tc>
          <w:tcPr>
            <w:tcW w:type="dxa" w:w="1758"/>
            <w:vAlign w:val="center"/>
          </w:tcPr>
          <w:p>
            <w:pPr>
              <w:spacing w:line="240" w:lineRule="auto"/>
              <w:jc w:val="center"/>
            </w:pPr>
            <w:r>
              <w:rPr>
                <w:rFonts w:ascii="Times New Roman" w:hAnsi="Times New Roman" w:eastAsia="宋体"/>
                <w:b w:val="0"/>
                <w:sz w:val="21"/>
              </w:rPr>
              <w:t>1.78807e-06</w:t>
            </w:r>
          </w:p>
        </w:tc>
        <w:tc>
          <w:tcPr>
            <w:tcW w:type="dxa" w:w="1758"/>
            <w:vAlign w:val="center"/>
          </w:tcPr>
          <w:p>
            <w:pPr>
              <w:spacing w:line="240" w:lineRule="auto"/>
              <w:jc w:val="center"/>
            </w:pPr>
            <w:r>
              <w:rPr>
                <w:rFonts w:ascii="Times New Roman" w:hAnsi="Times New Roman" w:eastAsia="宋体"/>
                <w:b w:val="0"/>
                <w:sz w:val="21"/>
              </w:rPr>
              <w:t>1.37286e-07</w:t>
            </w:r>
          </w:p>
        </w:tc>
      </w:tr>
    </w:tbl>
    <w:p/>
    <w:p>
      <w:pPr>
        <w:spacing w:line="360" w:lineRule="auto" w:after="0"/>
        <w:ind w:firstLine="420"/>
      </w:pPr>
      <w:r>
        <w:rPr>
          <w:rFonts w:ascii="Times New Roman" w:hAnsi="Times New Roman" w:eastAsia="宋体"/>
          <w:sz w:val="24"/>
        </w:rPr>
        <w:t>单元数据对比结果同样保持较低误差。</w:t>
      </w:r>
      <w:r>
        <w:rPr>
          <w:rFonts w:ascii="Consolas" w:hAnsi="Consolas" w:eastAsia="Consolas"/>
          <w:sz w:val="24"/>
        </w:rPr>
        <w:t>SampleStructGrid</w:t>
      </w:r>
      <w:r>
        <w:rPr>
          <w:rFonts w:ascii="Times New Roman" w:hAnsi="Times New Roman" w:eastAsia="宋体"/>
          <w:sz w:val="24"/>
        </w:rPr>
        <w:t xml:space="preserve"> 体现结构化网格单元数据路径的一致性，</w:t>
      </w:r>
      <w:r>
        <w:rPr>
          <w:rFonts w:ascii="Consolas" w:hAnsi="Consolas" w:eastAsia="Consolas"/>
          <w:sz w:val="24"/>
        </w:rPr>
        <w:t>limb</w:t>
      </w:r>
      <w:r>
        <w:rPr>
          <w:rFonts w:ascii="Times New Roman" w:hAnsi="Times New Roman" w:eastAsia="宋体"/>
          <w:sz w:val="24"/>
        </w:rPr>
        <w:t xml:space="preserve"> 用于观察工程非结构化体单元字段，</w:t>
      </w:r>
      <w:r>
        <w:rPr>
          <w:rFonts w:ascii="Consolas" w:hAnsi="Consolas" w:eastAsia="Consolas"/>
          <w:sz w:val="24"/>
        </w:rPr>
        <w:t>1_0</w:t>
      </w:r>
      <w:r>
        <w:rPr>
          <w:rFonts w:ascii="Times New Roman" w:hAnsi="Times New Roman" w:eastAsia="宋体"/>
          <w:sz w:val="24"/>
        </w:rPr>
        <w:t xml:space="preserve"> 用于观察曲面单元字段。三组结果说明，系统在不同字段关联方式和网格类型下均能够保持与 VTK 参考结果的工程一致性。相较点数据，单元数据更依赖字段写回位置和输出分量数是否正确，因此该组实验也验证了结果导出阶段的字段语义保持情况。</w:t>
      </w:r>
    </w:p>
    <w:p>
      <w:pPr>
        <w:pStyle w:val="3"/>
        <w:spacing w:line="360" w:lineRule="auto" w:before="120" w:after="120"/>
        <w:jc w:val="left"/>
      </w:pPr>
      <w:r>
        <w:rPr>
          <w:rFonts w:ascii="Times New Roman" w:hAnsi="Times New Roman" w:eastAsia="黑体"/>
          <w:b/>
          <w:sz w:val="24"/>
        </w:rPr>
        <w:t>5.4.3 一致性分析</w:t>
      </w:r>
    </w:p>
    <w:p>
      <w:pPr>
        <w:spacing w:line="360" w:lineRule="auto" w:after="0"/>
        <w:ind w:firstLine="420"/>
      </w:pPr>
      <w:r>
        <w:rPr>
          <w:rFonts w:ascii="Times New Roman" w:hAnsi="Times New Roman" w:eastAsia="宋体"/>
          <w:sz w:val="24"/>
        </w:rPr>
        <w:t xml:space="preserve">VTK 一致性实验表明，本文系统在工程字段上能够输出与 </w:t>
      </w:r>
      <w:r>
        <w:rPr>
          <w:rFonts w:ascii="Consolas" w:hAnsi="Consolas" w:eastAsia="Consolas"/>
          <w:sz w:val="24"/>
        </w:rPr>
        <w:t>vtkGradientFilter</w:t>
      </w:r>
      <w:r>
        <w:rPr>
          <w:rFonts w:ascii="Times New Roman" w:hAnsi="Times New Roman" w:eastAsia="宋体"/>
          <w:sz w:val="24"/>
        </w:rPr>
        <w:t xml:space="preserve"> 接近的梯度结果。点数据对比误差较小，说明节点字段梯度路径稳定；单元数据对比结果也处于较低误差范围，说明字段关联方式、结果分量数和导出语义能够与 VTK 参考结果保持一致。该实验补充了没有解析真值场景下的工程验证。</w:t>
      </w:r>
    </w:p>
    <w:p>
      <w:pPr>
        <w:spacing w:line="360" w:lineRule="auto" w:after="0"/>
        <w:ind w:firstLine="420"/>
      </w:pPr>
      <w:r>
        <w:rPr>
          <w:rFonts w:ascii="Times New Roman" w:hAnsi="Times New Roman" w:eastAsia="宋体"/>
          <w:sz w:val="24"/>
        </w:rPr>
        <w:t>系统结果与 VTK 参考结果之间的 NMAE 均保持在较低数量级，说明当前实现与 VTK 梯度结果具有工程一致性。</w:t>
      </w:r>
    </w:p>
    <w:p>
      <w:pPr>
        <w:pStyle w:val="2"/>
        <w:spacing w:line="360" w:lineRule="auto" w:before="120" w:after="120"/>
        <w:jc w:val="left"/>
      </w:pPr>
      <w:r>
        <w:rPr>
          <w:rFonts w:ascii="Times New Roman" w:hAnsi="Times New Roman" w:eastAsia="黑体"/>
          <w:b/>
          <w:sz w:val="28"/>
        </w:rPr>
        <w:t>5.5 与 VTK 的时间性能对比实验</w:t>
      </w:r>
    </w:p>
    <w:p>
      <w:pPr>
        <w:spacing w:line="360" w:lineRule="auto" w:after="0"/>
        <w:ind w:firstLine="420"/>
      </w:pPr>
      <w:r>
        <w:rPr>
          <w:rFonts w:ascii="Times New Roman" w:hAnsi="Times New Roman" w:eastAsia="宋体"/>
          <w:sz w:val="24"/>
        </w:rPr>
        <w:t>时间实验使用统一生成的结构化网格族和非结构化体网格组。实验分别记录点数据和单元数据结果，避免不同字段关联方式混用同一时间指标。表中采样数表示当前实验实际参与梯度计算的点数或单元数；系统总时间为端到端调用时间，GPU 时间为 Compute Shader 执行阶段耗时，VTK 并行时间为本文 VTK 参考流程时间。随着数据规模增大，VTK 参考流程和系统总时间均呈增长趋势；在本文测试数据、硬件环境和统计口径下，系统总时间整体低于 VTK 并行时间。非结构化体网格组的耗时高于结构化网格族，主要与单元连接访问、点-单元关系和局部几何恢复有关。</w:t>
      </w:r>
    </w:p>
    <w:p>
      <w:pPr>
        <w:pStyle w:val="3"/>
        <w:spacing w:line="360" w:lineRule="auto" w:before="120" w:after="120"/>
        <w:jc w:val="left"/>
      </w:pPr>
      <w:r>
        <w:rPr>
          <w:rFonts w:ascii="Times New Roman" w:hAnsi="Times New Roman" w:eastAsia="黑体"/>
          <w:b/>
          <w:sz w:val="24"/>
        </w:rPr>
        <w:t>5.5.1 结构化网格点数据时间对比</w:t>
      </w:r>
    </w:p>
    <w:p>
      <w:pPr>
        <w:spacing w:line="240" w:lineRule="auto" w:before="80" w:after="80"/>
        <w:ind w:firstLine="0"/>
        <w:jc w:val="center"/>
      </w:pPr>
      <w:r>
        <w:rPr>
          <w:rFonts w:ascii="Times New Roman" w:hAnsi="Times New Roman" w:eastAsia="宋体"/>
          <w:sz w:val="21"/>
        </w:rPr>
        <w:t>表 5-8 结构化网格点数据时间对比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timing_struct_20x20x20</w:t>
            </w:r>
          </w:p>
        </w:tc>
        <w:tc>
          <w:tcPr>
            <w:tcW w:type="dxa" w:w="1465"/>
            <w:vAlign w:val="center"/>
          </w:tcPr>
          <w:p>
            <w:pPr>
              <w:spacing w:line="240" w:lineRule="auto"/>
              <w:jc w:val="center"/>
            </w:pPr>
            <w:r>
              <w:rPr>
                <w:rFonts w:ascii="Times New Roman" w:hAnsi="Times New Roman" w:eastAsia="宋体"/>
                <w:b w:val="0"/>
                <w:sz w:val="17"/>
              </w:rPr>
              <w:t>8000</w:t>
            </w:r>
          </w:p>
        </w:tc>
        <w:tc>
          <w:tcPr>
            <w:tcW w:type="dxa" w:w="1465"/>
            <w:vAlign w:val="center"/>
          </w:tcPr>
          <w:p>
            <w:pPr>
              <w:spacing w:line="240" w:lineRule="auto"/>
              <w:jc w:val="center"/>
            </w:pPr>
            <w:r>
              <w:rPr>
                <w:rFonts w:ascii="Times New Roman" w:hAnsi="Times New Roman" w:eastAsia="宋体"/>
                <w:b w:val="0"/>
                <w:sz w:val="17"/>
              </w:rPr>
              <w:t>0.9036</w:t>
            </w:r>
          </w:p>
        </w:tc>
        <w:tc>
          <w:tcPr>
            <w:tcW w:type="dxa" w:w="1465"/>
            <w:vAlign w:val="center"/>
          </w:tcPr>
          <w:p>
            <w:pPr>
              <w:spacing w:line="240" w:lineRule="auto"/>
              <w:jc w:val="center"/>
            </w:pPr>
            <w:r>
              <w:rPr>
                <w:rFonts w:ascii="Times New Roman" w:hAnsi="Times New Roman" w:eastAsia="宋体"/>
                <w:b w:val="0"/>
                <w:sz w:val="17"/>
              </w:rPr>
              <w:t>0.025272</w:t>
            </w:r>
          </w:p>
        </w:tc>
        <w:tc>
          <w:tcPr>
            <w:tcW w:type="dxa" w:w="1465"/>
            <w:vAlign w:val="center"/>
          </w:tcPr>
          <w:p>
            <w:pPr>
              <w:spacing w:line="240" w:lineRule="auto"/>
              <w:jc w:val="center"/>
            </w:pPr>
            <w:r>
              <w:rPr>
                <w:rFonts w:ascii="Times New Roman" w:hAnsi="Times New Roman" w:eastAsia="宋体"/>
                <w:b w:val="0"/>
                <w:sz w:val="17"/>
              </w:rPr>
              <w:t>2.7573</w:t>
            </w:r>
          </w:p>
        </w:tc>
        <w:tc>
          <w:tcPr>
            <w:tcW w:type="dxa" w:w="1465"/>
            <w:vAlign w:val="center"/>
          </w:tcPr>
          <w:p>
            <w:pPr>
              <w:spacing w:line="240" w:lineRule="auto"/>
              <w:jc w:val="center"/>
            </w:pPr>
            <w:r>
              <w:rPr>
                <w:rFonts w:ascii="Times New Roman" w:hAnsi="Times New Roman" w:eastAsia="宋体"/>
                <w:b w:val="0"/>
                <w:sz w:val="17"/>
              </w:rPr>
              <w:t>3.051</w:t>
            </w:r>
          </w:p>
        </w:tc>
      </w:tr>
      <w:tr>
        <w:tc>
          <w:tcPr>
            <w:tcW w:type="dxa" w:w="1465"/>
            <w:vAlign w:val="center"/>
          </w:tcPr>
          <w:p>
            <w:pPr>
              <w:spacing w:line="240" w:lineRule="auto"/>
              <w:jc w:val="center"/>
            </w:pPr>
            <w:r>
              <w:rPr>
                <w:rFonts w:ascii="Times New Roman" w:hAnsi="Times New Roman" w:eastAsia="宋体"/>
                <w:b w:val="0"/>
                <w:sz w:val="17"/>
              </w:rPr>
              <w:t>timing_struct_32x32x32</w:t>
            </w:r>
          </w:p>
        </w:tc>
        <w:tc>
          <w:tcPr>
            <w:tcW w:type="dxa" w:w="1465"/>
            <w:vAlign w:val="center"/>
          </w:tcPr>
          <w:p>
            <w:pPr>
              <w:spacing w:line="240" w:lineRule="auto"/>
              <w:jc w:val="center"/>
            </w:pPr>
            <w:r>
              <w:rPr>
                <w:rFonts w:ascii="Times New Roman" w:hAnsi="Times New Roman" w:eastAsia="宋体"/>
                <w:b w:val="0"/>
                <w:sz w:val="17"/>
              </w:rPr>
              <w:t>32768</w:t>
            </w:r>
          </w:p>
        </w:tc>
        <w:tc>
          <w:tcPr>
            <w:tcW w:type="dxa" w:w="1465"/>
            <w:vAlign w:val="center"/>
          </w:tcPr>
          <w:p>
            <w:pPr>
              <w:spacing w:line="240" w:lineRule="auto"/>
              <w:jc w:val="center"/>
            </w:pPr>
            <w:r>
              <w:rPr>
                <w:rFonts w:ascii="Times New Roman" w:hAnsi="Times New Roman" w:eastAsia="宋体"/>
                <w:b w:val="0"/>
                <w:sz w:val="17"/>
              </w:rPr>
              <w:t>1.4336</w:t>
            </w:r>
          </w:p>
        </w:tc>
        <w:tc>
          <w:tcPr>
            <w:tcW w:type="dxa" w:w="1465"/>
            <w:vAlign w:val="center"/>
          </w:tcPr>
          <w:p>
            <w:pPr>
              <w:spacing w:line="240" w:lineRule="auto"/>
              <w:jc w:val="center"/>
            </w:pPr>
            <w:r>
              <w:rPr>
                <w:rFonts w:ascii="Times New Roman" w:hAnsi="Times New Roman" w:eastAsia="宋体"/>
                <w:b w:val="0"/>
                <w:sz w:val="17"/>
              </w:rPr>
              <w:t>0.043732</w:t>
            </w:r>
          </w:p>
        </w:tc>
        <w:tc>
          <w:tcPr>
            <w:tcW w:type="dxa" w:w="1465"/>
            <w:vAlign w:val="center"/>
          </w:tcPr>
          <w:p>
            <w:pPr>
              <w:spacing w:line="240" w:lineRule="auto"/>
              <w:jc w:val="center"/>
            </w:pPr>
            <w:r>
              <w:rPr>
                <w:rFonts w:ascii="Times New Roman" w:hAnsi="Times New Roman" w:eastAsia="宋体"/>
                <w:b w:val="0"/>
                <w:sz w:val="17"/>
              </w:rPr>
              <w:t>3.5564</w:t>
            </w:r>
          </w:p>
        </w:tc>
        <w:tc>
          <w:tcPr>
            <w:tcW w:type="dxa" w:w="1465"/>
            <w:vAlign w:val="center"/>
          </w:tcPr>
          <w:p>
            <w:pPr>
              <w:spacing w:line="240" w:lineRule="auto"/>
              <w:jc w:val="center"/>
            </w:pPr>
            <w:r>
              <w:rPr>
                <w:rFonts w:ascii="Times New Roman" w:hAnsi="Times New Roman" w:eastAsia="宋体"/>
                <w:b w:val="0"/>
                <w:sz w:val="17"/>
              </w:rPr>
              <w:t>2.481</w:t>
            </w:r>
          </w:p>
        </w:tc>
      </w:tr>
      <w:tr>
        <w:tc>
          <w:tcPr>
            <w:tcW w:type="dxa" w:w="1465"/>
            <w:vAlign w:val="center"/>
          </w:tcPr>
          <w:p>
            <w:pPr>
              <w:spacing w:line="240" w:lineRule="auto"/>
              <w:jc w:val="center"/>
            </w:pPr>
            <w:r>
              <w:rPr>
                <w:rFonts w:ascii="Times New Roman" w:hAnsi="Times New Roman" w:eastAsia="宋体"/>
                <w:b w:val="0"/>
                <w:sz w:val="17"/>
              </w:rPr>
              <w:t>timing_struct_48x48x48</w:t>
            </w:r>
          </w:p>
        </w:tc>
        <w:tc>
          <w:tcPr>
            <w:tcW w:type="dxa" w:w="1465"/>
            <w:vAlign w:val="center"/>
          </w:tcPr>
          <w:p>
            <w:pPr>
              <w:spacing w:line="240" w:lineRule="auto"/>
              <w:jc w:val="center"/>
            </w:pPr>
            <w:r>
              <w:rPr>
                <w:rFonts w:ascii="Times New Roman" w:hAnsi="Times New Roman" w:eastAsia="宋体"/>
                <w:b w:val="0"/>
                <w:sz w:val="17"/>
              </w:rPr>
              <w:t>110592</w:t>
            </w:r>
          </w:p>
        </w:tc>
        <w:tc>
          <w:tcPr>
            <w:tcW w:type="dxa" w:w="1465"/>
            <w:vAlign w:val="center"/>
          </w:tcPr>
          <w:p>
            <w:pPr>
              <w:spacing w:line="240" w:lineRule="auto"/>
              <w:jc w:val="center"/>
            </w:pPr>
            <w:r>
              <w:rPr>
                <w:rFonts w:ascii="Times New Roman" w:hAnsi="Times New Roman" w:eastAsia="宋体"/>
                <w:b w:val="0"/>
                <w:sz w:val="17"/>
              </w:rPr>
              <w:t>4.0996</w:t>
            </w:r>
          </w:p>
        </w:tc>
        <w:tc>
          <w:tcPr>
            <w:tcW w:type="dxa" w:w="1465"/>
            <w:vAlign w:val="center"/>
          </w:tcPr>
          <w:p>
            <w:pPr>
              <w:spacing w:line="240" w:lineRule="auto"/>
              <w:jc w:val="center"/>
            </w:pPr>
            <w:r>
              <w:rPr>
                <w:rFonts w:ascii="Times New Roman" w:hAnsi="Times New Roman" w:eastAsia="宋体"/>
                <w:b w:val="0"/>
                <w:sz w:val="17"/>
              </w:rPr>
              <w:t>0.107692</w:t>
            </w:r>
          </w:p>
        </w:tc>
        <w:tc>
          <w:tcPr>
            <w:tcW w:type="dxa" w:w="1465"/>
            <w:vAlign w:val="center"/>
          </w:tcPr>
          <w:p>
            <w:pPr>
              <w:spacing w:line="240" w:lineRule="auto"/>
              <w:jc w:val="center"/>
            </w:pPr>
            <w:r>
              <w:rPr>
                <w:rFonts w:ascii="Times New Roman" w:hAnsi="Times New Roman" w:eastAsia="宋体"/>
                <w:b w:val="0"/>
                <w:sz w:val="17"/>
              </w:rPr>
              <w:t>8.2716</w:t>
            </w:r>
          </w:p>
        </w:tc>
        <w:tc>
          <w:tcPr>
            <w:tcW w:type="dxa" w:w="1465"/>
            <w:vAlign w:val="center"/>
          </w:tcPr>
          <w:p>
            <w:pPr>
              <w:spacing w:line="240" w:lineRule="auto"/>
              <w:jc w:val="center"/>
            </w:pPr>
            <w:r>
              <w:rPr>
                <w:rFonts w:ascii="Times New Roman" w:hAnsi="Times New Roman" w:eastAsia="宋体"/>
                <w:b w:val="0"/>
                <w:sz w:val="17"/>
              </w:rPr>
              <w:t>2.018</w:t>
            </w:r>
          </w:p>
        </w:tc>
      </w:tr>
    </w:tbl>
    <w:p/>
    <w:p>
      <w:pPr>
        <w:spacing w:line="360" w:lineRule="auto" w:after="0"/>
        <w:ind w:firstLine="420"/>
      </w:pPr>
      <w:r>
        <w:rPr>
          <w:rFonts w:ascii="Times New Roman" w:hAnsi="Times New Roman" w:eastAsia="宋体"/>
          <w:sz w:val="24"/>
        </w:rPr>
        <w:t>结构化网格点数据的 GPU 时间随规模增长而增加，但整体仍保持较低水平。由于结构化网格的邻域可由逻辑维度直接恢复，计算着色器不需要访问显式邻接表，因此核心计算阶段开销较小。系统总时间高于 GPU 时间，说明缓冲区准备、结果读回和字段写回构成了端到端流程中的主要额外开销。</w:t>
      </w:r>
    </w:p>
    <w:p>
      <w:pPr>
        <w:pStyle w:val="3"/>
        <w:spacing w:line="360" w:lineRule="auto" w:before="120" w:after="120"/>
        <w:jc w:val="left"/>
      </w:pPr>
      <w:r>
        <w:rPr>
          <w:rFonts w:ascii="Times New Roman" w:hAnsi="Times New Roman" w:eastAsia="黑体"/>
          <w:b/>
          <w:sz w:val="24"/>
        </w:rPr>
        <w:t>5.5.2 结构化网格单元数据时间对比</w:t>
      </w:r>
    </w:p>
    <w:p>
      <w:pPr>
        <w:spacing w:line="240" w:lineRule="auto" w:before="80" w:after="80"/>
        <w:ind w:firstLine="0"/>
        <w:jc w:val="center"/>
      </w:pPr>
      <w:r>
        <w:rPr>
          <w:rFonts w:ascii="Times New Roman" w:hAnsi="Times New Roman" w:eastAsia="宋体"/>
          <w:sz w:val="21"/>
        </w:rPr>
        <w:t>表 5-9 结构化网格单元数据时间对比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timing_struct_20x20x20</w:t>
            </w:r>
          </w:p>
        </w:tc>
        <w:tc>
          <w:tcPr>
            <w:tcW w:type="dxa" w:w="1465"/>
            <w:vAlign w:val="center"/>
          </w:tcPr>
          <w:p>
            <w:pPr>
              <w:spacing w:line="240" w:lineRule="auto"/>
              <w:jc w:val="center"/>
            </w:pPr>
            <w:r>
              <w:rPr>
                <w:rFonts w:ascii="Times New Roman" w:hAnsi="Times New Roman" w:eastAsia="宋体"/>
                <w:b w:val="0"/>
                <w:sz w:val="17"/>
              </w:rPr>
              <w:t>6859</w:t>
            </w:r>
          </w:p>
        </w:tc>
        <w:tc>
          <w:tcPr>
            <w:tcW w:type="dxa" w:w="1465"/>
            <w:vAlign w:val="center"/>
          </w:tcPr>
          <w:p>
            <w:pPr>
              <w:spacing w:line="240" w:lineRule="auto"/>
              <w:jc w:val="center"/>
            </w:pPr>
            <w:r>
              <w:rPr>
                <w:rFonts w:ascii="Times New Roman" w:hAnsi="Times New Roman" w:eastAsia="宋体"/>
                <w:b w:val="0"/>
                <w:sz w:val="17"/>
              </w:rPr>
              <w:t>0.8455</w:t>
            </w:r>
          </w:p>
        </w:tc>
        <w:tc>
          <w:tcPr>
            <w:tcW w:type="dxa" w:w="1465"/>
            <w:vAlign w:val="center"/>
          </w:tcPr>
          <w:p>
            <w:pPr>
              <w:spacing w:line="240" w:lineRule="auto"/>
              <w:jc w:val="center"/>
            </w:pPr>
            <w:r>
              <w:rPr>
                <w:rFonts w:ascii="Times New Roman" w:hAnsi="Times New Roman" w:eastAsia="宋体"/>
                <w:b w:val="0"/>
                <w:sz w:val="17"/>
              </w:rPr>
              <w:t>0.023972</w:t>
            </w:r>
          </w:p>
        </w:tc>
        <w:tc>
          <w:tcPr>
            <w:tcW w:type="dxa" w:w="1465"/>
            <w:vAlign w:val="center"/>
          </w:tcPr>
          <w:p>
            <w:pPr>
              <w:spacing w:line="240" w:lineRule="auto"/>
              <w:jc w:val="center"/>
            </w:pPr>
            <w:r>
              <w:rPr>
                <w:rFonts w:ascii="Times New Roman" w:hAnsi="Times New Roman" w:eastAsia="宋体"/>
                <w:b w:val="0"/>
                <w:sz w:val="17"/>
              </w:rPr>
              <w:t>123.967</w:t>
            </w:r>
          </w:p>
        </w:tc>
        <w:tc>
          <w:tcPr>
            <w:tcW w:type="dxa" w:w="1465"/>
            <w:vAlign w:val="center"/>
          </w:tcPr>
          <w:p>
            <w:pPr>
              <w:spacing w:line="240" w:lineRule="auto"/>
              <w:jc w:val="center"/>
            </w:pPr>
            <w:r>
              <w:rPr>
                <w:rFonts w:ascii="Times New Roman" w:hAnsi="Times New Roman" w:eastAsia="宋体"/>
                <w:b w:val="0"/>
                <w:sz w:val="17"/>
              </w:rPr>
              <w:t>146.620</w:t>
            </w:r>
          </w:p>
        </w:tc>
      </w:tr>
      <w:tr>
        <w:tc>
          <w:tcPr>
            <w:tcW w:type="dxa" w:w="1465"/>
            <w:vAlign w:val="center"/>
          </w:tcPr>
          <w:p>
            <w:pPr>
              <w:spacing w:line="240" w:lineRule="auto"/>
              <w:jc w:val="center"/>
            </w:pPr>
            <w:r>
              <w:rPr>
                <w:rFonts w:ascii="Times New Roman" w:hAnsi="Times New Roman" w:eastAsia="宋体"/>
                <w:b w:val="0"/>
                <w:sz w:val="17"/>
              </w:rPr>
              <w:t>timing_struct_32x32x32</w:t>
            </w:r>
          </w:p>
        </w:tc>
        <w:tc>
          <w:tcPr>
            <w:tcW w:type="dxa" w:w="1465"/>
            <w:vAlign w:val="center"/>
          </w:tcPr>
          <w:p>
            <w:pPr>
              <w:spacing w:line="240" w:lineRule="auto"/>
              <w:jc w:val="center"/>
            </w:pPr>
            <w:r>
              <w:rPr>
                <w:rFonts w:ascii="Times New Roman" w:hAnsi="Times New Roman" w:eastAsia="宋体"/>
                <w:b w:val="0"/>
                <w:sz w:val="17"/>
              </w:rPr>
              <w:t>29791</w:t>
            </w:r>
          </w:p>
        </w:tc>
        <w:tc>
          <w:tcPr>
            <w:tcW w:type="dxa" w:w="1465"/>
            <w:vAlign w:val="center"/>
          </w:tcPr>
          <w:p>
            <w:pPr>
              <w:spacing w:line="240" w:lineRule="auto"/>
              <w:jc w:val="center"/>
            </w:pPr>
            <w:r>
              <w:rPr>
                <w:rFonts w:ascii="Times New Roman" w:hAnsi="Times New Roman" w:eastAsia="宋体"/>
                <w:b w:val="0"/>
                <w:sz w:val="17"/>
              </w:rPr>
              <w:t>1.1606</w:t>
            </w:r>
          </w:p>
        </w:tc>
        <w:tc>
          <w:tcPr>
            <w:tcW w:type="dxa" w:w="1465"/>
            <w:vAlign w:val="center"/>
          </w:tcPr>
          <w:p>
            <w:pPr>
              <w:spacing w:line="240" w:lineRule="auto"/>
              <w:jc w:val="center"/>
            </w:pPr>
            <w:r>
              <w:rPr>
                <w:rFonts w:ascii="Times New Roman" w:hAnsi="Times New Roman" w:eastAsia="宋体"/>
                <w:b w:val="0"/>
                <w:sz w:val="17"/>
              </w:rPr>
              <w:t>0.046124</w:t>
            </w:r>
          </w:p>
        </w:tc>
        <w:tc>
          <w:tcPr>
            <w:tcW w:type="dxa" w:w="1465"/>
            <w:vAlign w:val="center"/>
          </w:tcPr>
          <w:p>
            <w:pPr>
              <w:spacing w:line="240" w:lineRule="auto"/>
              <w:jc w:val="center"/>
            </w:pPr>
            <w:r>
              <w:rPr>
                <w:rFonts w:ascii="Times New Roman" w:hAnsi="Times New Roman" w:eastAsia="宋体"/>
                <w:b w:val="0"/>
                <w:sz w:val="17"/>
              </w:rPr>
              <w:t>484.785</w:t>
            </w:r>
          </w:p>
        </w:tc>
        <w:tc>
          <w:tcPr>
            <w:tcW w:type="dxa" w:w="1465"/>
            <w:vAlign w:val="center"/>
          </w:tcPr>
          <w:p>
            <w:pPr>
              <w:spacing w:line="240" w:lineRule="auto"/>
              <w:jc w:val="center"/>
            </w:pPr>
            <w:r>
              <w:rPr>
                <w:rFonts w:ascii="Times New Roman" w:hAnsi="Times New Roman" w:eastAsia="宋体"/>
                <w:b w:val="0"/>
                <w:sz w:val="17"/>
              </w:rPr>
              <w:t>417.702</w:t>
            </w:r>
          </w:p>
        </w:tc>
      </w:tr>
      <w:tr>
        <w:tc>
          <w:tcPr>
            <w:tcW w:type="dxa" w:w="1465"/>
            <w:vAlign w:val="center"/>
          </w:tcPr>
          <w:p>
            <w:pPr>
              <w:spacing w:line="240" w:lineRule="auto"/>
              <w:jc w:val="center"/>
            </w:pPr>
            <w:r>
              <w:rPr>
                <w:rFonts w:ascii="Times New Roman" w:hAnsi="Times New Roman" w:eastAsia="宋体"/>
                <w:b w:val="0"/>
                <w:sz w:val="17"/>
              </w:rPr>
              <w:t>timing_struct_48x48x48</w:t>
            </w:r>
          </w:p>
        </w:tc>
        <w:tc>
          <w:tcPr>
            <w:tcW w:type="dxa" w:w="1465"/>
            <w:vAlign w:val="center"/>
          </w:tcPr>
          <w:p>
            <w:pPr>
              <w:spacing w:line="240" w:lineRule="auto"/>
              <w:jc w:val="center"/>
            </w:pPr>
            <w:r>
              <w:rPr>
                <w:rFonts w:ascii="Times New Roman" w:hAnsi="Times New Roman" w:eastAsia="宋体"/>
                <w:b w:val="0"/>
                <w:sz w:val="17"/>
              </w:rPr>
              <w:t>103823</w:t>
            </w:r>
          </w:p>
        </w:tc>
        <w:tc>
          <w:tcPr>
            <w:tcW w:type="dxa" w:w="1465"/>
            <w:vAlign w:val="center"/>
          </w:tcPr>
          <w:p>
            <w:pPr>
              <w:spacing w:line="240" w:lineRule="auto"/>
              <w:jc w:val="center"/>
            </w:pPr>
            <w:r>
              <w:rPr>
                <w:rFonts w:ascii="Times New Roman" w:hAnsi="Times New Roman" w:eastAsia="宋体"/>
                <w:b w:val="0"/>
                <w:sz w:val="17"/>
              </w:rPr>
              <w:t>2.01384</w:t>
            </w:r>
          </w:p>
        </w:tc>
        <w:tc>
          <w:tcPr>
            <w:tcW w:type="dxa" w:w="1465"/>
            <w:vAlign w:val="center"/>
          </w:tcPr>
          <w:p>
            <w:pPr>
              <w:spacing w:line="240" w:lineRule="auto"/>
              <w:jc w:val="center"/>
            </w:pPr>
            <w:r>
              <w:rPr>
                <w:rFonts w:ascii="Times New Roman" w:hAnsi="Times New Roman" w:eastAsia="宋体"/>
                <w:b w:val="0"/>
                <w:sz w:val="17"/>
              </w:rPr>
              <w:t>0.115846</w:t>
            </w:r>
          </w:p>
        </w:tc>
        <w:tc>
          <w:tcPr>
            <w:tcW w:type="dxa" w:w="1465"/>
            <w:vAlign w:val="center"/>
          </w:tcPr>
          <w:p>
            <w:pPr>
              <w:spacing w:line="240" w:lineRule="auto"/>
              <w:jc w:val="center"/>
            </w:pPr>
            <w:r>
              <w:rPr>
                <w:rFonts w:ascii="Times New Roman" w:hAnsi="Times New Roman" w:eastAsia="宋体"/>
                <w:b w:val="0"/>
                <w:sz w:val="17"/>
              </w:rPr>
              <w:t>1701.75</w:t>
            </w:r>
          </w:p>
        </w:tc>
        <w:tc>
          <w:tcPr>
            <w:tcW w:type="dxa" w:w="1465"/>
            <w:vAlign w:val="center"/>
          </w:tcPr>
          <w:p>
            <w:pPr>
              <w:spacing w:line="240" w:lineRule="auto"/>
              <w:jc w:val="center"/>
            </w:pPr>
            <w:r>
              <w:rPr>
                <w:rFonts w:ascii="Times New Roman" w:hAnsi="Times New Roman" w:eastAsia="宋体"/>
                <w:b w:val="0"/>
                <w:sz w:val="17"/>
              </w:rPr>
              <w:t>845.027</w:t>
            </w:r>
          </w:p>
        </w:tc>
      </w:tr>
    </w:tbl>
    <w:p/>
    <w:p>
      <w:pPr>
        <w:spacing w:line="360" w:lineRule="auto" w:after="0"/>
        <w:ind w:firstLine="420"/>
      </w:pPr>
      <w:r>
        <w:rPr>
          <w:rFonts w:ascii="Times New Roman" w:hAnsi="Times New Roman" w:eastAsia="宋体"/>
          <w:sz w:val="24"/>
        </w:rPr>
        <w:t>结构化网格单元数据使用单元中心作为采样位置，采样数少于对应点数据。该路径的 GPU 时间同样随规模增大而增长，在本文统计口径下系统总时间低于 VTK 并行时间。结构化网格单元数据路径的索引方式与点数据类似，但使用单元维度和单元中心坐标，因此能够保持较规整的访存模式。</w:t>
      </w:r>
    </w:p>
    <w:p>
      <w:pPr>
        <w:pStyle w:val="3"/>
        <w:spacing w:line="360" w:lineRule="auto" w:before="120" w:after="120"/>
        <w:jc w:val="left"/>
      </w:pPr>
      <w:r>
        <w:rPr>
          <w:rFonts w:ascii="Times New Roman" w:hAnsi="Times New Roman" w:eastAsia="黑体"/>
          <w:b/>
          <w:sz w:val="24"/>
        </w:rPr>
        <w:t>5.5.3 非结构化网格点数据时间对比</w:t>
      </w:r>
    </w:p>
    <w:p>
      <w:pPr>
        <w:spacing w:line="240" w:lineRule="auto" w:before="80" w:after="80"/>
        <w:ind w:firstLine="0"/>
        <w:jc w:val="center"/>
      </w:pPr>
      <w:r>
        <w:rPr>
          <w:rFonts w:ascii="Times New Roman" w:hAnsi="Times New Roman" w:eastAsia="宋体"/>
          <w:sz w:val="21"/>
        </w:rPr>
        <w:t>表 5-10 非结构化网格点数据时间对比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timing_uhex_20x20x20</w:t>
            </w:r>
          </w:p>
        </w:tc>
        <w:tc>
          <w:tcPr>
            <w:tcW w:type="dxa" w:w="1465"/>
            <w:vAlign w:val="center"/>
          </w:tcPr>
          <w:p>
            <w:pPr>
              <w:spacing w:line="240" w:lineRule="auto"/>
              <w:jc w:val="center"/>
            </w:pPr>
            <w:r>
              <w:rPr>
                <w:rFonts w:ascii="Times New Roman" w:hAnsi="Times New Roman" w:eastAsia="宋体"/>
                <w:b w:val="0"/>
                <w:sz w:val="17"/>
              </w:rPr>
              <w:t>8000</w:t>
            </w:r>
          </w:p>
        </w:tc>
        <w:tc>
          <w:tcPr>
            <w:tcW w:type="dxa" w:w="1465"/>
            <w:vAlign w:val="center"/>
          </w:tcPr>
          <w:p>
            <w:pPr>
              <w:spacing w:line="240" w:lineRule="auto"/>
              <w:jc w:val="center"/>
            </w:pPr>
            <w:r>
              <w:rPr>
                <w:rFonts w:ascii="Times New Roman" w:hAnsi="Times New Roman" w:eastAsia="宋体"/>
                <w:b w:val="0"/>
                <w:sz w:val="17"/>
              </w:rPr>
              <w:t>2.8527</w:t>
            </w:r>
          </w:p>
        </w:tc>
        <w:tc>
          <w:tcPr>
            <w:tcW w:type="dxa" w:w="1465"/>
            <w:vAlign w:val="center"/>
          </w:tcPr>
          <w:p>
            <w:pPr>
              <w:spacing w:line="240" w:lineRule="auto"/>
              <w:jc w:val="center"/>
            </w:pPr>
            <w:r>
              <w:rPr>
                <w:rFonts w:ascii="Times New Roman" w:hAnsi="Times New Roman" w:eastAsia="宋体"/>
                <w:b w:val="0"/>
                <w:sz w:val="17"/>
              </w:rPr>
              <w:t>0.623896</w:t>
            </w:r>
          </w:p>
        </w:tc>
        <w:tc>
          <w:tcPr>
            <w:tcW w:type="dxa" w:w="1465"/>
            <w:vAlign w:val="center"/>
          </w:tcPr>
          <w:p>
            <w:pPr>
              <w:spacing w:line="240" w:lineRule="auto"/>
              <w:jc w:val="center"/>
            </w:pPr>
            <w:r>
              <w:rPr>
                <w:rFonts w:ascii="Times New Roman" w:hAnsi="Times New Roman" w:eastAsia="宋体"/>
                <w:b w:val="0"/>
                <w:sz w:val="17"/>
              </w:rPr>
              <w:t>163.799</w:t>
            </w:r>
          </w:p>
        </w:tc>
        <w:tc>
          <w:tcPr>
            <w:tcW w:type="dxa" w:w="1465"/>
            <w:vAlign w:val="center"/>
          </w:tcPr>
          <w:p>
            <w:pPr>
              <w:spacing w:line="240" w:lineRule="auto"/>
              <w:jc w:val="center"/>
            </w:pPr>
            <w:r>
              <w:rPr>
                <w:rFonts w:ascii="Times New Roman" w:hAnsi="Times New Roman" w:eastAsia="宋体"/>
                <w:b w:val="0"/>
                <w:sz w:val="17"/>
              </w:rPr>
              <w:t>57.419</w:t>
            </w:r>
          </w:p>
        </w:tc>
      </w:tr>
      <w:tr>
        <w:tc>
          <w:tcPr>
            <w:tcW w:type="dxa" w:w="1465"/>
            <w:vAlign w:val="center"/>
          </w:tcPr>
          <w:p>
            <w:pPr>
              <w:spacing w:line="240" w:lineRule="auto"/>
              <w:jc w:val="center"/>
            </w:pPr>
            <w:r>
              <w:rPr>
                <w:rFonts w:ascii="Times New Roman" w:hAnsi="Times New Roman" w:eastAsia="宋体"/>
                <w:b w:val="0"/>
                <w:sz w:val="17"/>
              </w:rPr>
              <w:t>timing_uhex_32x32x32</w:t>
            </w:r>
          </w:p>
        </w:tc>
        <w:tc>
          <w:tcPr>
            <w:tcW w:type="dxa" w:w="1465"/>
            <w:vAlign w:val="center"/>
          </w:tcPr>
          <w:p>
            <w:pPr>
              <w:spacing w:line="240" w:lineRule="auto"/>
              <w:jc w:val="center"/>
            </w:pPr>
            <w:r>
              <w:rPr>
                <w:rFonts w:ascii="Times New Roman" w:hAnsi="Times New Roman" w:eastAsia="宋体"/>
                <w:b w:val="0"/>
                <w:sz w:val="17"/>
              </w:rPr>
              <w:t>32768</w:t>
            </w:r>
          </w:p>
        </w:tc>
        <w:tc>
          <w:tcPr>
            <w:tcW w:type="dxa" w:w="1465"/>
            <w:vAlign w:val="center"/>
          </w:tcPr>
          <w:p>
            <w:pPr>
              <w:spacing w:line="240" w:lineRule="auto"/>
              <w:jc w:val="center"/>
            </w:pPr>
            <w:r>
              <w:rPr>
                <w:rFonts w:ascii="Times New Roman" w:hAnsi="Times New Roman" w:eastAsia="宋体"/>
                <w:b w:val="0"/>
                <w:sz w:val="17"/>
              </w:rPr>
              <w:t>5.3835</w:t>
            </w:r>
          </w:p>
        </w:tc>
        <w:tc>
          <w:tcPr>
            <w:tcW w:type="dxa" w:w="1465"/>
            <w:vAlign w:val="center"/>
          </w:tcPr>
          <w:p>
            <w:pPr>
              <w:spacing w:line="240" w:lineRule="auto"/>
              <w:jc w:val="center"/>
            </w:pPr>
            <w:r>
              <w:rPr>
                <w:rFonts w:ascii="Times New Roman" w:hAnsi="Times New Roman" w:eastAsia="宋体"/>
                <w:b w:val="0"/>
                <w:sz w:val="17"/>
              </w:rPr>
              <w:t>2.53781</w:t>
            </w:r>
          </w:p>
        </w:tc>
        <w:tc>
          <w:tcPr>
            <w:tcW w:type="dxa" w:w="1465"/>
            <w:vAlign w:val="center"/>
          </w:tcPr>
          <w:p>
            <w:pPr>
              <w:spacing w:line="240" w:lineRule="auto"/>
              <w:jc w:val="center"/>
            </w:pPr>
            <w:r>
              <w:rPr>
                <w:rFonts w:ascii="Times New Roman" w:hAnsi="Times New Roman" w:eastAsia="宋体"/>
                <w:b w:val="0"/>
                <w:sz w:val="17"/>
              </w:rPr>
              <w:t>708.650</w:t>
            </w:r>
          </w:p>
        </w:tc>
        <w:tc>
          <w:tcPr>
            <w:tcW w:type="dxa" w:w="1465"/>
            <w:vAlign w:val="center"/>
          </w:tcPr>
          <w:p>
            <w:pPr>
              <w:spacing w:line="240" w:lineRule="auto"/>
              <w:jc w:val="center"/>
            </w:pPr>
            <w:r>
              <w:rPr>
                <w:rFonts w:ascii="Times New Roman" w:hAnsi="Times New Roman" w:eastAsia="宋体"/>
                <w:b w:val="0"/>
                <w:sz w:val="17"/>
              </w:rPr>
              <w:t>131.634</w:t>
            </w:r>
          </w:p>
        </w:tc>
      </w:tr>
      <w:tr>
        <w:tc>
          <w:tcPr>
            <w:tcW w:type="dxa" w:w="1465"/>
            <w:vAlign w:val="center"/>
          </w:tcPr>
          <w:p>
            <w:pPr>
              <w:spacing w:line="240" w:lineRule="auto"/>
              <w:jc w:val="center"/>
            </w:pPr>
            <w:r>
              <w:rPr>
                <w:rFonts w:ascii="Times New Roman" w:hAnsi="Times New Roman" w:eastAsia="宋体"/>
                <w:b w:val="0"/>
                <w:sz w:val="17"/>
              </w:rPr>
              <w:t>timing_uhex_48x48x48</w:t>
            </w:r>
          </w:p>
        </w:tc>
        <w:tc>
          <w:tcPr>
            <w:tcW w:type="dxa" w:w="1465"/>
            <w:vAlign w:val="center"/>
          </w:tcPr>
          <w:p>
            <w:pPr>
              <w:spacing w:line="240" w:lineRule="auto"/>
              <w:jc w:val="center"/>
            </w:pPr>
            <w:r>
              <w:rPr>
                <w:rFonts w:ascii="Times New Roman" w:hAnsi="Times New Roman" w:eastAsia="宋体"/>
                <w:b w:val="0"/>
                <w:sz w:val="17"/>
              </w:rPr>
              <w:t>110592</w:t>
            </w:r>
          </w:p>
        </w:tc>
        <w:tc>
          <w:tcPr>
            <w:tcW w:type="dxa" w:w="1465"/>
            <w:vAlign w:val="center"/>
          </w:tcPr>
          <w:p>
            <w:pPr>
              <w:spacing w:line="240" w:lineRule="auto"/>
              <w:jc w:val="center"/>
            </w:pPr>
            <w:r>
              <w:rPr>
                <w:rFonts w:ascii="Times New Roman" w:hAnsi="Times New Roman" w:eastAsia="宋体"/>
                <w:b w:val="0"/>
                <w:sz w:val="17"/>
              </w:rPr>
              <w:t>44.8039</w:t>
            </w:r>
          </w:p>
        </w:tc>
        <w:tc>
          <w:tcPr>
            <w:tcW w:type="dxa" w:w="1465"/>
            <w:vAlign w:val="center"/>
          </w:tcPr>
          <w:p>
            <w:pPr>
              <w:spacing w:line="240" w:lineRule="auto"/>
              <w:jc w:val="center"/>
            </w:pPr>
            <w:r>
              <w:rPr>
                <w:rFonts w:ascii="Times New Roman" w:hAnsi="Times New Roman" w:eastAsia="宋体"/>
                <w:b w:val="0"/>
                <w:sz w:val="17"/>
              </w:rPr>
              <w:t>7.91991</w:t>
            </w:r>
          </w:p>
        </w:tc>
        <w:tc>
          <w:tcPr>
            <w:tcW w:type="dxa" w:w="1465"/>
            <w:vAlign w:val="center"/>
          </w:tcPr>
          <w:p>
            <w:pPr>
              <w:spacing w:line="240" w:lineRule="auto"/>
              <w:jc w:val="center"/>
            </w:pPr>
            <w:r>
              <w:rPr>
                <w:rFonts w:ascii="Times New Roman" w:hAnsi="Times New Roman" w:eastAsia="宋体"/>
                <w:b w:val="0"/>
                <w:sz w:val="17"/>
              </w:rPr>
              <w:t>3349.36</w:t>
            </w:r>
          </w:p>
        </w:tc>
        <w:tc>
          <w:tcPr>
            <w:tcW w:type="dxa" w:w="1465"/>
            <w:vAlign w:val="center"/>
          </w:tcPr>
          <w:p>
            <w:pPr>
              <w:spacing w:line="240" w:lineRule="auto"/>
              <w:jc w:val="center"/>
            </w:pPr>
            <w:r>
              <w:rPr>
                <w:rFonts w:ascii="Times New Roman" w:hAnsi="Times New Roman" w:eastAsia="宋体"/>
                <w:b w:val="0"/>
                <w:sz w:val="17"/>
              </w:rPr>
              <w:t>74.756</w:t>
            </w:r>
          </w:p>
        </w:tc>
      </w:tr>
    </w:tbl>
    <w:p/>
    <w:p>
      <w:pPr>
        <w:spacing w:line="360" w:lineRule="auto" w:after="0"/>
        <w:ind w:firstLine="420"/>
      </w:pPr>
      <w:r>
        <w:rPr>
          <w:rFonts w:ascii="Times New Roman" w:hAnsi="Times New Roman" w:eastAsia="宋体"/>
          <w:sz w:val="24"/>
        </w:rPr>
        <w:t>非结构化点数据需要访问单元连接和点-单元关系，GPU 时间和系统总时间均高于结构化网格点数据。随着规模增大，系统总时间增长较快，说明不规则拓扑访问、局部几何恢复和结果读回对整体耗时具有较大影响。尽管非结构化路径的单个采样对象计算更复杂，OpenGL 实现在该组测试中仍低于本文 VTK 参考流程的总时间。</w:t>
      </w:r>
    </w:p>
    <w:p>
      <w:pPr>
        <w:pStyle w:val="3"/>
        <w:spacing w:line="360" w:lineRule="auto" w:before="120" w:after="120"/>
        <w:jc w:val="left"/>
      </w:pPr>
      <w:r>
        <w:rPr>
          <w:rFonts w:ascii="Times New Roman" w:hAnsi="Times New Roman" w:eastAsia="黑体"/>
          <w:b/>
          <w:sz w:val="24"/>
        </w:rPr>
        <w:t>5.5.4 非结构化网格单元数据时间对比</w:t>
      </w:r>
    </w:p>
    <w:p>
      <w:pPr>
        <w:spacing w:line="240" w:lineRule="auto" w:before="80" w:after="80"/>
        <w:ind w:firstLine="0"/>
        <w:jc w:val="center"/>
      </w:pPr>
      <w:r>
        <w:rPr>
          <w:rFonts w:ascii="Times New Roman" w:hAnsi="Times New Roman" w:eastAsia="宋体"/>
          <w:sz w:val="21"/>
        </w:rPr>
        <w:t>表 5-11 非结构化网格单元数据时间对比</w:t>
      </w:r>
    </w:p>
    <w:tbl>
      <w:tblPr>
        <w:tblStyle w:val="a6"/>
        <w:tblW w:type="auto" w:w="0"/>
        <w:jc w:val="center"/>
        <w:tblLayout w:type="autofit"/>
        <w:tblLook w:firstColumn="1" w:firstRow="1" w:lastColumn="0" w:lastRow="0" w:noHBand="0" w:noVBand="1" w:val="04A0"/>
      </w:tblPr>
      <w:tblGrid>
        <w:gridCol w:w="1465"/>
        <w:gridCol w:w="1465"/>
        <w:gridCol w:w="1465"/>
        <w:gridCol w:w="1465"/>
        <w:gridCol w:w="1465"/>
        <w:gridCol w:w="1465"/>
      </w:tblGrid>
      <w:tr>
        <w:tc>
          <w:tcPr>
            <w:tcW w:type="dxa" w:w="1465"/>
            <w:vAlign w:val="center"/>
          </w:tcPr>
          <w:p>
            <w:pPr>
              <w:spacing w:line="240" w:lineRule="auto"/>
              <w:jc w:val="center"/>
            </w:pPr>
            <w:r>
              <w:rPr>
                <w:rFonts w:ascii="Times New Roman" w:hAnsi="Times New Roman" w:eastAsia="宋体"/>
                <w:b/>
                <w:sz w:val="17"/>
              </w:rPr>
              <w:t>数据集</w:t>
            </w:r>
          </w:p>
        </w:tc>
        <w:tc>
          <w:tcPr>
            <w:tcW w:type="dxa" w:w="1465"/>
            <w:vAlign w:val="center"/>
          </w:tcPr>
          <w:p>
            <w:pPr>
              <w:spacing w:line="240" w:lineRule="auto"/>
              <w:jc w:val="center"/>
            </w:pPr>
            <w:r>
              <w:rPr>
                <w:rFonts w:ascii="Times New Roman" w:hAnsi="Times New Roman" w:eastAsia="宋体"/>
                <w:b/>
                <w:sz w:val="17"/>
              </w:rPr>
              <w:t>采样数</w:t>
            </w:r>
          </w:p>
        </w:tc>
        <w:tc>
          <w:tcPr>
            <w:tcW w:type="dxa" w:w="1465"/>
            <w:vAlign w:val="center"/>
          </w:tcPr>
          <w:p>
            <w:pPr>
              <w:spacing w:line="240" w:lineRule="auto"/>
              <w:jc w:val="center"/>
            </w:pPr>
            <w:r>
              <w:rPr>
                <w:rFonts w:ascii="Times New Roman" w:hAnsi="Times New Roman" w:eastAsia="宋体"/>
                <w:b/>
                <w:sz w:val="17"/>
              </w:rPr>
              <w:t>系统总时间/ms</w:t>
            </w:r>
          </w:p>
        </w:tc>
        <w:tc>
          <w:tcPr>
            <w:tcW w:type="dxa" w:w="1465"/>
            <w:vAlign w:val="center"/>
          </w:tcPr>
          <w:p>
            <w:pPr>
              <w:spacing w:line="240" w:lineRule="auto"/>
              <w:jc w:val="center"/>
            </w:pPr>
            <w:r>
              <w:rPr>
                <w:rFonts w:ascii="Times New Roman" w:hAnsi="Times New Roman" w:eastAsia="宋体"/>
                <w:b/>
                <w:sz w:val="17"/>
              </w:rPr>
              <w:t>GPU 时间/ms</w:t>
            </w:r>
          </w:p>
        </w:tc>
        <w:tc>
          <w:tcPr>
            <w:tcW w:type="dxa" w:w="1465"/>
            <w:vAlign w:val="center"/>
          </w:tcPr>
          <w:p>
            <w:pPr>
              <w:spacing w:line="240" w:lineRule="auto"/>
              <w:jc w:val="center"/>
            </w:pPr>
            <w:r>
              <w:rPr>
                <w:rFonts w:ascii="Times New Roman" w:hAnsi="Times New Roman" w:eastAsia="宋体"/>
                <w:b/>
                <w:sz w:val="17"/>
              </w:rPr>
              <w:t>VTK 并行时间/ms</w:t>
            </w:r>
          </w:p>
        </w:tc>
        <w:tc>
          <w:tcPr>
            <w:tcW w:type="dxa" w:w="1465"/>
            <w:vAlign w:val="center"/>
          </w:tcPr>
          <w:p>
            <w:pPr>
              <w:spacing w:line="240" w:lineRule="auto"/>
              <w:jc w:val="center"/>
            </w:pPr>
            <w:r>
              <w:rPr>
                <w:rFonts w:ascii="Times New Roman" w:hAnsi="Times New Roman" w:eastAsia="宋体"/>
                <w:b/>
                <w:sz w:val="17"/>
              </w:rPr>
              <w:t>加速比</w:t>
            </w:r>
          </w:p>
        </w:tc>
      </w:tr>
      <w:tr>
        <w:tc>
          <w:tcPr>
            <w:tcW w:type="dxa" w:w="1465"/>
            <w:vAlign w:val="center"/>
          </w:tcPr>
          <w:p>
            <w:pPr>
              <w:spacing w:line="240" w:lineRule="auto"/>
              <w:jc w:val="center"/>
            </w:pPr>
            <w:r>
              <w:rPr>
                <w:rFonts w:ascii="Times New Roman" w:hAnsi="Times New Roman" w:eastAsia="宋体"/>
                <w:b w:val="0"/>
                <w:sz w:val="17"/>
              </w:rPr>
              <w:t>timing_uhex_20x20x20</w:t>
            </w:r>
          </w:p>
        </w:tc>
        <w:tc>
          <w:tcPr>
            <w:tcW w:type="dxa" w:w="1465"/>
            <w:vAlign w:val="center"/>
          </w:tcPr>
          <w:p>
            <w:pPr>
              <w:spacing w:line="240" w:lineRule="auto"/>
              <w:jc w:val="center"/>
            </w:pPr>
            <w:r>
              <w:rPr>
                <w:rFonts w:ascii="Times New Roman" w:hAnsi="Times New Roman" w:eastAsia="宋体"/>
                <w:b w:val="0"/>
                <w:sz w:val="17"/>
              </w:rPr>
              <w:t>6859</w:t>
            </w:r>
          </w:p>
        </w:tc>
        <w:tc>
          <w:tcPr>
            <w:tcW w:type="dxa" w:w="1465"/>
            <w:vAlign w:val="center"/>
          </w:tcPr>
          <w:p>
            <w:pPr>
              <w:spacing w:line="240" w:lineRule="auto"/>
              <w:jc w:val="center"/>
            </w:pPr>
            <w:r>
              <w:rPr>
                <w:rFonts w:ascii="Times New Roman" w:hAnsi="Times New Roman" w:eastAsia="宋体"/>
                <w:b w:val="0"/>
                <w:sz w:val="17"/>
              </w:rPr>
              <w:t>1.6555</w:t>
            </w:r>
          </w:p>
        </w:tc>
        <w:tc>
          <w:tcPr>
            <w:tcW w:type="dxa" w:w="1465"/>
            <w:vAlign w:val="center"/>
          </w:tcPr>
          <w:p>
            <w:pPr>
              <w:spacing w:line="240" w:lineRule="auto"/>
              <w:jc w:val="center"/>
            </w:pPr>
            <w:r>
              <w:rPr>
                <w:rFonts w:ascii="Times New Roman" w:hAnsi="Times New Roman" w:eastAsia="宋体"/>
                <w:b w:val="0"/>
                <w:sz w:val="17"/>
              </w:rPr>
              <w:t>0.077584</w:t>
            </w:r>
          </w:p>
        </w:tc>
        <w:tc>
          <w:tcPr>
            <w:tcW w:type="dxa" w:w="1465"/>
            <w:vAlign w:val="center"/>
          </w:tcPr>
          <w:p>
            <w:pPr>
              <w:spacing w:line="240" w:lineRule="auto"/>
              <w:jc w:val="center"/>
            </w:pPr>
            <w:r>
              <w:rPr>
                <w:rFonts w:ascii="Times New Roman" w:hAnsi="Times New Roman" w:eastAsia="宋体"/>
                <w:b w:val="0"/>
                <w:sz w:val="17"/>
              </w:rPr>
              <w:t>29.4648</w:t>
            </w:r>
          </w:p>
        </w:tc>
        <w:tc>
          <w:tcPr>
            <w:tcW w:type="dxa" w:w="1465"/>
            <w:vAlign w:val="center"/>
          </w:tcPr>
          <w:p>
            <w:pPr>
              <w:spacing w:line="240" w:lineRule="auto"/>
              <w:jc w:val="center"/>
            </w:pPr>
            <w:r>
              <w:rPr>
                <w:rFonts w:ascii="Times New Roman" w:hAnsi="Times New Roman" w:eastAsia="宋体"/>
                <w:b w:val="0"/>
                <w:sz w:val="17"/>
              </w:rPr>
              <w:t>17.798</w:t>
            </w:r>
          </w:p>
        </w:tc>
      </w:tr>
      <w:tr>
        <w:tc>
          <w:tcPr>
            <w:tcW w:type="dxa" w:w="1465"/>
            <w:vAlign w:val="center"/>
          </w:tcPr>
          <w:p>
            <w:pPr>
              <w:spacing w:line="240" w:lineRule="auto"/>
              <w:jc w:val="center"/>
            </w:pPr>
            <w:r>
              <w:rPr>
                <w:rFonts w:ascii="Times New Roman" w:hAnsi="Times New Roman" w:eastAsia="宋体"/>
                <w:b w:val="0"/>
                <w:sz w:val="17"/>
              </w:rPr>
              <w:t>timing_uhex_32x32x32</w:t>
            </w:r>
          </w:p>
        </w:tc>
        <w:tc>
          <w:tcPr>
            <w:tcW w:type="dxa" w:w="1465"/>
            <w:vAlign w:val="center"/>
          </w:tcPr>
          <w:p>
            <w:pPr>
              <w:spacing w:line="240" w:lineRule="auto"/>
              <w:jc w:val="center"/>
            </w:pPr>
            <w:r>
              <w:rPr>
                <w:rFonts w:ascii="Times New Roman" w:hAnsi="Times New Roman" w:eastAsia="宋体"/>
                <w:b w:val="0"/>
                <w:sz w:val="17"/>
              </w:rPr>
              <w:t>29791</w:t>
            </w:r>
          </w:p>
        </w:tc>
        <w:tc>
          <w:tcPr>
            <w:tcW w:type="dxa" w:w="1465"/>
            <w:vAlign w:val="center"/>
          </w:tcPr>
          <w:p>
            <w:pPr>
              <w:spacing w:line="240" w:lineRule="auto"/>
              <w:jc w:val="center"/>
            </w:pPr>
            <w:r>
              <w:rPr>
                <w:rFonts w:ascii="Times New Roman" w:hAnsi="Times New Roman" w:eastAsia="宋体"/>
                <w:b w:val="0"/>
                <w:sz w:val="17"/>
              </w:rPr>
              <w:t>2.1840</w:t>
            </w:r>
          </w:p>
        </w:tc>
        <w:tc>
          <w:tcPr>
            <w:tcW w:type="dxa" w:w="1465"/>
            <w:vAlign w:val="center"/>
          </w:tcPr>
          <w:p>
            <w:pPr>
              <w:spacing w:line="240" w:lineRule="auto"/>
              <w:jc w:val="center"/>
            </w:pPr>
            <w:r>
              <w:rPr>
                <w:rFonts w:ascii="Times New Roman" w:hAnsi="Times New Roman" w:eastAsia="宋体"/>
                <w:b w:val="0"/>
                <w:sz w:val="17"/>
              </w:rPr>
              <w:t>0.242892</w:t>
            </w:r>
          </w:p>
        </w:tc>
        <w:tc>
          <w:tcPr>
            <w:tcW w:type="dxa" w:w="1465"/>
            <w:vAlign w:val="center"/>
          </w:tcPr>
          <w:p>
            <w:pPr>
              <w:spacing w:line="240" w:lineRule="auto"/>
              <w:jc w:val="center"/>
            </w:pPr>
            <w:r>
              <w:rPr>
                <w:rFonts w:ascii="Times New Roman" w:hAnsi="Times New Roman" w:eastAsia="宋体"/>
                <w:b w:val="0"/>
                <w:sz w:val="17"/>
              </w:rPr>
              <w:t>99.9974</w:t>
            </w:r>
          </w:p>
        </w:tc>
        <w:tc>
          <w:tcPr>
            <w:tcW w:type="dxa" w:w="1465"/>
            <w:vAlign w:val="center"/>
          </w:tcPr>
          <w:p>
            <w:pPr>
              <w:spacing w:line="240" w:lineRule="auto"/>
              <w:jc w:val="center"/>
            </w:pPr>
            <w:r>
              <w:rPr>
                <w:rFonts w:ascii="Times New Roman" w:hAnsi="Times New Roman" w:eastAsia="宋体"/>
                <w:b w:val="0"/>
                <w:sz w:val="17"/>
              </w:rPr>
              <w:t>45.786</w:t>
            </w:r>
          </w:p>
        </w:tc>
      </w:tr>
      <w:tr>
        <w:tc>
          <w:tcPr>
            <w:tcW w:type="dxa" w:w="1465"/>
            <w:vAlign w:val="center"/>
          </w:tcPr>
          <w:p>
            <w:pPr>
              <w:spacing w:line="240" w:lineRule="auto"/>
              <w:jc w:val="center"/>
            </w:pPr>
            <w:r>
              <w:rPr>
                <w:rFonts w:ascii="Times New Roman" w:hAnsi="Times New Roman" w:eastAsia="宋体"/>
                <w:b w:val="0"/>
                <w:sz w:val="17"/>
              </w:rPr>
              <w:t>timing_uhex_48x48x48</w:t>
            </w:r>
          </w:p>
        </w:tc>
        <w:tc>
          <w:tcPr>
            <w:tcW w:type="dxa" w:w="1465"/>
            <w:vAlign w:val="center"/>
          </w:tcPr>
          <w:p>
            <w:pPr>
              <w:spacing w:line="240" w:lineRule="auto"/>
              <w:jc w:val="center"/>
            </w:pPr>
            <w:r>
              <w:rPr>
                <w:rFonts w:ascii="Times New Roman" w:hAnsi="Times New Roman" w:eastAsia="宋体"/>
                <w:b w:val="0"/>
                <w:sz w:val="17"/>
              </w:rPr>
              <w:t>103823</w:t>
            </w:r>
          </w:p>
        </w:tc>
        <w:tc>
          <w:tcPr>
            <w:tcW w:type="dxa" w:w="1465"/>
            <w:vAlign w:val="center"/>
          </w:tcPr>
          <w:p>
            <w:pPr>
              <w:spacing w:line="240" w:lineRule="auto"/>
              <w:jc w:val="center"/>
            </w:pPr>
            <w:r>
              <w:rPr>
                <w:rFonts w:ascii="Times New Roman" w:hAnsi="Times New Roman" w:eastAsia="宋体"/>
                <w:b w:val="0"/>
                <w:sz w:val="17"/>
              </w:rPr>
              <w:t>6.3771</w:t>
            </w:r>
          </w:p>
        </w:tc>
        <w:tc>
          <w:tcPr>
            <w:tcW w:type="dxa" w:w="1465"/>
            <w:vAlign w:val="center"/>
          </w:tcPr>
          <w:p>
            <w:pPr>
              <w:spacing w:line="240" w:lineRule="auto"/>
              <w:jc w:val="center"/>
            </w:pPr>
            <w:r>
              <w:rPr>
                <w:rFonts w:ascii="Times New Roman" w:hAnsi="Times New Roman" w:eastAsia="宋体"/>
                <w:b w:val="0"/>
                <w:sz w:val="17"/>
              </w:rPr>
              <w:t>0.655096</w:t>
            </w:r>
          </w:p>
        </w:tc>
        <w:tc>
          <w:tcPr>
            <w:tcW w:type="dxa" w:w="1465"/>
            <w:vAlign w:val="center"/>
          </w:tcPr>
          <w:p>
            <w:pPr>
              <w:spacing w:line="240" w:lineRule="auto"/>
              <w:jc w:val="center"/>
            </w:pPr>
            <w:r>
              <w:rPr>
                <w:rFonts w:ascii="Times New Roman" w:hAnsi="Times New Roman" w:eastAsia="宋体"/>
                <w:b w:val="0"/>
                <w:sz w:val="17"/>
              </w:rPr>
              <w:t>470.667</w:t>
            </w:r>
          </w:p>
        </w:tc>
        <w:tc>
          <w:tcPr>
            <w:tcW w:type="dxa" w:w="1465"/>
            <w:vAlign w:val="center"/>
          </w:tcPr>
          <w:p>
            <w:pPr>
              <w:spacing w:line="240" w:lineRule="auto"/>
              <w:jc w:val="center"/>
            </w:pPr>
            <w:r>
              <w:rPr>
                <w:rFonts w:ascii="Times New Roman" w:hAnsi="Times New Roman" w:eastAsia="宋体"/>
                <w:b w:val="0"/>
                <w:sz w:val="17"/>
              </w:rPr>
              <w:t>73.806</w:t>
            </w:r>
          </w:p>
        </w:tc>
      </w:tr>
    </w:tbl>
    <w:p/>
    <w:p>
      <w:pPr>
        <w:spacing w:line="360" w:lineRule="auto" w:after="0"/>
        <w:ind w:firstLine="420"/>
      </w:pPr>
      <w:r>
        <w:rPr>
          <w:rFonts w:ascii="Times New Roman" w:hAnsi="Times New Roman" w:eastAsia="宋体"/>
          <w:sz w:val="24"/>
        </w:rPr>
        <w:t>非结构化单元数据路径包含单元场提升和单元中心梯度计算。与非结构化点数据相比，该组实验的 GPU 时间较低，主要与当前实现中单元中心计算路径和测试数据规模有关。随着采样数增加，GPU 时间和系统总时间均呈上升趋势，符合非结构化网格局部访问复杂度较高的特点。整体来看，四组时间实验表明，在本文测试数据、硬件环境和统计口径下，OpenGL 实现相对本文 VTK 参考流程表现出较低端到端耗时。</w:t>
      </w:r>
    </w:p>
    <w:p>
      <w:pPr>
        <w:spacing w:line="360" w:lineRule="auto" w:after="0"/>
        <w:ind w:firstLine="420"/>
      </w:pPr>
      <w:r>
        <w:rPr>
          <w:rFonts w:ascii="Times New Roman" w:hAnsi="Times New Roman" w:eastAsia="宋体"/>
          <w:sz w:val="24"/>
        </w:rPr>
        <w:t>按结构化网格点数据、结构化网格单元数据、非结构化点数据和非结构化单元数据四类路径比较加速比可以看出，结构化网格单元数据的加速比最高，主要与其结构化索引访问模式和当前测试流程下 VTK 参考耗时较高有关；非结构化路径的总时间也低于本文 VTK 参考流程，但受不规则拓扑访问影响更大。</w:t>
      </w:r>
    </w:p>
    <w:p>
      <w:pPr>
        <w:pStyle w:val="2"/>
        <w:spacing w:line="360" w:lineRule="auto" w:before="120" w:after="120"/>
        <w:jc w:val="left"/>
      </w:pPr>
      <w:r>
        <w:rPr>
          <w:rFonts w:ascii="Times New Roman" w:hAnsi="Times New Roman" w:eastAsia="黑体"/>
          <w:b/>
          <w:sz w:val="28"/>
        </w:rPr>
        <w:t>5.6 数据优化实验</w:t>
      </w:r>
    </w:p>
    <w:p>
      <w:pPr>
        <w:spacing w:line="360" w:lineRule="auto" w:after="0"/>
        <w:ind w:firstLine="420"/>
      </w:pPr>
      <w:r>
        <w:rPr>
          <w:rFonts w:ascii="Times New Roman" w:hAnsi="Times New Roman" w:eastAsia="宋体"/>
          <w:sz w:val="24"/>
        </w:rPr>
        <w:t xml:space="preserve">数据优化实验用于验证系统对高斯随机扰动的抑制效果。实验在 </w:t>
      </w:r>
      <w:r>
        <w:rPr>
          <w:rFonts w:ascii="Consolas" w:hAnsi="Consolas" w:eastAsia="Consolas"/>
          <w:sz w:val="24"/>
        </w:rPr>
        <w:t>ShipHull_0</w:t>
      </w:r>
      <w:r>
        <w:rPr>
          <w:rFonts w:ascii="Times New Roman" w:hAnsi="Times New Roman" w:eastAsia="宋体"/>
          <w:sz w:val="24"/>
        </w:rPr>
        <w:t xml:space="preserve"> 数据集上构造无扰动参考场，叠加高斯扰动后运行图双边滤波和多尺度融合模块，并比较平滑处理前后相对参考场的平均 NMAE。点数据和单元数据分别使用对应的空间位置和邻域图。表中样本数表示参与均值统计的高斯扰动实验条目数，不表示网格点数或单元数。</w:t>
      </w:r>
    </w:p>
    <w:p>
      <w:pPr>
        <w:spacing w:line="360" w:lineRule="auto" w:after="0"/>
        <w:ind w:firstLine="420"/>
      </w:pPr>
      <w:r>
        <w:rPr>
          <w:rFonts w:ascii="Times New Roman" w:hAnsi="Times New Roman" w:eastAsia="宋体"/>
          <w:sz w:val="24"/>
        </w:rPr>
        <w:t>导出结果可在 ParaView 中进行辅助观察。结合误差统计可以看到，叠加扰动后的字段局部区域存在高频波动，平滑处理后的字段过渡更连续，主要结构分界仍得到保留。</w:t>
      </w:r>
    </w:p>
    <w:p>
      <w:pPr>
        <w:pStyle w:val="3"/>
        <w:spacing w:line="360" w:lineRule="auto" w:before="120" w:after="120"/>
        <w:jc w:val="left"/>
      </w:pPr>
      <w:r>
        <w:rPr>
          <w:rFonts w:ascii="Times New Roman" w:hAnsi="Times New Roman" w:eastAsia="黑体"/>
          <w:b/>
          <w:sz w:val="24"/>
        </w:rPr>
        <w:t>5.6.1 点数据优化结果</w:t>
      </w:r>
    </w:p>
    <w:p>
      <w:pPr>
        <w:spacing w:line="240" w:lineRule="auto" w:before="80" w:after="80"/>
        <w:ind w:firstLine="0"/>
        <w:jc w:val="center"/>
      </w:pPr>
      <w:r>
        <w:rPr>
          <w:rFonts w:ascii="Times New Roman" w:hAnsi="Times New Roman" w:eastAsia="宋体"/>
          <w:sz w:val="21"/>
        </w:rPr>
        <w:t>表 5-12 点数据高斯扰动平滑处理结果</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扰动类型</w:t>
            </w:r>
          </w:p>
        </w:tc>
        <w:tc>
          <w:tcPr>
            <w:tcW w:type="dxa" w:w="1758"/>
            <w:vAlign w:val="center"/>
          </w:tcPr>
          <w:p>
            <w:pPr>
              <w:spacing w:line="240" w:lineRule="auto"/>
              <w:jc w:val="center"/>
            </w:pPr>
            <w:r>
              <w:rPr>
                <w:rFonts w:ascii="Times New Roman" w:hAnsi="Times New Roman" w:eastAsia="宋体"/>
                <w:b/>
                <w:sz w:val="21"/>
              </w:rPr>
              <w:t>样本数</w:t>
            </w:r>
          </w:p>
        </w:tc>
        <w:tc>
          <w:tcPr>
            <w:tcW w:type="dxa" w:w="1758"/>
            <w:vAlign w:val="center"/>
          </w:tcPr>
          <w:p>
            <w:pPr>
              <w:spacing w:line="240" w:lineRule="auto"/>
              <w:jc w:val="center"/>
            </w:pPr>
            <w:r>
              <w:rPr>
                <w:rFonts w:ascii="Times New Roman" w:hAnsi="Times New Roman" w:eastAsia="宋体"/>
                <w:b/>
                <w:sz w:val="21"/>
              </w:rPr>
              <w:t>输入平均 NMAE</w:t>
            </w:r>
          </w:p>
        </w:tc>
        <w:tc>
          <w:tcPr>
            <w:tcW w:type="dxa" w:w="1758"/>
            <w:vAlign w:val="center"/>
          </w:tcPr>
          <w:p>
            <w:pPr>
              <w:spacing w:line="240" w:lineRule="auto"/>
              <w:jc w:val="center"/>
            </w:pPr>
            <w:r>
              <w:rPr>
                <w:rFonts w:ascii="Times New Roman" w:hAnsi="Times New Roman" w:eastAsia="宋体"/>
                <w:b/>
                <w:sz w:val="21"/>
              </w:rPr>
              <w:t>平滑后平均 NMAE</w:t>
            </w:r>
          </w:p>
        </w:tc>
        <w:tc>
          <w:tcPr>
            <w:tcW w:type="dxa" w:w="1758"/>
            <w:vAlign w:val="center"/>
          </w:tcPr>
          <w:p>
            <w:pPr>
              <w:spacing w:line="240" w:lineRule="auto"/>
              <w:jc w:val="center"/>
            </w:pPr>
            <w:r>
              <w:rPr>
                <w:rFonts w:ascii="Times New Roman" w:hAnsi="Times New Roman" w:eastAsia="宋体"/>
                <w:b/>
                <w:sz w:val="21"/>
              </w:rPr>
              <w:t>平均误差比</w:t>
            </w:r>
          </w:p>
        </w:tc>
      </w:tr>
      <w:tr>
        <w:tc>
          <w:tcPr>
            <w:tcW w:type="dxa" w:w="1758"/>
            <w:vAlign w:val="center"/>
          </w:tcPr>
          <w:p>
            <w:pPr>
              <w:spacing w:line="240" w:lineRule="auto"/>
              <w:jc w:val="center"/>
            </w:pPr>
            <w:r>
              <w:rPr>
                <w:rFonts w:ascii="Times New Roman" w:hAnsi="Times New Roman" w:eastAsia="宋体"/>
                <w:b w:val="0"/>
                <w:sz w:val="21"/>
              </w:rPr>
              <w:t>gaussian</w:t>
            </w:r>
          </w:p>
        </w:tc>
        <w:tc>
          <w:tcPr>
            <w:tcW w:type="dxa" w:w="1758"/>
            <w:vAlign w:val="center"/>
          </w:tcPr>
          <w:p>
            <w:pPr>
              <w:spacing w:line="240" w:lineRule="auto"/>
              <w:jc w:val="center"/>
            </w:pPr>
            <w:r>
              <w:rPr>
                <w:rFonts w:ascii="Times New Roman" w:hAnsi="Times New Roman" w:eastAsia="宋体"/>
                <w:b w:val="0"/>
                <w:sz w:val="21"/>
              </w:rPr>
              <w:t>4</w:t>
            </w:r>
          </w:p>
        </w:tc>
        <w:tc>
          <w:tcPr>
            <w:tcW w:type="dxa" w:w="1758"/>
            <w:vAlign w:val="center"/>
          </w:tcPr>
          <w:p>
            <w:pPr>
              <w:spacing w:line="240" w:lineRule="auto"/>
              <w:jc w:val="center"/>
            </w:pPr>
            <w:r>
              <w:rPr>
                <w:rFonts w:ascii="Times New Roman" w:hAnsi="Times New Roman" w:eastAsia="宋体"/>
                <w:b w:val="0"/>
                <w:sz w:val="21"/>
              </w:rPr>
              <w:t>0.27032675</w:t>
            </w:r>
          </w:p>
        </w:tc>
        <w:tc>
          <w:tcPr>
            <w:tcW w:type="dxa" w:w="1758"/>
            <w:vAlign w:val="center"/>
          </w:tcPr>
          <w:p>
            <w:pPr>
              <w:spacing w:line="240" w:lineRule="auto"/>
              <w:jc w:val="center"/>
            </w:pPr>
            <w:r>
              <w:rPr>
                <w:rFonts w:ascii="Times New Roman" w:hAnsi="Times New Roman" w:eastAsia="宋体"/>
                <w:b w:val="0"/>
                <w:sz w:val="21"/>
              </w:rPr>
              <w:t>0.14413250</w:t>
            </w:r>
          </w:p>
        </w:tc>
        <w:tc>
          <w:tcPr>
            <w:tcW w:type="dxa" w:w="1758"/>
            <w:vAlign w:val="center"/>
          </w:tcPr>
          <w:p>
            <w:pPr>
              <w:spacing w:line="240" w:lineRule="auto"/>
              <w:jc w:val="center"/>
            </w:pPr>
            <w:r>
              <w:rPr>
                <w:rFonts w:ascii="Times New Roman" w:hAnsi="Times New Roman" w:eastAsia="宋体"/>
                <w:b w:val="0"/>
                <w:sz w:val="21"/>
              </w:rPr>
              <w:t>0.533836</w:t>
            </w:r>
          </w:p>
        </w:tc>
      </w:tr>
    </w:tbl>
    <w:p/>
    <w:p>
      <w:pPr>
        <w:spacing w:line="360" w:lineRule="auto" w:after="0"/>
        <w:ind w:firstLine="420"/>
      </w:pPr>
      <w:r>
        <w:rPr>
          <w:rFonts w:ascii="Times New Roman" w:hAnsi="Times New Roman" w:eastAsia="宋体"/>
          <w:sz w:val="24"/>
        </w:rPr>
        <w:t>点数据结果表明，在当前数据集、当前参数和高斯扰动场景下，高斯扰动输入经过平滑处理后，平均 NMAE 由 0.27032675 降至 0.14413250，平均误差比为 0.533836，说明平滑处理后误差下降。该结果说明，在点邻域图上执行的双边滤波和多尺度融合能够降低该实验场景中的局部随机扰动影响。</w:t>
      </w:r>
    </w:p>
    <w:p>
      <w:pPr>
        <w:pStyle w:val="3"/>
        <w:spacing w:line="360" w:lineRule="auto" w:before="120" w:after="120"/>
        <w:jc w:val="left"/>
      </w:pPr>
      <w:r>
        <w:rPr>
          <w:rFonts w:ascii="Times New Roman" w:hAnsi="Times New Roman" w:eastAsia="黑体"/>
          <w:b/>
          <w:sz w:val="24"/>
        </w:rPr>
        <w:t>5.6.2 单元数据优化结果</w:t>
      </w:r>
    </w:p>
    <w:p>
      <w:pPr>
        <w:spacing w:line="240" w:lineRule="auto" w:before="80" w:after="80"/>
        <w:ind w:firstLine="0"/>
        <w:jc w:val="center"/>
      </w:pPr>
      <w:r>
        <w:rPr>
          <w:rFonts w:ascii="Times New Roman" w:hAnsi="Times New Roman" w:eastAsia="宋体"/>
          <w:sz w:val="21"/>
        </w:rPr>
        <w:t>表 5-13 单元数据高斯扰动平滑处理结果</w:t>
      </w:r>
    </w:p>
    <w:tbl>
      <w:tblPr>
        <w:tblStyle w:val="a6"/>
        <w:tblW w:type="auto" w:w="0"/>
        <w:jc w:val="center"/>
        <w:tblLayout w:type="autofit"/>
        <w:tblLook w:firstColumn="1" w:firstRow="1" w:lastColumn="0" w:lastRow="0" w:noHBand="0" w:noVBand="1" w:val="04A0"/>
      </w:tblPr>
      <w:tblGrid>
        <w:gridCol w:w="1758"/>
        <w:gridCol w:w="1758"/>
        <w:gridCol w:w="1758"/>
        <w:gridCol w:w="1758"/>
        <w:gridCol w:w="1758"/>
      </w:tblGrid>
      <w:tr>
        <w:tc>
          <w:tcPr>
            <w:tcW w:type="dxa" w:w="1758"/>
            <w:vAlign w:val="center"/>
          </w:tcPr>
          <w:p>
            <w:pPr>
              <w:spacing w:line="240" w:lineRule="auto"/>
              <w:jc w:val="center"/>
            </w:pPr>
            <w:r>
              <w:rPr>
                <w:rFonts w:ascii="Times New Roman" w:hAnsi="Times New Roman" w:eastAsia="宋体"/>
                <w:b/>
                <w:sz w:val="21"/>
              </w:rPr>
              <w:t>扰动类型</w:t>
            </w:r>
          </w:p>
        </w:tc>
        <w:tc>
          <w:tcPr>
            <w:tcW w:type="dxa" w:w="1758"/>
            <w:vAlign w:val="center"/>
          </w:tcPr>
          <w:p>
            <w:pPr>
              <w:spacing w:line="240" w:lineRule="auto"/>
              <w:jc w:val="center"/>
            </w:pPr>
            <w:r>
              <w:rPr>
                <w:rFonts w:ascii="Times New Roman" w:hAnsi="Times New Roman" w:eastAsia="宋体"/>
                <w:b/>
                <w:sz w:val="21"/>
              </w:rPr>
              <w:t>样本数</w:t>
            </w:r>
          </w:p>
        </w:tc>
        <w:tc>
          <w:tcPr>
            <w:tcW w:type="dxa" w:w="1758"/>
            <w:vAlign w:val="center"/>
          </w:tcPr>
          <w:p>
            <w:pPr>
              <w:spacing w:line="240" w:lineRule="auto"/>
              <w:jc w:val="center"/>
            </w:pPr>
            <w:r>
              <w:rPr>
                <w:rFonts w:ascii="Times New Roman" w:hAnsi="Times New Roman" w:eastAsia="宋体"/>
                <w:b/>
                <w:sz w:val="21"/>
              </w:rPr>
              <w:t>输入平均 NMAE</w:t>
            </w:r>
          </w:p>
        </w:tc>
        <w:tc>
          <w:tcPr>
            <w:tcW w:type="dxa" w:w="1758"/>
            <w:vAlign w:val="center"/>
          </w:tcPr>
          <w:p>
            <w:pPr>
              <w:spacing w:line="240" w:lineRule="auto"/>
              <w:jc w:val="center"/>
            </w:pPr>
            <w:r>
              <w:rPr>
                <w:rFonts w:ascii="Times New Roman" w:hAnsi="Times New Roman" w:eastAsia="宋体"/>
                <w:b/>
                <w:sz w:val="21"/>
              </w:rPr>
              <w:t>平滑后平均 NMAE</w:t>
            </w:r>
          </w:p>
        </w:tc>
        <w:tc>
          <w:tcPr>
            <w:tcW w:type="dxa" w:w="1758"/>
            <w:vAlign w:val="center"/>
          </w:tcPr>
          <w:p>
            <w:pPr>
              <w:spacing w:line="240" w:lineRule="auto"/>
              <w:jc w:val="center"/>
            </w:pPr>
            <w:r>
              <w:rPr>
                <w:rFonts w:ascii="Times New Roman" w:hAnsi="Times New Roman" w:eastAsia="宋体"/>
                <w:b/>
                <w:sz w:val="21"/>
              </w:rPr>
              <w:t>平均误差比</w:t>
            </w:r>
          </w:p>
        </w:tc>
      </w:tr>
      <w:tr>
        <w:tc>
          <w:tcPr>
            <w:tcW w:type="dxa" w:w="1758"/>
            <w:vAlign w:val="center"/>
          </w:tcPr>
          <w:p>
            <w:pPr>
              <w:spacing w:line="240" w:lineRule="auto"/>
              <w:jc w:val="center"/>
            </w:pPr>
            <w:r>
              <w:rPr>
                <w:rFonts w:ascii="Times New Roman" w:hAnsi="Times New Roman" w:eastAsia="宋体"/>
                <w:b w:val="0"/>
                <w:sz w:val="21"/>
              </w:rPr>
              <w:t>gaussian</w:t>
            </w:r>
          </w:p>
        </w:tc>
        <w:tc>
          <w:tcPr>
            <w:tcW w:type="dxa" w:w="1758"/>
            <w:vAlign w:val="center"/>
          </w:tcPr>
          <w:p>
            <w:pPr>
              <w:spacing w:line="240" w:lineRule="auto"/>
              <w:jc w:val="center"/>
            </w:pPr>
            <w:r>
              <w:rPr>
                <w:rFonts w:ascii="Times New Roman" w:hAnsi="Times New Roman" w:eastAsia="宋体"/>
                <w:b w:val="0"/>
                <w:sz w:val="21"/>
              </w:rPr>
              <w:t>4</w:t>
            </w:r>
          </w:p>
        </w:tc>
        <w:tc>
          <w:tcPr>
            <w:tcW w:type="dxa" w:w="1758"/>
            <w:vAlign w:val="center"/>
          </w:tcPr>
          <w:p>
            <w:pPr>
              <w:spacing w:line="240" w:lineRule="auto"/>
              <w:jc w:val="center"/>
            </w:pPr>
            <w:r>
              <w:rPr>
                <w:rFonts w:ascii="Times New Roman" w:hAnsi="Times New Roman" w:eastAsia="宋体"/>
                <w:b w:val="0"/>
                <w:sz w:val="21"/>
              </w:rPr>
              <w:t>0.27004475</w:t>
            </w:r>
          </w:p>
        </w:tc>
        <w:tc>
          <w:tcPr>
            <w:tcW w:type="dxa" w:w="1758"/>
            <w:vAlign w:val="center"/>
          </w:tcPr>
          <w:p>
            <w:pPr>
              <w:spacing w:line="240" w:lineRule="auto"/>
              <w:jc w:val="center"/>
            </w:pPr>
            <w:r>
              <w:rPr>
                <w:rFonts w:ascii="Times New Roman" w:hAnsi="Times New Roman" w:eastAsia="宋体"/>
                <w:b w:val="0"/>
                <w:sz w:val="21"/>
              </w:rPr>
              <w:t>0.11083258</w:t>
            </w:r>
          </w:p>
        </w:tc>
        <w:tc>
          <w:tcPr>
            <w:tcW w:type="dxa" w:w="1758"/>
            <w:vAlign w:val="center"/>
          </w:tcPr>
          <w:p>
            <w:pPr>
              <w:spacing w:line="240" w:lineRule="auto"/>
              <w:jc w:val="center"/>
            </w:pPr>
            <w:r>
              <w:rPr>
                <w:rFonts w:ascii="Times New Roman" w:hAnsi="Times New Roman" w:eastAsia="宋体"/>
                <w:b w:val="0"/>
                <w:sz w:val="21"/>
              </w:rPr>
              <w:t>0.410607</w:t>
            </w:r>
          </w:p>
        </w:tc>
      </w:tr>
    </w:tbl>
    <w:p/>
    <w:p>
      <w:pPr>
        <w:spacing w:line="360" w:lineRule="auto" w:after="0"/>
        <w:ind w:firstLine="420"/>
      </w:pPr>
      <w:r>
        <w:rPr>
          <w:rFonts w:ascii="Times New Roman" w:hAnsi="Times New Roman" w:eastAsia="宋体"/>
          <w:sz w:val="24"/>
        </w:rPr>
        <w:t>单元数据结果表明，在当前数据集、当前参数和高斯扰动场景下，高斯扰动输入经过平滑处理后，平均 NMAE 由 0.27004475 降至 0.11083258，平均误差比为 0.410607。与点数据相比，单元数据在本组实验中的平均误差比更低，即误差下降幅度更大，表明当前单元邻域构建方式对该数据集上的高斯扰动具有较好的平滑效果。</w:t>
      </w:r>
    </w:p>
    <w:p>
      <w:pPr>
        <w:spacing w:line="360" w:lineRule="auto" w:after="0"/>
        <w:ind w:firstLine="420"/>
      </w:pPr>
      <w:r>
        <w:rPr>
          <w:rFonts w:ascii="Times New Roman" w:hAnsi="Times New Roman" w:eastAsia="宋体"/>
          <w:sz w:val="24"/>
        </w:rPr>
        <w:t>从误差指标上看，点数据和单元数据经平滑处理后的平均 NMAE 均低于扰动输入。</w:t>
      </w:r>
    </w:p>
    <w:p>
      <w:pPr>
        <w:pStyle w:val="3"/>
        <w:spacing w:line="360" w:lineRule="auto" w:before="120" w:after="120"/>
        <w:jc w:val="left"/>
      </w:pPr>
      <w:r>
        <w:rPr>
          <w:rFonts w:ascii="Times New Roman" w:hAnsi="Times New Roman" w:eastAsia="黑体"/>
          <w:b/>
          <w:sz w:val="24"/>
        </w:rPr>
        <w:t>5.6.3 数据优化实验分析</w:t>
      </w:r>
    </w:p>
    <w:p>
      <w:pPr>
        <w:spacing w:line="360" w:lineRule="auto" w:after="0"/>
        <w:ind w:firstLine="420"/>
      </w:pPr>
      <w:r>
        <w:rPr>
          <w:rFonts w:ascii="Times New Roman" w:hAnsi="Times New Roman" w:eastAsia="宋体"/>
          <w:sz w:val="24"/>
        </w:rPr>
        <w:t>点数据和单元数据的误差比均小于 1，说明数据优化模块对高斯随机扰动具有抑制效果。高斯扰动属于局部随机高频波动的一种代表形式，适合用于检验保边平滑和多尺度融合对随机数值波动的处理能力。该实验验证当前参数下的高斯扰动场景；对于其他扰动类型，仍需要结合字段特征和参数设置进行单独验证。</w:t>
      </w:r>
    </w:p>
    <w:p>
      <w:pPr>
        <w:pStyle w:val="2"/>
        <w:spacing w:line="360" w:lineRule="auto" w:before="120" w:after="120"/>
        <w:jc w:val="left"/>
      </w:pPr>
      <w:r>
        <w:rPr>
          <w:rFonts w:ascii="Times New Roman" w:hAnsi="Times New Roman" w:eastAsia="黑体"/>
          <w:b/>
          <w:sz w:val="28"/>
        </w:rPr>
        <w:t>5.7 本章小结</w:t>
      </w:r>
    </w:p>
    <w:p>
      <w:pPr>
        <w:spacing w:line="360" w:lineRule="auto" w:after="0"/>
        <w:ind w:firstLine="420"/>
      </w:pPr>
      <w:r>
        <w:rPr>
          <w:rFonts w:ascii="Times New Roman" w:hAnsi="Times New Roman" w:eastAsia="宋体"/>
          <w:sz w:val="24"/>
        </w:rPr>
        <w:t xml:space="preserve">本章对系统核心算法进行了实验验证。解析场实验表明，点数据梯度计算能够在结构化网格、非结构化体网格和非结构化曲面网格上得到较低误差，单元数据实验进一步说明了单元场恢复和评价方式对结果的影响。VTK 一致性实验表明，系统在工程字段上能够输出与 </w:t>
      </w:r>
      <w:r>
        <w:rPr>
          <w:rFonts w:ascii="Consolas" w:hAnsi="Consolas" w:eastAsia="Consolas"/>
          <w:sz w:val="24"/>
        </w:rPr>
        <w:t>vtkGradientFilter</w:t>
      </w:r>
      <w:r>
        <w:rPr>
          <w:rFonts w:ascii="Times New Roman" w:hAnsi="Times New Roman" w:eastAsia="宋体"/>
          <w:sz w:val="24"/>
        </w:rPr>
        <w:t xml:space="preserve"> 接近的梯度结果，说明本文实现能够与常用后处理工具保持工程一致性。时间实验表明，在本文测试数据、硬件环境和统计口径下，OpenGL 实现相对于本文 VTK 参考流程具有较低端到端耗时，其中结构化网格路径主要受数据传输和写回开销影响，非结构化路径还受到拓扑访问和局部几何恢复影响。数据优化实验表明，在 </w:t>
      </w:r>
      <w:r>
        <w:rPr>
          <w:rFonts w:ascii="Consolas" w:hAnsi="Consolas" w:eastAsia="Consolas"/>
          <w:sz w:val="24"/>
        </w:rPr>
        <w:t>ShipHull_0</w:t>
      </w:r>
      <w:r>
        <w:rPr>
          <w:rFonts w:ascii="Times New Roman" w:hAnsi="Times New Roman" w:eastAsia="宋体"/>
          <w:sz w:val="24"/>
        </w:rPr>
        <w:t xml:space="preserve"> 数据集、当前参数和高斯扰动场景下，图双边滤波与多尺度融合能够降低高斯随机扰动带来的误差。</w:t>
      </w:r>
    </w:p>
    <w:p>
      <w:pPr>
        <w:spacing w:line="360" w:lineRule="auto" w:after="0"/>
        <w:ind w:firstLine="420"/>
      </w:pPr>
      <w:r>
        <w:rPr>
          <w:rFonts w:ascii="Times New Roman" w:hAnsi="Times New Roman" w:eastAsia="宋体"/>
          <w:sz w:val="24"/>
        </w:rPr>
        <w:t>上述结论基于本文选取的数据集、当前实验环境和固定参数设置。对于其他硬件平台、其他数据类型或其他扰动模型，仍需结合具体任务重新验证。</w:t>
      </w:r>
    </w:p>
    <w:p>
      <w:r>
        <w:br w:type="page"/>
      </w:r>
    </w:p>
    <w:p>
      <w:pPr>
        <w:pStyle w:val="1"/>
        <w:spacing w:line="360" w:lineRule="auto" w:before="240" w:after="120"/>
        <w:jc w:val="center"/>
      </w:pPr>
      <w:r>
        <w:rPr>
          <w:rFonts w:ascii="Times New Roman" w:hAnsi="Times New Roman" w:eastAsia="黑体"/>
          <w:b/>
          <w:sz w:val="32"/>
        </w:rPr>
        <w:t>第六章 结论与展望</w:t>
      </w:r>
    </w:p>
    <w:p>
      <w:pPr>
        <w:pStyle w:val="2"/>
        <w:spacing w:line="360" w:lineRule="auto" w:before="120" w:after="120"/>
        <w:jc w:val="left"/>
      </w:pPr>
      <w:r>
        <w:rPr>
          <w:rFonts w:ascii="Times New Roman" w:hAnsi="Times New Roman" w:eastAsia="黑体"/>
          <w:b/>
          <w:sz w:val="28"/>
        </w:rPr>
        <w:t>6.1 工作总结</w:t>
      </w:r>
    </w:p>
    <w:p>
      <w:pPr>
        <w:spacing w:line="360" w:lineRule="auto" w:after="0"/>
        <w:ind w:firstLine="420"/>
      </w:pPr>
      <w:r>
        <w:rPr>
          <w:rFonts w:ascii="Times New Roman" w:hAnsi="Times New Roman" w:eastAsia="宋体"/>
          <w:sz w:val="24"/>
        </w:rPr>
        <w:t>本文面向 CAE 后处理阶段的数据预处理任务，设计并实现了一套基于 OpenGL 的原型系统。系统以 VTK 数据文件为输入，将外部网格、字段和拓扑信息转换为统一内部数据对象，并在此基础上完成梯度计算、数据优化、结果写回和 VTK 文件导出。该流程覆盖了从数据读取到结果观察的主要环节，为后续实验验证提供了统一的数据和计算基础。</w:t>
      </w:r>
    </w:p>
    <w:p>
      <w:pPr>
        <w:spacing w:line="360" w:lineRule="auto" w:after="0"/>
        <w:ind w:firstLine="420"/>
      </w:pPr>
      <w:r>
        <w:rPr>
          <w:rFonts w:ascii="Times New Roman" w:hAnsi="Times New Roman" w:eastAsia="宋体"/>
          <w:sz w:val="24"/>
        </w:rPr>
        <w:t>在系统设计方面，本文将系统划分为数据准备模块、梯度计算模块、数据优化模块、OpenGL 计算管理模块和结果导出模块。数据准备模块负责读取 VTK 数据并构造内部 DataObject；梯度计算模块根据网格类型和字段关联方式选择有限差分路径或形函数导数路径；数据优化模块基于图邻域执行双边滤波和多尺度融合；OpenGL 计算管理模块负责上下文、计算着色器、SSBO 和 GPU 计时；结果导出模块负责将新增字段写回内部数据对象并重建 VTK 数据集。通过这种划分，系统能够在统一数据结构上组织不同算法，并保持结果写回和导出过程中的字段语义一致。</w:t>
      </w:r>
    </w:p>
    <w:p>
      <w:pPr>
        <w:spacing w:line="360" w:lineRule="auto" w:after="0"/>
        <w:ind w:firstLine="420"/>
      </w:pPr>
      <w:r>
        <w:rPr>
          <w:rFonts w:ascii="Times New Roman" w:hAnsi="Times New Roman" w:eastAsia="宋体"/>
          <w:sz w:val="24"/>
        </w:rPr>
        <w:t>在梯度计算方面，本文分别处理结构化网格和非结构化网格。结构化网格路径利用逻辑索引访问相邻样本，在逻辑空间中进行有限差分，并通过 Jacobian 关系恢复物理空间梯度。非结构化网格路径以单元连接、单元类型和形函数导数为基础，在局部几何映射中恢复梯度。对于点数据，系统直接利用节点字段和点-单元关系计算梯度；对于单元数据，系统通过单元场提升或单元中心差分等方式获得可计算的中间表示，再输出单元关联的梯度结果。</w:t>
      </w:r>
    </w:p>
    <w:p>
      <w:pPr>
        <w:spacing w:line="360" w:lineRule="auto" w:after="0"/>
        <w:ind w:firstLine="420"/>
      </w:pPr>
      <w:r>
        <w:rPr>
          <w:rFonts w:ascii="Times New Roman" w:hAnsi="Times New Roman" w:eastAsia="宋体"/>
          <w:sz w:val="24"/>
        </w:rPr>
        <w:t>在数据优化方面，本文将目标限定为对局部随机高频数值扰动的抑制。系统分别针对点数据和单元数据构建邻域图，通过图双边滤波控制空间邻近性和字段相似性，并通过多尺度融合调节平滑结果和细节保留程度。该模块与梯度计算共享内部数据结构和 GPU 执行框架，但输出仍保持原字段的关联方式。</w:t>
      </w:r>
    </w:p>
    <w:p>
      <w:pPr>
        <w:spacing w:line="360" w:lineRule="auto" w:after="0"/>
        <w:ind w:firstLine="420"/>
      </w:pPr>
      <w:r>
        <w:rPr>
          <w:rFonts w:ascii="Times New Roman" w:hAnsi="Times New Roman" w:eastAsia="宋体"/>
          <w:sz w:val="24"/>
        </w:rPr>
        <w:t>在实验验证方面，本文分别进行了解析场验证、与 VTK 结果一致性对比、与 VTK 的时间性能对比和数据优化实验。解析场实验用于检验梯度计算的数值正确性；VTK 一致性对比用于检验工程字段场景下的工程输出一致性；时间实验用于评价当前 OpenGL 实现的运行效率；数据优化实验用于验证系统对高斯随机扰动的抑制效果。</w:t>
      </w:r>
    </w:p>
    <w:p>
      <w:pPr>
        <w:pStyle w:val="2"/>
        <w:spacing w:line="360" w:lineRule="auto" w:before="120" w:after="120"/>
        <w:jc w:val="left"/>
      </w:pPr>
      <w:r>
        <w:rPr>
          <w:rFonts w:ascii="Times New Roman" w:hAnsi="Times New Roman" w:eastAsia="黑体"/>
          <w:b/>
          <w:sz w:val="28"/>
        </w:rPr>
        <w:t>6.2 主要结论</w:t>
      </w:r>
    </w:p>
    <w:p>
      <w:pPr>
        <w:spacing w:line="360" w:lineRule="auto" w:after="0"/>
        <w:ind w:firstLine="420"/>
      </w:pPr>
      <w:r>
        <w:rPr>
          <w:rFonts w:ascii="Times New Roman" w:hAnsi="Times New Roman" w:eastAsia="宋体"/>
          <w:sz w:val="24"/>
        </w:rPr>
        <w:t>第一，本文实现了 CAE 后处理数据预处理的完整流程。系统能够读取 VTK 数据，提取点、单元、字段和邻域信息，转换为内部连续数组结构，并在 GPU 端执行核心计算。计算结果能够写回内部字段数组，并导出为 VTK 文件继续在 ParaView 等工具中观察。该流程说明本文系统具备数据输入、计算处理、结果保存和工程观察的闭环能力。</w:t>
      </w:r>
    </w:p>
    <w:p>
      <w:pPr>
        <w:spacing w:line="360" w:lineRule="auto" w:after="0"/>
        <w:ind w:firstLine="420"/>
      </w:pPr>
      <w:r>
        <w:rPr>
          <w:rFonts w:ascii="Times New Roman" w:hAnsi="Times New Roman" w:eastAsia="宋体"/>
          <w:sz w:val="24"/>
        </w:rPr>
        <w:t xml:space="preserve">第二，解析场实验表明，点数据梯度计算具有较好的数值正确性。在 </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 数据集上，线性标量场和线性向量场的 NMAE 均保持在 </w:t>
      </w:r>
      <w:r>
        <w:rPr>
          <w:rFonts w:ascii="Cambria Math" w:hAnsi="Cambria Math" w:eastAsia="Cambria Math"/>
          <w:sz w:val="22"/>
        </w:rPr>
        <w:t>10^-7</w:t>
      </w:r>
      <w:r>
        <w:rPr>
          <w:rFonts w:ascii="Times New Roman" w:hAnsi="Times New Roman" w:eastAsia="宋体"/>
          <w:sz w:val="24"/>
        </w:rPr>
        <w:t xml:space="preserve"> 量级附近，说明结构化网格有限差分路径和非结构化网格形函数导数路径能够正确恢复线性场梯度。单元数据解析场结果显示，结构化网格单元数据误差同样达到 </w:t>
      </w:r>
      <w:r>
        <w:rPr>
          <w:rFonts w:ascii="Cambria Math" w:hAnsi="Cambria Math" w:eastAsia="Cambria Math"/>
          <w:sz w:val="22"/>
        </w:rPr>
        <w:t>10^-7</w:t>
      </w:r>
      <w:r>
        <w:rPr>
          <w:rFonts w:ascii="Times New Roman" w:hAnsi="Times New Roman" w:eastAsia="宋体"/>
          <w:sz w:val="24"/>
        </w:rPr>
        <w:t xml:space="preserve"> 量级；非结构化体单元和曲面单元误差高于点数据，主要与单元场提升、单元中心评价和曲面场评价方式有关。</w:t>
      </w:r>
    </w:p>
    <w:p>
      <w:pPr>
        <w:spacing w:line="360" w:lineRule="auto" w:after="0"/>
        <w:ind w:firstLine="420"/>
      </w:pPr>
      <w:r>
        <w:rPr>
          <w:rFonts w:ascii="Times New Roman" w:hAnsi="Times New Roman" w:eastAsia="宋体"/>
          <w:sz w:val="24"/>
        </w:rPr>
        <w:t xml:space="preserve">第三，与 VTK 结果一致性对比表明，系统在工程字段上能够得到与 </w:t>
      </w:r>
      <w:r>
        <w:rPr>
          <w:rFonts w:ascii="Consolas" w:hAnsi="Consolas" w:eastAsia="Consolas"/>
          <w:sz w:val="24"/>
        </w:rPr>
        <w:t>vtkGradientFilter</w:t>
      </w:r>
      <w:r>
        <w:rPr>
          <w:rFonts w:ascii="Times New Roman" w:hAnsi="Times New Roman" w:eastAsia="宋体"/>
          <w:sz w:val="24"/>
        </w:rPr>
        <w:t xml:space="preserve"> 接近的梯度结果。点数据对比中，</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hexa</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 的 NMAE 均处于较低数量级；单元数据对比中，</w:t>
      </w:r>
      <w:r>
        <w:rPr>
          <w:rFonts w:ascii="Consolas" w:hAnsi="Consolas" w:eastAsia="Consolas"/>
          <w:sz w:val="24"/>
        </w:rPr>
        <w:t>SampleStructGrid</w:t>
      </w:r>
      <w:r>
        <w:rPr>
          <w:rFonts w:ascii="Times New Roman" w:hAnsi="Times New Roman" w:eastAsia="宋体"/>
          <w:sz w:val="24"/>
        </w:rPr>
        <w:t>、</w:t>
      </w:r>
      <w:r>
        <w:rPr>
          <w:rFonts w:ascii="Consolas" w:hAnsi="Consolas" w:eastAsia="Consolas"/>
          <w:sz w:val="24"/>
        </w:rPr>
        <w:t>limb</w:t>
      </w:r>
      <w:r>
        <w:rPr>
          <w:rFonts w:ascii="Times New Roman" w:hAnsi="Times New Roman" w:eastAsia="宋体"/>
          <w:sz w:val="24"/>
        </w:rPr>
        <w:t xml:space="preserve"> 和 </w:t>
      </w:r>
      <w:r>
        <w:rPr>
          <w:rFonts w:ascii="Consolas" w:hAnsi="Consolas" w:eastAsia="Consolas"/>
          <w:sz w:val="24"/>
        </w:rPr>
        <w:t>1_0</w:t>
      </w:r>
      <w:r>
        <w:rPr>
          <w:rFonts w:ascii="Times New Roman" w:hAnsi="Times New Roman" w:eastAsia="宋体"/>
          <w:sz w:val="24"/>
        </w:rPr>
        <w:t xml:space="preserve"> 也保持工程一致性。该结果说明系统在字段关联方式、结果分量数和导出语义方面能够与 VTK 参考流程保持一致。</w:t>
      </w:r>
    </w:p>
    <w:p>
      <w:pPr>
        <w:spacing w:line="360" w:lineRule="auto" w:after="0"/>
        <w:ind w:firstLine="420"/>
      </w:pPr>
      <w:r>
        <w:rPr>
          <w:rFonts w:ascii="Times New Roman" w:hAnsi="Times New Roman" w:eastAsia="宋体"/>
          <w:sz w:val="24"/>
        </w:rPr>
        <w:t>第四，时间性能实验表明，在本文测试数据、运行环境和统计口径下，OpenGL 实现相对本文 VTK 参考流程表现出较低端到端耗时。结构化网格点数据加速比约为 2.018 至 3.051，结构化网格单元数据加速比约为 146.620 至 845.027；非结构化点数据加速比约为 57.419 至 131.634，非结构化单元数据加速比约为 17.798 至 73.806。上述比例反映本文测试流程中的相对结果，仍会受到数据传输、结果写回、单元连接访问、点-单元关系和局部几何恢复等因素影响。</w:t>
      </w:r>
    </w:p>
    <w:p>
      <w:pPr>
        <w:spacing w:line="360" w:lineRule="auto" w:after="0"/>
        <w:ind w:firstLine="420"/>
      </w:pPr>
      <w:r>
        <w:rPr>
          <w:rFonts w:ascii="Times New Roman" w:hAnsi="Times New Roman" w:eastAsia="宋体"/>
          <w:sz w:val="24"/>
        </w:rPr>
        <w:t xml:space="preserve">第五，数据优化实验表明，在 </w:t>
      </w:r>
      <w:r>
        <w:rPr>
          <w:rFonts w:ascii="Consolas" w:hAnsi="Consolas" w:eastAsia="Consolas"/>
          <w:sz w:val="24"/>
        </w:rPr>
        <w:t>ShipHull_0</w:t>
      </w:r>
      <w:r>
        <w:rPr>
          <w:rFonts w:ascii="Times New Roman" w:hAnsi="Times New Roman" w:eastAsia="宋体"/>
          <w:sz w:val="24"/>
        </w:rPr>
        <w:t xml:space="preserve"> 数据集、当前参数和高斯扰动场景下，本文实现的图双边滤波与多尺度融合能够降低扰动误差。点数据高斯扰动的平均 NMAE 由 0.27032675 降至 0.14413250，平均误差比为 0.533836；单元数据高斯扰动的平均 NMAE 由 0.27004475 降至 0.11083258，平均误差比为 0.410607。两组结果均表明平滑处理后误差下降，说明数据优化模块对当前设定的高斯随机扰动具有抑制效果。</w:t>
      </w:r>
    </w:p>
    <w:p>
      <w:pPr>
        <w:spacing w:line="360" w:lineRule="auto" w:after="0"/>
        <w:ind w:firstLine="420"/>
      </w:pPr>
      <w:r>
        <w:rPr>
          <w:rFonts w:ascii="Times New Roman" w:hAnsi="Times New Roman" w:eastAsia="宋体"/>
          <w:sz w:val="24"/>
        </w:rPr>
        <w:t>综合来看，本文完成了基于 OpenGL 的 CAE 数据预处理原型系统，实现了结构化网格与非结构化网格的梯度计算、点数据与单元数据的区分处理、局部高斯扰动抑制以及 VTK 结果导出。实验结果从正确性、一致性、效率和数据优化效果四个方面验证了系统的可行性。</w:t>
      </w:r>
    </w:p>
    <w:p>
      <w:pPr>
        <w:pStyle w:val="2"/>
        <w:spacing w:line="360" w:lineRule="auto" w:before="120" w:after="120"/>
        <w:jc w:val="left"/>
      </w:pPr>
      <w:r>
        <w:rPr>
          <w:rFonts w:ascii="Times New Roman" w:hAnsi="Times New Roman" w:eastAsia="黑体"/>
          <w:b/>
          <w:sz w:val="28"/>
        </w:rPr>
        <w:t>6.3 不足之处</w:t>
      </w:r>
    </w:p>
    <w:p>
      <w:pPr>
        <w:spacing w:line="360" w:lineRule="auto" w:after="0"/>
        <w:ind w:firstLine="420"/>
      </w:pPr>
      <w:r>
        <w:rPr>
          <w:rFonts w:ascii="Times New Roman" w:hAnsi="Times New Roman" w:eastAsia="宋体"/>
          <w:sz w:val="24"/>
        </w:rPr>
        <w:t>当前系统仍存在一定局限。首先，非结构化网格支持的单元类型有限。本文主要围绕一阶三角形、四边形、四面体和六面体展开，能够覆盖本文实验数据中的主要单元类型，但实际工程数据中还可能包含高阶单元、混合单元和其他特殊单元。若需要处理更复杂的 CAE 数据，还需要继续扩展单元类型和对应的形函数导数实现。</w:t>
      </w:r>
    </w:p>
    <w:p>
      <w:pPr>
        <w:spacing w:line="360" w:lineRule="auto" w:after="0"/>
        <w:ind w:firstLine="420"/>
      </w:pPr>
      <w:r>
        <w:rPr>
          <w:rFonts w:ascii="Times New Roman" w:hAnsi="Times New Roman" w:eastAsia="宋体"/>
          <w:sz w:val="24"/>
        </w:rPr>
        <w:t>其次，单元数据梯度恢复和曲面梯度评价仍有改进空间。单元数据并不直接具备节点插值值，非结构化单元数据需要通过单元场提升构造中间场，再进行梯度恢复。当前实现中的单元场提升主要采用等权平均方式，在非均匀网格或单元尺度差异较大时可能引入偏差，后续可研究面积、体积或距离加权的重构策略。对于曲面单元，当前结果依赖内蕴梯度和切向评价口径，复杂曲面几何下仍需进一步验证。因此，单元场提升、单元中心采样和曲面内蕴梯度计算仍需继续研究。</w:t>
      </w:r>
    </w:p>
    <w:p>
      <w:pPr>
        <w:spacing w:line="360" w:lineRule="auto" w:after="0"/>
        <w:ind w:firstLine="420"/>
      </w:pPr>
      <w:r>
        <w:rPr>
          <w:rFonts w:ascii="Times New Roman" w:hAnsi="Times New Roman" w:eastAsia="宋体"/>
          <w:sz w:val="24"/>
        </w:rPr>
        <w:t>第三，数据优化实验只验证了高斯随机扰动场景。高斯扰动能够代表一类局部随机高频波动，但实际 CAE 结果中的误差可能来自网格质量、求解器收敛、材料模型、边界条件和后处理恢复过程。当前实验能够说明系统对本文设定扰动的有效性，尚不能覆盖所有工程误差类型。</w:t>
      </w:r>
    </w:p>
    <w:p>
      <w:pPr>
        <w:spacing w:line="360" w:lineRule="auto" w:after="0"/>
        <w:ind w:firstLine="420"/>
      </w:pPr>
      <w:r>
        <w:rPr>
          <w:rFonts w:ascii="Times New Roman" w:hAnsi="Times New Roman" w:eastAsia="宋体"/>
          <w:sz w:val="24"/>
        </w:rPr>
        <w:t>第四，系统界面和工程功能仍较基础。当前界面主要提供数据加载、字段选择、计算触发和结果导出等操作，尚未形成完整的可视分析工作流。字段管理、参数配置、批处理任务、错误提示和结果可视化交互等功能仍可进一步完善。</w:t>
      </w:r>
    </w:p>
    <w:p>
      <w:pPr>
        <w:spacing w:line="360" w:lineRule="auto" w:after="0"/>
        <w:ind w:firstLine="420"/>
      </w:pPr>
      <w:r>
        <w:rPr>
          <w:rFonts w:ascii="Times New Roman" w:hAnsi="Times New Roman" w:eastAsia="宋体"/>
          <w:sz w:val="24"/>
        </w:rPr>
        <w:t>第五，时间性能结论依赖当前实验环境。GPU 型号、驱动版本、OpenGL 实现、VTK 构建方式、线程配置和数据规模都会影响时间结果。本文实验仅说明 OpenGL 实现在当前测试数据和统计口径下相对本文 VTK 参考流程耗时更低，不同硬件、不同 VTK 配置和不同数据集下仍需要重新测试。</w:t>
      </w:r>
    </w:p>
    <w:p>
      <w:pPr>
        <w:pStyle w:val="2"/>
        <w:spacing w:line="360" w:lineRule="auto" w:before="120" w:after="120"/>
        <w:jc w:val="left"/>
      </w:pPr>
      <w:r>
        <w:rPr>
          <w:rFonts w:ascii="Times New Roman" w:hAnsi="Times New Roman" w:eastAsia="黑体"/>
          <w:b/>
          <w:sz w:val="28"/>
        </w:rPr>
        <w:t>6.4 后续展望</w:t>
      </w:r>
    </w:p>
    <w:p>
      <w:pPr>
        <w:spacing w:line="360" w:lineRule="auto" w:after="0"/>
        <w:ind w:firstLine="420"/>
      </w:pPr>
      <w:r>
        <w:rPr>
          <w:rFonts w:ascii="Times New Roman" w:hAnsi="Times New Roman" w:eastAsia="宋体"/>
          <w:sz w:val="24"/>
        </w:rPr>
        <w:t>后续工作可以从以下几个方面展开。</w:t>
      </w:r>
    </w:p>
    <w:p>
      <w:pPr>
        <w:spacing w:line="360" w:lineRule="auto" w:after="0"/>
        <w:ind w:firstLine="420"/>
      </w:pPr>
      <w:r>
        <w:rPr>
          <w:rFonts w:ascii="Times New Roman" w:hAnsi="Times New Roman" w:eastAsia="宋体"/>
          <w:sz w:val="24"/>
        </w:rPr>
        <w:t>第一，扩展网格和字段支持范围。后续可增加高阶单元、混合单元和更多实际工程字段的处理能力，使系统能够适应更复杂的 CAE 后处理数据。</w:t>
      </w:r>
    </w:p>
    <w:p>
      <w:pPr>
        <w:spacing w:line="360" w:lineRule="auto" w:after="0"/>
        <w:ind w:firstLine="420"/>
      </w:pPr>
      <w:r>
        <w:rPr>
          <w:rFonts w:ascii="Times New Roman" w:hAnsi="Times New Roman" w:eastAsia="宋体"/>
          <w:sz w:val="24"/>
        </w:rPr>
        <w:t>第二，改进单元数据梯度恢复方法。可以进一步研究更稳定的单元场重构策略、曲面内蕴梯度计算方法和复杂几何下的评价方式，降低非结构化单元数据梯度误差。</w:t>
      </w:r>
    </w:p>
    <w:p>
      <w:pPr>
        <w:spacing w:line="360" w:lineRule="auto" w:after="0"/>
        <w:ind w:firstLine="420"/>
      </w:pPr>
      <w:r>
        <w:rPr>
          <w:rFonts w:ascii="Times New Roman" w:hAnsi="Times New Roman" w:eastAsia="宋体"/>
          <w:sz w:val="24"/>
        </w:rPr>
        <w:t>第三，完善数据优化模块。后续可针对更多扰动类型设计实验，增加自适应参数选择机制，并结合字段梯度、局部统计量或边缘强度动态调节滤波参数，从而提高数据优化方法的适用性。</w:t>
      </w:r>
    </w:p>
    <w:p>
      <w:pPr>
        <w:spacing w:line="360" w:lineRule="auto" w:after="0"/>
        <w:ind w:firstLine="420"/>
      </w:pPr>
      <w:r>
        <w:rPr>
          <w:rFonts w:ascii="Times New Roman" w:hAnsi="Times New Roman" w:eastAsia="宋体"/>
          <w:sz w:val="24"/>
        </w:rPr>
        <w:t>第四，提升系统工程能力。后续可增加批处理配置、自动化测试、参数管理、异常诊断和结果可视化交互功能，使系统从实验原型进一步向稳定工具演进。</w:t>
      </w:r>
    </w:p>
    <w:p>
      <w:pPr>
        <w:spacing w:line="360" w:lineRule="auto" w:after="0"/>
        <w:ind w:firstLine="420"/>
      </w:pPr>
      <w:r>
        <w:rPr>
          <w:rFonts w:ascii="Times New Roman" w:hAnsi="Times New Roman" w:eastAsia="宋体"/>
          <w:sz w:val="24"/>
        </w:rPr>
        <w:t>第五，比较不同并行计算技术路线。VTK-m 等工作表明科学可视化框架正在面向大规模线程架构发展[7]。后续可以在相同数据集和相同评价指标下比较 OpenGL、CUDA、VTK-m 等技术路线在 CAE 数据预处理任务中的适用性，为后处理算法的并行实现提供更充分的依据。</w:t>
      </w:r>
    </w:p>
    <w:p>
      <w:r>
        <w:br w:type="page"/>
      </w:r>
    </w:p>
    <w:p>
      <w:pPr>
        <w:pStyle w:val="1"/>
        <w:spacing w:line="360" w:lineRule="auto" w:before="240" w:after="120"/>
        <w:jc w:val="center"/>
      </w:pPr>
      <w:r>
        <w:rPr>
          <w:rFonts w:ascii="Times New Roman" w:hAnsi="Times New Roman" w:eastAsia="黑体"/>
          <w:b/>
          <w:sz w:val="32"/>
        </w:rPr>
        <w:t>参考文献</w:t>
      </w:r>
    </w:p>
    <w:p>
      <w:pPr>
        <w:spacing w:line="360" w:lineRule="auto" w:after="0"/>
        <w:ind w:left="420" w:hanging="420"/>
      </w:pPr>
      <w:r>
        <w:rPr>
          <w:rFonts w:ascii="Times New Roman" w:hAnsi="Times New Roman" w:eastAsia="宋体"/>
          <w:sz w:val="24"/>
        </w:rPr>
        <w:t>[1] 王彬文, 段世慧, 聂小华, 等. 航空结构分析CAE软件发展现状与未来挑战[J]. 航空学报, 2022, 43(6): 527272.</w:t>
      </w:r>
    </w:p>
    <w:p>
      <w:pPr>
        <w:spacing w:line="360" w:lineRule="auto" w:after="0"/>
        <w:ind w:left="420" w:hanging="420"/>
      </w:pPr>
      <w:r>
        <w:rPr>
          <w:rFonts w:ascii="Times New Roman" w:hAnsi="Times New Roman" w:eastAsia="宋体"/>
          <w:sz w:val="24"/>
        </w:rPr>
        <w:t>[2] 任天宇, 韩非, 张玲, 等. 结构损伤与断裂力学分析CAE软件发展现状[J]. 计算力学学报, 2025, 42(5): 699-713, 736.</w:t>
      </w:r>
    </w:p>
    <w:p>
      <w:pPr>
        <w:spacing w:line="360" w:lineRule="auto" w:after="0"/>
        <w:ind w:left="420" w:hanging="420"/>
      </w:pPr>
      <w:r>
        <w:rPr>
          <w:rFonts w:ascii="Times New Roman" w:hAnsi="Times New Roman" w:eastAsia="宋体"/>
          <w:sz w:val="24"/>
        </w:rPr>
        <w:t>[3] ParaView Documentation. Understanding Data: VTK data model[EB/OL]. [引用日期: 2026-05-12]. https://docs.paraview.org/en/latest/UsersGuide/understandingData.html.</w:t>
      </w:r>
    </w:p>
    <w:p>
      <w:pPr>
        <w:spacing w:line="360" w:lineRule="auto" w:after="0"/>
        <w:ind w:left="420" w:hanging="420"/>
      </w:pPr>
      <w:r>
        <w:rPr>
          <w:rFonts w:ascii="Times New Roman" w:hAnsi="Times New Roman" w:eastAsia="宋体"/>
          <w:sz w:val="24"/>
        </w:rPr>
        <w:t>[4] Schroeder W J, Martin K M, Lorensen B. The Visualization Toolkit[M]. 4th ed. Kitware, 2006.</w:t>
      </w:r>
    </w:p>
    <w:p>
      <w:pPr>
        <w:spacing w:line="360" w:lineRule="auto" w:after="0"/>
        <w:ind w:left="420" w:hanging="420"/>
      </w:pPr>
      <w:r>
        <w:rPr>
          <w:rFonts w:ascii="Times New Roman" w:hAnsi="Times New Roman" w:eastAsia="宋体"/>
          <w:sz w:val="24"/>
        </w:rPr>
        <w:t>[5] 曹轶, 王华维, 夏芳, 等. 面向高性能工业仿真的交互可视分析引擎[J]. 计算机辅助设计与图形学学报, 2021, 33(12): 1803-1810.</w:t>
      </w:r>
    </w:p>
    <w:p>
      <w:pPr>
        <w:spacing w:line="360" w:lineRule="auto" w:after="0"/>
        <w:ind w:left="420" w:hanging="420"/>
      </w:pPr>
      <w:r>
        <w:rPr>
          <w:rFonts w:ascii="Times New Roman" w:hAnsi="Times New Roman" w:eastAsia="宋体"/>
          <w:sz w:val="24"/>
        </w:rPr>
        <w:t>[6] Owens J D, Luebke D, Govindaraju N, et al. A Survey of General-Purpose Computation on Graphics Hardware[J]. Computer Graphics Forum, 2007, 26(1): 80-113.</w:t>
      </w:r>
    </w:p>
    <w:p>
      <w:pPr>
        <w:spacing w:line="360" w:lineRule="auto" w:after="0"/>
        <w:ind w:left="420" w:hanging="420"/>
      </w:pPr>
      <w:r>
        <w:rPr>
          <w:rFonts w:ascii="Times New Roman" w:hAnsi="Times New Roman" w:eastAsia="宋体"/>
          <w:sz w:val="24"/>
        </w:rPr>
        <w:t>[7] Moreland K, Sewell C, Usher W, et al. VTK-m: Accelerating the Visualization Toolkit for Massively Threaded Architectures[J]. IEEE Computer Graphics and Applications, 2016, 36(3): 48-58.</w:t>
      </w:r>
    </w:p>
    <w:p>
      <w:pPr>
        <w:spacing w:line="360" w:lineRule="auto" w:after="0"/>
        <w:ind w:left="420" w:hanging="420"/>
      </w:pPr>
      <w:r>
        <w:rPr>
          <w:rFonts w:ascii="Times New Roman" w:hAnsi="Times New Roman" w:eastAsia="宋体"/>
          <w:sz w:val="24"/>
        </w:rPr>
        <w:t>[8] Khronos Group. Compute Shader - OpenGL Wiki[EB/OL]. [引用日期: 2026-05-12]. https://www.khronos.org/opengl/wiki/Compute_Shader.</w:t>
      </w:r>
    </w:p>
    <w:p>
      <w:pPr>
        <w:spacing w:line="360" w:lineRule="auto" w:after="0"/>
        <w:ind w:left="420" w:hanging="420"/>
      </w:pPr>
      <w:r>
        <w:rPr>
          <w:rFonts w:ascii="Times New Roman" w:hAnsi="Times New Roman" w:eastAsia="宋体"/>
          <w:sz w:val="24"/>
        </w:rPr>
        <w:t>[9] Khronos Group. Shader Storage Buffer Object - OpenGL Wiki[EB/OL]. [引用日期: 2026-05-12]. https://www.khronos.org/opengl/wiki/Shader_Storage_Buffer_Object.</w:t>
      </w:r>
    </w:p>
    <w:p>
      <w:pPr>
        <w:spacing w:line="360" w:lineRule="auto" w:after="0"/>
        <w:ind w:left="420" w:hanging="420"/>
      </w:pPr>
      <w:r>
        <w:rPr>
          <w:rFonts w:ascii="Times New Roman" w:hAnsi="Times New Roman" w:eastAsia="宋体"/>
          <w:sz w:val="24"/>
        </w:rPr>
        <w:t>[10] Zingg D W, Yarrow M. A direct procedure for interpolation on a structured curvilinear two-dimensional grid[R]. NASA Technical Memorandum 102213, 1989.</w:t>
      </w:r>
    </w:p>
    <w:p>
      <w:pPr>
        <w:spacing w:line="360" w:lineRule="auto" w:after="0"/>
        <w:ind w:left="420" w:hanging="420"/>
      </w:pPr>
      <w:r>
        <w:rPr>
          <w:rFonts w:ascii="Times New Roman" w:hAnsi="Times New Roman" w:eastAsia="宋体"/>
          <w:sz w:val="24"/>
        </w:rPr>
        <w:t>[11] Thompson J F, Thames F C, Mastin C W. TOMCAT - A code for numerical generation of boundary-fitted curvilinear coordinate systems on fields containing any number of arbitrary two-dimensional bodies[J]. Journal of Computational Physics, 1977, 24(3): 299-318.</w:t>
      </w:r>
    </w:p>
    <w:p>
      <w:pPr>
        <w:spacing w:line="360" w:lineRule="auto" w:after="0"/>
        <w:ind w:left="420" w:hanging="420"/>
      </w:pPr>
      <w:r>
        <w:rPr>
          <w:rFonts w:ascii="Times New Roman" w:hAnsi="Times New Roman" w:eastAsia="宋体"/>
          <w:sz w:val="24"/>
        </w:rPr>
        <w:t>[12] Hughes T J R. The Finite Element Method: Linear Static and Dynamic Finite Element Analysis[M]. Dover Publications, 2012.</w:t>
      </w:r>
    </w:p>
    <w:p>
      <w:pPr>
        <w:spacing w:line="360" w:lineRule="auto" w:after="0"/>
        <w:ind w:left="420" w:hanging="420"/>
      </w:pPr>
      <w:r>
        <w:rPr>
          <w:rFonts w:ascii="Times New Roman" w:hAnsi="Times New Roman" w:eastAsia="宋体"/>
          <w:sz w:val="24"/>
        </w:rPr>
        <w:t>[13] Zienkiewicz O C, Zhu J Z. The Superconvergent Patch Recovery and a Posteriori Error Estimates. Part 1[J]. International Journal for Numerical Methods in Engineering, 1992, 33(7): 1331-1364.</w:t>
      </w:r>
    </w:p>
    <w:p>
      <w:pPr>
        <w:spacing w:line="360" w:lineRule="auto" w:after="0"/>
        <w:ind w:left="420" w:hanging="420"/>
      </w:pPr>
      <w:r>
        <w:rPr>
          <w:rFonts w:ascii="Times New Roman" w:hAnsi="Times New Roman" w:eastAsia="宋体"/>
          <w:sz w:val="24"/>
        </w:rPr>
        <w:t>[14] Tomasi C, Manduchi R. Bilateral Filtering for Gray and Color Images[C]//Proceedings of the IEEE International Conference on Computer Vision. 1998: 839-846.</w:t>
      </w:r>
    </w:p>
    <w:p>
      <w:pPr>
        <w:spacing w:line="360" w:lineRule="auto" w:after="0"/>
        <w:ind w:left="420" w:hanging="420"/>
      </w:pPr>
      <w:r>
        <w:rPr>
          <w:rFonts w:ascii="Times New Roman" w:hAnsi="Times New Roman" w:eastAsia="宋体"/>
          <w:sz w:val="24"/>
        </w:rPr>
        <w:t>[15] Fleishman S, Drori I, Cohen-Or D. Bilateral Mesh Denoising[J]. ACM Transactions on Graphics, 2003, 22(3): 950-953.</w:t>
      </w:r>
    </w:p>
    <w:p>
      <w:pPr>
        <w:spacing w:line="360" w:lineRule="auto" w:after="0"/>
        <w:ind w:left="420" w:hanging="420"/>
      </w:pPr>
      <w:r>
        <w:rPr>
          <w:rFonts w:ascii="Times New Roman" w:hAnsi="Times New Roman" w:eastAsia="宋体"/>
          <w:sz w:val="24"/>
        </w:rPr>
        <w:t>[16] 王丽辉, 袁保宗. 鲁棒的模糊C均值和点云双边滤波去噪[J]. 北京交通大学学报, 2008, 32(2): 18-21.</w:t>
      </w:r>
    </w:p>
    <w:p>
      <w:pPr>
        <w:spacing w:line="360" w:lineRule="auto" w:after="0"/>
        <w:ind w:left="420" w:hanging="420"/>
      </w:pPr>
      <w:r>
        <w:rPr>
          <w:rFonts w:ascii="Times New Roman" w:hAnsi="Times New Roman" w:eastAsia="宋体"/>
          <w:sz w:val="24"/>
        </w:rPr>
        <w:t>[17] 刘永生, 马会荣, 马会玲, 等. 基于双边滤波的点云去噪算法[J]. 测绘科学, 2023, 48(10): 74-80.</w:t>
      </w:r>
    </w:p>
    <w:p>
      <w:pPr>
        <w:spacing w:line="360" w:lineRule="auto" w:after="0"/>
        <w:ind w:left="420" w:hanging="420"/>
      </w:pPr>
      <w:r>
        <w:rPr>
          <w:rFonts w:ascii="Times New Roman" w:hAnsi="Times New Roman" w:eastAsia="宋体"/>
          <w:sz w:val="24"/>
        </w:rPr>
        <w:t>[18] 管西鹏, 李喜焕, 马会刚, 等. 基于双边滤波算法的树木点云模型去噪方法研究[J]. 林业机械与木工设备, 2024, 52(3): 19-24.</w:t>
      </w:r>
    </w:p>
    <w:p>
      <w:pPr>
        <w:spacing w:line="360" w:lineRule="auto" w:after="0"/>
        <w:ind w:left="420" w:hanging="420"/>
      </w:pPr>
      <w:r>
        <w:rPr>
          <w:rFonts w:ascii="Times New Roman" w:hAnsi="Times New Roman" w:eastAsia="宋体"/>
          <w:sz w:val="24"/>
        </w:rPr>
        <w:t>[19] Kitware. vtkGradientFilter Class Reference[EB/OL]. [引用日期: 2026-05-12]. https://vtk.org/doc/nightly/html/classvtkGradientFilter.html.</w:t>
      </w:r>
    </w:p>
    <w:p>
      <w:pPr>
        <w:spacing w:line="360" w:lineRule="auto" w:after="0"/>
        <w:ind w:left="420" w:hanging="420"/>
      </w:pPr>
      <w:r>
        <w:rPr>
          <w:rFonts w:ascii="Times New Roman" w:hAnsi="Times New Roman" w:eastAsia="宋体"/>
          <w:sz w:val="24"/>
        </w:rPr>
        <w:t>[20] Qt Group. Qt Widgets Documentation[EB/OL]. [引用日期: 2026-05-12]. https://doc.qt.io/qt-5/qtwidgets-index.html.</w:t>
      </w:r>
    </w:p>
    <w:p>
      <w:pPr>
        <w:spacing w:line="360" w:lineRule="auto" w:after="0"/>
        <w:ind w:left="420" w:hanging="420"/>
      </w:pPr>
      <w:r>
        <w:rPr>
          <w:rFonts w:ascii="Times New Roman" w:hAnsi="Times New Roman" w:eastAsia="宋体"/>
          <w:sz w:val="24"/>
        </w:rPr>
        <w:t>[21] Burt P J, Adelson E H. The Laplacian Pyramid as a Compact Image Code[J]. IEEE Transactions on Communications, 1983, 31(4): 532-540.</w:t>
      </w:r>
    </w:p>
    <w:p>
      <w:pPr>
        <w:spacing w:line="360" w:lineRule="auto" w:after="0"/>
        <w:ind w:left="420" w:hanging="420"/>
      </w:pPr>
      <w:r>
        <w:rPr>
          <w:rFonts w:ascii="Times New Roman" w:hAnsi="Times New Roman" w:eastAsia="宋体"/>
          <w:sz w:val="24"/>
        </w:rPr>
        <w:t>[22] Farbman Z, Fattal R, Lischinski D, et al. Edge-preserving Decompositions for Multi-scale Tone and Detail Manipulation[J]. ACM Transactions on Graphics, 2008, 27(3): 1-10.</w:t>
      </w:r>
    </w:p>
    <w:p>
      <w:pPr>
        <w:spacing w:line="360" w:lineRule="auto" w:after="0"/>
        <w:ind w:left="420" w:hanging="420"/>
      </w:pPr>
      <w:r>
        <w:rPr>
          <w:rFonts w:ascii="Times New Roman" w:hAnsi="Times New Roman" w:eastAsia="宋体"/>
          <w:sz w:val="24"/>
        </w:rPr>
        <w:t>[23] 常文斌, 牟明任, 贾海鹏, 等. 基于OpenGL ES的图像滤波算法实现及优化研究[J]. 计算机工程, 2023, 49(11): 257-266.</w:t>
      </w:r>
    </w:p>
    <w:p>
      <w:pPr>
        <w:spacing w:line="360" w:lineRule="auto" w:after="0"/>
        <w:ind w:left="420" w:hanging="420"/>
      </w:pPr>
      <w:r>
        <w:rPr>
          <w:rFonts w:ascii="Times New Roman" w:hAnsi="Times New Roman" w:eastAsia="宋体"/>
          <w:sz w:val="24"/>
        </w:rPr>
        <w:t>[24] 常文斌. 基于GPU的卷积类算法的实现与优化[D]. 大连海洋大学, 2024.</w:t>
      </w:r>
    </w:p>
    <w:sectPr w:rsidR="00464E6E" w:rsidRPr="00BB726C" w:rsidSect="002566E1">
      <w:pgSz w:w="11906" w:h="16838"/>
      <w:pgMar w:top="1417" w:right="1417" w:bottom="1417" w:left="1701" w:header="1134" w:footer="1134" w:gutter="0"/>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275" w:rsidRDefault="00731275" w:rsidP="00801133">
      <w:pPr>
        <w:ind w:firstLine="480"/>
      </w:pPr>
      <w:r>
        <w:separator/>
      </w:r>
    </w:p>
    <w:p w:rsidR="00731275" w:rsidRDefault="00731275">
      <w:pPr>
        <w:ind w:firstLine="480"/>
      </w:pPr>
    </w:p>
  </w:endnote>
  <w:endnote w:type="continuationSeparator" w:id="0">
    <w:p w:rsidR="00731275" w:rsidRDefault="00731275" w:rsidP="00801133">
      <w:pPr>
        <w:ind w:firstLine="480"/>
      </w:pPr>
      <w:r>
        <w:continuationSeparator/>
      </w:r>
    </w:p>
    <w:p w:rsidR="00731275" w:rsidRDefault="00731275">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420"/>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420"/>
      <w:jc w:val="center"/>
      <w:rPr>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4"/>
      <w:ind w:firstLine="420"/>
      <w:jc w:val="center"/>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5631205"/>
      <w:docPartObj>
        <w:docPartGallery w:val="Page Numbers (Bottom of Page)"/>
        <w:docPartUnique/>
      </w:docPartObj>
    </w:sdtPr>
    <w:sdtEndPr/>
    <w:sdtContent>
      <w:p w:rsidR="00214128" w:rsidRDefault="00214128">
        <w:pPr>
          <w:pStyle w:val="a4"/>
          <w:ind w:left="3840" w:firstLine="360"/>
        </w:pPr>
        <w:r>
          <w:fldChar w:fldCharType="begin"/>
        </w:r>
        <w:r>
          <w:instrText>PAGE   \* MERGEFORMAT</w:instrText>
        </w:r>
        <w:r>
          <w:fldChar w:fldCharType="separate"/>
        </w:r>
        <w:r w:rsidR="0082761D" w:rsidRPr="0082761D">
          <w:rPr>
            <w:noProof/>
            <w:lang w:val="zh-CN"/>
          </w:rPr>
          <w:t>II</w:t>
        </w:r>
        <w:r>
          <w:fldChar w:fldCharType="end"/>
        </w:r>
      </w:p>
    </w:sdtContent>
  </w:sdt>
  <w:p w:rsidR="00214128" w:rsidRDefault="00214128" w:rsidP="00A77D6A">
    <w:pPr>
      <w:pStyle w:val="a4"/>
      <w:ind w:left="482" w:firstLineChars="0" w:firstLine="0"/>
      <w:rPr>
        <w:sz w:val="21"/>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3241937"/>
      <w:docPartObj>
        <w:docPartGallery w:val="Page Numbers (Bottom of Page)"/>
        <w:docPartUnique/>
      </w:docPartObj>
    </w:sdtPr>
    <w:sdtEndPr/>
    <w:sdtContent>
      <w:p w:rsidR="00214128" w:rsidRDefault="00214128">
        <w:pPr>
          <w:pStyle w:val="a4"/>
          <w:ind w:left="3840" w:firstLine="360"/>
        </w:pPr>
        <w:r>
          <w:fldChar w:fldCharType="begin"/>
        </w:r>
        <w:r>
          <w:instrText>PAGE   \* MERGEFORMAT</w:instrText>
        </w:r>
        <w:r>
          <w:fldChar w:fldCharType="separate"/>
        </w:r>
        <w:r w:rsidR="0082761D" w:rsidRPr="0082761D">
          <w:rPr>
            <w:noProof/>
            <w:lang w:val="zh-CN"/>
          </w:rPr>
          <w:t>I</w:t>
        </w:r>
        <w:r>
          <w:fldChar w:fldCharType="end"/>
        </w:r>
      </w:p>
    </w:sdtContent>
  </w:sdt>
  <w:p w:rsidR="00214128" w:rsidRDefault="00214128">
    <w:pPr>
      <w:pStyle w:val="a4"/>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2F14B6">
    <w:pPr>
      <w:pStyle w:val="a4"/>
      <w:ind w:firstLineChars="0" w:firstLine="0"/>
      <w:jc w:val="center"/>
      <w:rPr>
        <w:sz w:val="21"/>
        <w:szCs w:val="21"/>
      </w:rPr>
    </w:pPr>
    <w:r>
      <w:rPr>
        <w:rFonts w:hint="eastAsia"/>
        <w:sz w:val="21"/>
        <w:szCs w:val="21"/>
      </w:rPr>
      <w:t>I</w:t>
    </w:r>
    <w:r>
      <w:rPr>
        <w:sz w:val="21"/>
        <w:szCs w:val="21"/>
      </w:rPr>
      <w:t>II</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3701432"/>
    </w:sdtPr>
    <w:sdtEndPr>
      <w:rPr>
        <w:sz w:val="21"/>
        <w:szCs w:val="21"/>
      </w:rPr>
    </w:sdtEndPr>
    <w:sdtContent>
      <w:p w:rsidR="00214128" w:rsidRDefault="00214128" w:rsidP="002F14B6">
        <w:pPr>
          <w:pStyle w:val="a4"/>
          <w:ind w:left="482"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sidR="0082761D" w:rsidRPr="0082761D">
          <w:rPr>
            <w:noProof/>
            <w:sz w:val="21"/>
            <w:szCs w:val="21"/>
            <w:lang w:val="zh-CN"/>
          </w:rPr>
          <w:t>2</w:t>
        </w:r>
        <w:r>
          <w:rPr>
            <w:sz w:val="21"/>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4835223"/>
      <w:docPartObj>
        <w:docPartGallery w:val="Page Numbers (Bottom of Page)"/>
        <w:docPartUnique/>
      </w:docPartObj>
    </w:sdtPr>
    <w:sdtEndPr>
      <w:rPr>
        <w:sz w:val="21"/>
        <w:szCs w:val="21"/>
      </w:rPr>
    </w:sdtEndPr>
    <w:sdtContent>
      <w:p w:rsidR="00214128" w:rsidRPr="005D4773" w:rsidRDefault="00214128" w:rsidP="002F14B6">
        <w:pPr>
          <w:pStyle w:val="a4"/>
          <w:ind w:firstLineChars="0" w:firstLine="0"/>
          <w:jc w:val="center"/>
          <w:rPr>
            <w:sz w:val="21"/>
            <w:szCs w:val="21"/>
          </w:rPr>
        </w:pPr>
        <w:r w:rsidRPr="005D4773">
          <w:rPr>
            <w:sz w:val="21"/>
            <w:szCs w:val="21"/>
          </w:rPr>
          <w:fldChar w:fldCharType="begin"/>
        </w:r>
        <w:r w:rsidRPr="005D4773">
          <w:rPr>
            <w:sz w:val="21"/>
            <w:szCs w:val="21"/>
          </w:rPr>
          <w:instrText>PAGE   \* MERGEFORMAT</w:instrText>
        </w:r>
        <w:r w:rsidRPr="005D4773">
          <w:rPr>
            <w:sz w:val="21"/>
            <w:szCs w:val="21"/>
          </w:rPr>
          <w:fldChar w:fldCharType="separate"/>
        </w:r>
        <w:r w:rsidR="0082761D" w:rsidRPr="0082761D">
          <w:rPr>
            <w:noProof/>
            <w:sz w:val="21"/>
            <w:szCs w:val="21"/>
            <w:lang w:val="zh-CN"/>
          </w:rPr>
          <w:t>1</w:t>
        </w:r>
        <w:r w:rsidRPr="005D4773">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275" w:rsidRDefault="00731275" w:rsidP="00801133">
      <w:pPr>
        <w:ind w:firstLine="480"/>
      </w:pPr>
      <w:r>
        <w:separator/>
      </w:r>
    </w:p>
    <w:p w:rsidR="00731275" w:rsidRDefault="00731275">
      <w:pPr>
        <w:ind w:firstLine="480"/>
      </w:pPr>
    </w:p>
  </w:footnote>
  <w:footnote w:type="continuationSeparator" w:id="0">
    <w:p w:rsidR="00731275" w:rsidRDefault="00731275" w:rsidP="00801133">
      <w:pPr>
        <w:ind w:firstLine="480"/>
      </w:pPr>
      <w:r>
        <w:continuationSeparator/>
      </w:r>
    </w:p>
    <w:p w:rsidR="00731275" w:rsidRDefault="00731275">
      <w:pPr>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A52905">
    <w:pPr>
      <w:pStyle w:val="a3"/>
      <w:pBdr>
        <w:bottom w:val="none" w:sz="0" w:space="0" w:color="auto"/>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A52905">
    <w:pPr>
      <w:pStyle w:val="a3"/>
      <w:pBdr>
        <w:bottom w:val="none" w:sz="0" w:space="0" w:color="auto"/>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pStyle w:val="a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E0066A" w:rsidRDefault="00214128" w:rsidP="00AD5EF1">
    <w:pPr>
      <w:pStyle w:val="a3"/>
      <w:pBdr>
        <w:bottom w:val="thickThinMediumGap" w:sz="18" w:space="1" w:color="auto"/>
      </w:pBdr>
      <w:ind w:firstLine="420"/>
      <w:rPr>
        <w:sz w:val="21"/>
        <w:szCs w:val="21"/>
      </w:rPr>
    </w:pPr>
    <w:r>
      <w:rPr>
        <w:rFonts w:hint="eastAsia"/>
        <w:sz w:val="21"/>
        <w:szCs w:val="21"/>
      </w:rPr>
      <w:t>哈尔滨工程大学本科生毕业论文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pPr>
      <w:ind w:firstLine="480"/>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Default="00214128" w:rsidP="00B01F01">
    <w:pPr>
      <w:pStyle w:val="a3"/>
      <w:pBdr>
        <w:bottom w:val="thickThinSmallGap" w:sz="24" w:space="1" w:color="auto"/>
      </w:pBdr>
      <w:ind w:firstLineChars="0" w:firstLine="0"/>
      <w:rPr>
        <w:sz w:val="21"/>
        <w:szCs w:val="21"/>
      </w:rPr>
    </w:pPr>
    <w:r>
      <w:rPr>
        <w:rFonts w:hint="eastAsia"/>
        <w:sz w:val="21"/>
        <w:szCs w:val="21"/>
      </w:rPr>
      <w:t>哈尔滨工程大学本科生毕业论文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0" w:color="auto"/>
      </w:pBdr>
      <w:ind w:firstLineChars="0" w:firstLine="0"/>
      <w:rPr>
        <w:sz w:val="21"/>
        <w:szCs w:val="21"/>
      </w:rPr>
    </w:pPr>
    <w:r>
      <w:rPr>
        <w:rFonts w:hint="eastAsia"/>
        <w:sz w:val="21"/>
        <w:szCs w:val="21"/>
      </w:rPr>
      <w:t>论文题目</w:t>
    </w:r>
    <w:r w:rsidRPr="00E23679">
      <w:rPr>
        <w:rFonts w:hint="eastAsia"/>
        <w:sz w:val="21"/>
        <w:szCs w:val="21"/>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0" w:color="auto"/>
      </w:pBdr>
      <w:ind w:firstLineChars="0" w:firstLine="0"/>
      <w:rPr>
        <w:sz w:val="21"/>
        <w:szCs w:val="21"/>
      </w:rPr>
    </w:pPr>
    <w:r w:rsidRPr="00686608">
      <w:rPr>
        <w:rFonts w:hint="eastAsia"/>
        <w:sz w:val="21"/>
        <w:szCs w:val="21"/>
      </w:rPr>
      <w:t>第</w:t>
    </w:r>
    <w:r w:rsidR="001560FC">
      <w:rPr>
        <w:sz w:val="21"/>
        <w:szCs w:val="21"/>
      </w:rPr>
      <w:t>1</w:t>
    </w:r>
    <w:r w:rsidRPr="00686608">
      <w:rPr>
        <w:rFonts w:hint="eastAsia"/>
        <w:sz w:val="21"/>
        <w:szCs w:val="21"/>
      </w:rPr>
      <w:t>章</w:t>
    </w:r>
    <w:r w:rsidRPr="00686608">
      <w:rPr>
        <w:rFonts w:hint="eastAsia"/>
        <w:sz w:val="21"/>
        <w:szCs w:val="21"/>
      </w:rPr>
      <w:t xml:space="preserve"> </w:t>
    </w:r>
    <w:r w:rsidR="001560FC">
      <w:rPr>
        <w:rFonts w:hint="eastAsia"/>
        <w:sz w:val="21"/>
        <w:szCs w:val="21"/>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60FC" w:rsidRPr="00686608" w:rsidRDefault="001560FC" w:rsidP="00B01F01">
    <w:pPr>
      <w:pStyle w:val="a3"/>
      <w:pBdr>
        <w:bottom w:val="thickThinSmallGap" w:sz="24" w:space="0" w:color="auto"/>
      </w:pBdr>
      <w:ind w:firstLineChars="0" w:firstLine="0"/>
      <w:rPr>
        <w:sz w:val="21"/>
        <w:szCs w:val="21"/>
      </w:rPr>
    </w:pPr>
    <w:r w:rsidRPr="00686608">
      <w:rPr>
        <w:rFonts w:hint="eastAsia"/>
        <w:sz w:val="21"/>
        <w:szCs w:val="21"/>
      </w:rPr>
      <w:t>第</w:t>
    </w:r>
    <w:r>
      <w:rPr>
        <w:rFonts w:hint="eastAsia"/>
        <w:sz w:val="21"/>
        <w:szCs w:val="21"/>
      </w:rPr>
      <w:t>2</w:t>
    </w:r>
    <w:r w:rsidRPr="00686608">
      <w:rPr>
        <w:rFonts w:hint="eastAsia"/>
        <w:sz w:val="21"/>
        <w:szCs w:val="21"/>
      </w:rPr>
      <w:t>章</w:t>
    </w:r>
    <w:r w:rsidRPr="00686608">
      <w:rPr>
        <w:rFonts w:hint="eastAsia"/>
        <w:sz w:val="21"/>
        <w:szCs w:val="21"/>
      </w:rPr>
      <w:t xml:space="preserve"> </w:t>
    </w:r>
    <w:r>
      <w:rPr>
        <w:rFonts w:hint="eastAsia"/>
        <w:sz w:val="21"/>
        <w:szCs w:val="21"/>
      </w:rPr>
      <w:t>Word</w:t>
    </w:r>
    <w:r>
      <w:rPr>
        <w:rFonts w:hint="eastAsia"/>
        <w:sz w:val="21"/>
        <w:szCs w:val="21"/>
      </w:rPr>
      <w:t>基本操作和版式设计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第</w:t>
    </w:r>
    <w:r w:rsidRPr="00686608">
      <w:rPr>
        <w:rFonts w:hint="eastAsia"/>
        <w:color w:val="000000"/>
        <w:sz w:val="21"/>
        <w:szCs w:val="21"/>
      </w:rPr>
      <w:t>3</w:t>
    </w:r>
    <w:r w:rsidRPr="00686608">
      <w:rPr>
        <w:rFonts w:hint="eastAsia"/>
        <w:color w:val="000000"/>
        <w:sz w:val="21"/>
        <w:szCs w:val="21"/>
      </w:rPr>
      <w:t>章</w:t>
    </w:r>
    <w:r w:rsidRPr="00686608">
      <w:rPr>
        <w:rFonts w:hint="eastAsia"/>
        <w:color w:val="000000"/>
        <w:sz w:val="21"/>
        <w:szCs w:val="21"/>
      </w:rPr>
      <w:t xml:space="preserve"> </w:t>
    </w:r>
    <w:r w:rsidRPr="00214128">
      <w:rPr>
        <w:rFonts w:hint="eastAsia"/>
        <w:color w:val="000000"/>
        <w:sz w:val="21"/>
        <w:szCs w:val="21"/>
      </w:rPr>
      <w:t>论文书写和格式规范</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E23679">
      <w:rPr>
        <w:rFonts w:hint="eastAsia"/>
        <w:color w:val="000000"/>
        <w:sz w:val="21"/>
        <w:szCs w:val="21"/>
      </w:rPr>
      <w:t>结</w:t>
    </w:r>
    <w:r w:rsidRPr="00E23679">
      <w:rPr>
        <w:rFonts w:hint="eastAsia"/>
        <w:color w:val="000000"/>
        <w:sz w:val="21"/>
        <w:szCs w:val="21"/>
      </w:rPr>
      <w:t xml:space="preserve"> </w:t>
    </w:r>
    <w:r w:rsidRPr="00E23679">
      <w:rPr>
        <w:color w:val="000000"/>
        <w:sz w:val="21"/>
        <w:szCs w:val="21"/>
      </w:rPr>
      <w:t xml:space="preserve">   </w:t>
    </w:r>
    <w:r w:rsidRPr="00E23679">
      <w:rPr>
        <w:rFonts w:hint="eastAsia"/>
        <w:color w:val="000000"/>
        <w:sz w:val="21"/>
        <w:szCs w:val="21"/>
      </w:rPr>
      <w:t>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C94C88" w:rsidP="00B01F01">
    <w:pPr>
      <w:pStyle w:val="a3"/>
      <w:pBdr>
        <w:bottom w:val="thickThinSmallGap" w:sz="24" w:space="1" w:color="auto"/>
      </w:pBdr>
      <w:ind w:firstLineChars="0" w:firstLine="0"/>
      <w:rPr>
        <w:color w:val="000000"/>
        <w:sz w:val="21"/>
        <w:szCs w:val="21"/>
      </w:rPr>
    </w:pPr>
    <w:r w:rsidRPr="00C94C88">
      <w:rPr>
        <w:rFonts w:hint="eastAsia"/>
        <w:color w:val="000000"/>
        <w:sz w:val="21"/>
        <w:szCs w:val="21"/>
      </w:rPr>
      <w:t>论文题目××××××××××××××××××××</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4128" w:rsidRPr="00686608" w:rsidRDefault="00214128" w:rsidP="00B01F01">
    <w:pPr>
      <w:pStyle w:val="a3"/>
      <w:pBdr>
        <w:bottom w:val="thickThinSmallGap" w:sz="24" w:space="1" w:color="auto"/>
      </w:pBdr>
      <w:ind w:firstLineChars="0" w:firstLine="0"/>
      <w:rPr>
        <w:color w:val="000000"/>
        <w:sz w:val="21"/>
        <w:szCs w:val="21"/>
      </w:rPr>
    </w:pPr>
    <w:r w:rsidRPr="00686608">
      <w:rPr>
        <w:rFonts w:hint="eastAsia"/>
        <w:color w:val="000000"/>
        <w:sz w:val="21"/>
        <w:szCs w:val="21"/>
      </w:rPr>
      <w:t>哈尔滨工程大学本科生毕业论文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9.05pt;height:11.3pt;visibility:visible;mso-wrap-style:square" o:bullet="t">
        <v:imagedata r:id="rId1" o:title=""/>
      </v:shape>
    </w:pict>
  </w:numPicBullet>
  <w:abstractNum w:abstractNumId="0">
    <w:nsid w:val="048F7F4E"/>
    <w:multiLevelType w:val="multilevel"/>
    <w:tmpl w:val="048F7F4E"/>
    <w:lvl w:ilvl="0">
      <w:start w:val="1"/>
      <w:numFmt w:val="japaneseCounting"/>
      <w:lvlText w:val="%1、"/>
      <w:lvlJc w:val="left"/>
      <w:pPr>
        <w:ind w:left="1202" w:hanging="720"/>
      </w:pPr>
      <w:rPr>
        <w:rFonts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1">
    <w:nsid w:val="2A861989"/>
    <w:multiLevelType w:val="hybridMultilevel"/>
    <w:tmpl w:val="A388327C"/>
    <w:lvl w:ilvl="0" w:tplc="292836D8">
      <w:start w:val="1"/>
      <w:numFmt w:val="bullet"/>
      <w:lvlText w:val=""/>
      <w:lvlPicBulletId w:val="0"/>
      <w:lvlJc w:val="left"/>
      <w:pPr>
        <w:tabs>
          <w:tab w:val="num" w:pos="420"/>
        </w:tabs>
        <w:ind w:left="420" w:firstLine="0"/>
      </w:pPr>
      <w:rPr>
        <w:rFonts w:ascii="Symbol" w:hAnsi="Symbol" w:hint="default"/>
      </w:rPr>
    </w:lvl>
    <w:lvl w:ilvl="1" w:tplc="893EB24C" w:tentative="1">
      <w:start w:val="1"/>
      <w:numFmt w:val="bullet"/>
      <w:lvlText w:val=""/>
      <w:lvlJc w:val="left"/>
      <w:pPr>
        <w:tabs>
          <w:tab w:val="num" w:pos="840"/>
        </w:tabs>
        <w:ind w:left="840" w:firstLine="0"/>
      </w:pPr>
      <w:rPr>
        <w:rFonts w:ascii="Symbol" w:hAnsi="Symbol" w:hint="default"/>
      </w:rPr>
    </w:lvl>
    <w:lvl w:ilvl="2" w:tplc="8502FDF2" w:tentative="1">
      <w:start w:val="1"/>
      <w:numFmt w:val="bullet"/>
      <w:lvlText w:val=""/>
      <w:lvlJc w:val="left"/>
      <w:pPr>
        <w:tabs>
          <w:tab w:val="num" w:pos="1260"/>
        </w:tabs>
        <w:ind w:left="1260" w:firstLine="0"/>
      </w:pPr>
      <w:rPr>
        <w:rFonts w:ascii="Symbol" w:hAnsi="Symbol" w:hint="default"/>
      </w:rPr>
    </w:lvl>
    <w:lvl w:ilvl="3" w:tplc="D0107DEC" w:tentative="1">
      <w:start w:val="1"/>
      <w:numFmt w:val="bullet"/>
      <w:lvlText w:val=""/>
      <w:lvlJc w:val="left"/>
      <w:pPr>
        <w:tabs>
          <w:tab w:val="num" w:pos="1680"/>
        </w:tabs>
        <w:ind w:left="1680" w:firstLine="0"/>
      </w:pPr>
      <w:rPr>
        <w:rFonts w:ascii="Symbol" w:hAnsi="Symbol" w:hint="default"/>
      </w:rPr>
    </w:lvl>
    <w:lvl w:ilvl="4" w:tplc="32904B34" w:tentative="1">
      <w:start w:val="1"/>
      <w:numFmt w:val="bullet"/>
      <w:lvlText w:val=""/>
      <w:lvlJc w:val="left"/>
      <w:pPr>
        <w:tabs>
          <w:tab w:val="num" w:pos="2100"/>
        </w:tabs>
        <w:ind w:left="2100" w:firstLine="0"/>
      </w:pPr>
      <w:rPr>
        <w:rFonts w:ascii="Symbol" w:hAnsi="Symbol" w:hint="default"/>
      </w:rPr>
    </w:lvl>
    <w:lvl w:ilvl="5" w:tplc="9594C67E" w:tentative="1">
      <w:start w:val="1"/>
      <w:numFmt w:val="bullet"/>
      <w:lvlText w:val=""/>
      <w:lvlJc w:val="left"/>
      <w:pPr>
        <w:tabs>
          <w:tab w:val="num" w:pos="2520"/>
        </w:tabs>
        <w:ind w:left="2520" w:firstLine="0"/>
      </w:pPr>
      <w:rPr>
        <w:rFonts w:ascii="Symbol" w:hAnsi="Symbol" w:hint="default"/>
      </w:rPr>
    </w:lvl>
    <w:lvl w:ilvl="6" w:tplc="8ACE97BC" w:tentative="1">
      <w:start w:val="1"/>
      <w:numFmt w:val="bullet"/>
      <w:lvlText w:val=""/>
      <w:lvlJc w:val="left"/>
      <w:pPr>
        <w:tabs>
          <w:tab w:val="num" w:pos="2940"/>
        </w:tabs>
        <w:ind w:left="2940" w:firstLine="0"/>
      </w:pPr>
      <w:rPr>
        <w:rFonts w:ascii="Symbol" w:hAnsi="Symbol" w:hint="default"/>
      </w:rPr>
    </w:lvl>
    <w:lvl w:ilvl="7" w:tplc="9D4AAC30" w:tentative="1">
      <w:start w:val="1"/>
      <w:numFmt w:val="bullet"/>
      <w:lvlText w:val=""/>
      <w:lvlJc w:val="left"/>
      <w:pPr>
        <w:tabs>
          <w:tab w:val="num" w:pos="3360"/>
        </w:tabs>
        <w:ind w:left="3360" w:firstLine="0"/>
      </w:pPr>
      <w:rPr>
        <w:rFonts w:ascii="Symbol" w:hAnsi="Symbol" w:hint="default"/>
      </w:rPr>
    </w:lvl>
    <w:lvl w:ilvl="8" w:tplc="3E3A8EF6" w:tentative="1">
      <w:start w:val="1"/>
      <w:numFmt w:val="bullet"/>
      <w:lvlText w:val=""/>
      <w:lvlJc w:val="left"/>
      <w:pPr>
        <w:tabs>
          <w:tab w:val="num" w:pos="3780"/>
        </w:tabs>
        <w:ind w:left="3780" w:firstLine="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bordersDoNotSurroundHeader/>
  <w:bordersDoNotSurroundFooter/>
  <w:proofState w:spelling="clean" w:grammar="clean"/>
  <w:defaultTabStop w:val="420"/>
  <w:evenAndOddHeaders/>
  <w:drawingGridHorizontalSpacing w:val="239"/>
  <w:drawingGridVerticalSpacing w:val="163"/>
  <w:displayHorizontalDrawingGridEvery w:val="0"/>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NE.Ref{035565AD-C7A0-40BA-BC9E-33F6B29E9BC8}" w:val=" ADDIN NE.Ref.{035565AD-C7A0-40BA-BC9E-33F6B29E9BC8}&lt;Citation&gt;&lt;Group&gt;&lt;References&gt;&lt;Item&gt;&lt;ID&gt;585&lt;/ID&gt;&lt;UID&gt;{C1AA2191-39C0-49BD-BBFB-164EF1E9628A}&lt;/UID&gt;&lt;Title&gt;Multiple-trap laser tweezers Raman spectroscopy for simultaneous monitoring of the biological dynamics of multiple individual cells&lt;/Title&gt;&lt;Template&gt;Journal Article&lt;/Template&gt;&lt;Star&gt;0&lt;/Star&gt;&lt;Tag&gt;0&lt;/Tag&gt;&lt;Author&gt;Zhang, Pengfei; Kong, Lingbo; Setlow, Peter; Li, Yong Qing&lt;/Author&gt;&lt;Year&gt;2010&lt;/Year&gt;&lt;Details&gt;&lt;_collection_scope&gt;SCI;SCIE;EI&lt;/_collection_scope&gt;&lt;_created&gt;64795443&lt;/_created&gt;&lt;_impact_factor&gt;   3.776&lt;/_impact_factor&gt;&lt;_issue&gt;20&lt;/_issue&gt;&lt;_journal&gt;Optics Letters&lt;/_journal&gt;&lt;_modified&gt;64795443&lt;/_modified&gt;&lt;_pages&gt;3321&lt;/_pages&gt;&lt;_volume&gt;35&lt;/_volume&gt;&lt;/Details&gt;&lt;Extra&gt;&lt;DBUID&gt;{F96A950B-833F-4880-A151-76DA2D6A2879}&lt;/DBUID&gt;&lt;/Extra&gt;&lt;/Item&gt;&lt;/References&gt;&lt;/Group&gt;&lt;/Citation&gt;_x000a_"/>
    <w:docVar w:name="NE.Ref{035A2B2A-A15B-4046-A641-971AD75F47BC}" w:val=" ADDIN NE.Ref.{035A2B2A-A15B-4046-A641-971AD75F47BC}&lt;Citation&gt;&lt;Group&gt;&lt;References&gt;&lt;Item&gt;&lt;ID&gt;595&lt;/ID&gt;&lt;UID&gt;{4D31B0D2-C2D5-4254-96D8-3E09CE453E7A}&lt;/UID&gt;&lt;Title&gt;Optimized holographic optical traps&lt;/Title&gt;&lt;Template&gt;Patent&lt;/Template&gt;&lt;Star&gt;0&lt;/Star&gt;&lt;Tag&gt;0&lt;/Tag&gt;&lt;Author&gt;Polin, M; Ladavac, K; Lee, S H; Roichman, Y; Grier, D G&lt;/Author&gt;&lt;Year&gt;2005&lt;/Year&gt;&lt;Details&gt;&lt;_created&gt;64795467&lt;/_created&gt;&lt;_modified&gt;64795467&lt;/_modified&gt;&lt;_pages&gt;5831-45&lt;/_pages&gt;&lt;_publisher&gt;Optics Express&lt;/_publisher&gt;&lt;/Details&gt;&lt;Extra&gt;&lt;DBUID&gt;{F96A950B-833F-4880-A151-76DA2D6A2879}&lt;/DBUID&gt;&lt;/Extra&gt;&lt;/Item&gt;&lt;/References&gt;&lt;/Group&gt;&lt;Group&gt;&lt;References&gt;&lt;Item&gt;&lt;ID&gt;596&lt;/ID&gt;&lt;UID&gt;{F5BC72CA-75C3-4B11-B0EE-29BF736DFA17}&lt;/UID&gt;&lt;Title&gt;Synthesis of digital holograms by direct binary search&lt;/Title&gt;&lt;Template&gt;Journal Article&lt;/Template&gt;&lt;Star&gt;0&lt;/Star&gt;&lt;Tag&gt;0&lt;/Tag&gt;&lt;Author&gt;Seldowitz, M A; Allebach, J P; Sweeney, D W&lt;/Author&gt;&lt;Year&gt;1987&lt;/Year&gt;&lt;Details&gt;&lt;_collection_scope&gt;SCI;SCIE;EI&lt;/_collection_scope&gt;&lt;_created&gt;64795471&lt;/_created&gt;&lt;_impact_factor&gt;   1.980&lt;/_impact_factor&gt;&lt;_journal&gt;Applied Optics&lt;/_journal&gt;&lt;_modified&gt;64795471&lt;/_modified&gt;&lt;_volume&gt;26&lt;/_volume&gt;&lt;/Details&gt;&lt;Extra&gt;&lt;DBUID&gt;{F96A950B-833F-4880-A151-76DA2D6A2879}&lt;/DBUID&gt;&lt;/Extra&gt;&lt;/Item&gt;&lt;/References&gt;&lt;/Group&gt;&lt;/Citation&gt;_x000a_"/>
    <w:docVar w:name="NE.Ref{06437219-F6BD-4F27-AF79-3BB11FF2BDAC}" w:val=" ADDIN NE.Ref.{06437219-F6BD-4F27-AF79-3BB11FF2BDAC}&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08D3F413-5A11-43AE-BB32-2C4DFA34AEF3}" w:val=" ADDIN NE.Ref.{08D3F413-5A11-43AE-BB32-2C4DFA34AEF3}&lt;Citation&gt;&lt;Group&gt;&lt;References&gt;&lt;Item&gt;&lt;ID&gt;609&lt;/ID&gt;&lt;UID&gt;{3F09B997-FA31-478C-98F2-A53BC5EEE5CF}&lt;/UID&gt;&lt;Title&gt;A Step-by-step Guide to the Realisation of Advanced Optical Tweezers&lt;/Title&gt;&lt;Template&gt;Journal Article&lt;/Template&gt;&lt;Star&gt;0&lt;/Star&gt;&lt;Tag&gt;0&lt;/Tag&gt;&lt;Author&gt;Pesce, Giuseppe; Volpe, Giorgio; Marago, Onofrio M; Jones, Philip; Gigain, Sylvain; Sasso, Antonio; Volpe, Giovanni&lt;/Author&gt;&lt;Year&gt;2015&lt;/Year&gt;&lt;Details&gt;&lt;_created&gt;64795531&lt;/_created&gt;&lt;_date&gt;0004-01-04&lt;/_date&gt;&lt;_date_display&gt;04&lt;/_date_display&gt;&lt;_doi&gt;10.1364/JOSAB.32.000B84&lt;/_doi&gt;&lt;_journal&gt;Journal of the Optical Society of America B&lt;/_journal&gt;&lt;_modified&gt;64795531&lt;/_modified&gt;&lt;_pages&gt;B84-B98&lt;/_pages&gt;&lt;_volume&gt;32&lt;/_volume&gt;&lt;/Details&gt;&lt;Extra&gt;&lt;DBUID&gt;{F96A950B-833F-4880-A151-76DA2D6A2879}&lt;/DBUID&gt;&lt;/Extra&gt;&lt;/Item&gt;&lt;/References&gt;&lt;/Group&gt;&lt;/Citation&gt;_x000a_"/>
    <w:docVar w:name="NE.Ref{0EA70D9C-B18B-49A2-B484-998E3F26C8FF}" w:val=" ADDIN NE.Ref.{0EA70D9C-B18B-49A2-B484-998E3F26C8FF}&lt;Citation&gt;&lt;Group&gt;&lt;References&gt;&lt;Item&gt;&lt;ID&gt;602&lt;/ID&gt;&lt;UID&gt;{E0948759-A26B-470B-B582-49FDAF91C599}&lt;/UID&gt;&lt;Title&gt;基于液晶空间光调制器的光场调控技术及应用进展(特邀)&lt;/Title&gt;&lt;Template&gt;Journal Article&lt;/Template&gt;&lt;Star&gt;0&lt;/Star&gt;&lt;Tag&gt;0&lt;/Tag&gt;&lt;Author&gt;周源; 李润泽; 于湘华; 严绍辉; 李星; 高文禹; 刘超; 彭彤; 杨延龙; 闵俊伟&lt;/Author&gt;&lt;Year&gt;2021&lt;/Year&gt;&lt;Details&gt;&lt;_collection_scope&gt;CSCD;PKU;EI&lt;/_collection_scope&gt;&lt;_created&gt;64795482&lt;/_created&gt;&lt;_issue&gt;11&lt;/_issue&gt;&lt;_journal&gt;光子学报&lt;/_journal&gt;&lt;_modified&gt;64795482&lt;/_modified&gt;&lt;_pages&gt;32&lt;/_pages&gt;&lt;_volume&gt;50&lt;/_volume&gt;&lt;_translated_author&gt;Zhou, Yuan;Li, Runze;Yu, Xianghua;Yan, Shaohui;Li, Xing;Gao, Wenyu;Liu, Chao;Peng, Tong;Yang, Yanlong;Min, Junwei&lt;/_translated_author&gt;&lt;/Details&gt;&lt;Extra&gt;&lt;DBUID&gt;{F96A950B-833F-4880-A151-76DA2D6A2879}&lt;/DBUID&gt;&lt;/Extra&gt;&lt;/Item&gt;&lt;/References&gt;&lt;/Group&gt;&lt;/Citation&gt;_x000a_"/>
    <w:docVar w:name="NE.Ref{0F9E4B3A-447D-4702-A509-D99F7FA29FC0}" w:val=" ADDIN NE.Ref.{0F9E4B3A-447D-4702-A509-D99F7FA29FC0}&lt;Citation&gt;&lt;Group&gt;&lt;References&gt;&lt;Item&gt;&lt;ID&gt;623&lt;/ID&gt;&lt;UID&gt;{5D247DD5-55E8-4609-99BF-D90A31270591}&lt;/UID&gt;&lt;Title&gt;Direct observation of kinesin stepping by optical trapping interferometry.&lt;/Title&gt;&lt;Template&gt;Journal Article&lt;/Template&gt;&lt;Star&gt;0&lt;/Star&gt;&lt;Tag&gt;0&lt;/Tag&gt;&lt;Author&gt;K, Svoboda; F, Schmidt C; J, Schnapp B; M, Block S&lt;/Author&gt;&lt;Year&gt;1993&lt;/Year&gt;&lt;Details&gt;&lt;_author_adr&gt;Rowland Institute for Science, Cambridge, Massachusetts 02142.&lt;/_author_adr&gt;&lt;_collection_scope&gt;SCI;SCIE&lt;/_collection_scope&gt;&lt;_created&gt;64815294&lt;/_created&gt;&lt;_db_provider&gt;CNKI&lt;/_db_provider&gt;&lt;_impact_factor&gt;  49.962&lt;/_impact_factor&gt;&lt;_isbn&gt;0028-0836&lt;/_isbn&gt;&lt;_issue&gt;6448&lt;/_issue&gt;&lt;_journal&gt;Nature&lt;/_journal&gt;&lt;_modified&gt;64815294&lt;/_modified&gt;&lt;_volume&gt;365&lt;/_volume&gt;&lt;/Details&gt;&lt;Extra&gt;&lt;DBUID&gt;{F96A950B-833F-4880-A151-76DA2D6A2879}&lt;/DBUID&gt;&lt;/Extra&gt;&lt;/Item&gt;&lt;/References&gt;&lt;/Group&gt;&lt;/Citation&gt;_x000a_"/>
    <w:docVar w:name="NE.Ref{12D0E5F9-A018-41C4-A620-E1A4616F3431}" w:val=" ADDIN NE.Ref.{12D0E5F9-A018-41C4-A620-E1A4616F3431}&lt;Citation&gt;&lt;Group&gt;&lt;References&gt;&lt;Item&gt;&lt;ID&gt;574&lt;/ID&gt;&lt;UID&gt;{8B79778C-999A-4104-9E65-C380F3475301}&lt;/UID&gt;&lt;Title&gt;全息光镊&lt;/Title&gt;&lt;Template&gt;Book&lt;/Template&gt;&lt;Star&gt;0&lt;/Star&gt;&lt;Tag&gt;0&lt;/Tag&gt;&lt;Author/&gt;&lt;Year&gt;2015&lt;/Year&gt;&lt;Details&gt;&lt;_created&gt;64795418&lt;/_created&gt;&lt;_modified&gt;64795418&lt;/_modified&gt;&lt;_publisher&gt;全息光镊&lt;/_publisher&gt;&lt;/Details&gt;&lt;Extra&gt;&lt;DBUID&gt;{F96A950B-833F-4880-A151-76DA2D6A2879}&lt;/DBUID&gt;&lt;/Extra&gt;&lt;/Item&gt;&lt;/References&gt;&lt;/Group&gt;&lt;Group&gt;&lt;References&gt;&lt;Item&gt;&lt;ID&gt;575&lt;/ID&gt;&lt;UID&gt;{C7211F21-66D7-43CB-9188-38F81028B39B}&lt;/UID&gt;&lt;Title&gt;Optical trapping&lt;/Title&gt;&lt;Template&gt;Journal Article&lt;/Template&gt;&lt;Star&gt;0&lt;/Star&gt;&lt;Tag&gt;0&lt;/Tag&gt;&lt;Author&gt;Neuman, K C; Block, S M&lt;/Author&gt;&lt;Year&gt;2004&lt;/Year&gt;&lt;Details&gt;&lt;_collection_scope&gt;SCI;SCIE;EI&lt;/_collection_scope&gt;&lt;_created&gt;64795419&lt;/_created&gt;&lt;_impact_factor&gt;   1.523&lt;/_impact_factor&gt;&lt;_issue&gt;9&lt;/_issue&gt;&lt;_journal&gt;Review of Scientific Instruments&lt;/_journal&gt;&lt;_modified&gt;64795419&lt;/_modified&gt;&lt;_pages&gt;2787-2809&lt;/_pages&gt;&lt;_volume&gt;75&lt;/_volume&gt;&lt;/Details&gt;&lt;Extra&gt;&lt;DBUID&gt;{F96A950B-833F-4880-A151-76DA2D6A2879}&lt;/DBUID&gt;&lt;/Extra&gt;&lt;/Item&gt;&lt;/References&gt;&lt;/Group&gt;&lt;/Citation&gt;_x000a_"/>
    <w:docVar w:name="NE.Ref{1D724995-F89A-49F3-88A8-E53377CDA9B4}" w:val=" ADDIN NE.Ref.{1D724995-F89A-49F3-88A8-E53377CDA9B4}&lt;Citation&gt;&lt;Group&gt;&lt;References&gt;&lt;Item&gt;&lt;ID&gt;586&lt;/ID&gt;&lt;UID&gt;{0377D70D-37E0-48CD-8F2F-CDC8EA4EE923}&lt;/UID&gt;&lt;Title&gt;Laser-Scanning Micromanipulation and Spatial Patterning of Fine Particles&lt;/Title&gt;&lt;Template&gt;Journal Article&lt;/Template&gt;&lt;Star&gt;0&lt;/Star&gt;&lt;Tag&gt;0&lt;/Tag&gt;&lt;Author&gt;Sasaki; Keiji; Koshioka; Masanori; Misawa; Hiroaki; Kitamura; Noboru; Masuhara; Hiroshi&lt;/Author&gt;&lt;Year&gt;1991&lt;/Year&gt;&lt;Details&gt;&lt;_created&gt;64795446&lt;/_created&gt;&lt;_journal&gt;Japanese Journal of Applied Physics.pt Letters&lt;/_journal&gt;&lt;_modified&gt;64795446&lt;/_modified&gt;&lt;/Details&gt;&lt;Extra&gt;&lt;DBUID&gt;{F96A950B-833F-4880-A151-76DA2D6A2879}&lt;/DBUID&gt;&lt;/Extra&gt;&lt;/Item&gt;&lt;/References&gt;&lt;/Group&gt;&lt;/Citation&gt;_x000a_"/>
    <w:docVar w:name="NE.Ref{1E6AB985-0389-4CFC-8DF4-4710D1250BAC}" w:val=" ADDIN NE.Ref.{1E6AB985-0389-4CFC-8DF4-4710D1250BAC}&lt;Citation&gt;&lt;Group&gt;&lt;References&gt;&lt;Item&gt;&lt;ID&gt;592&lt;/ID&gt;&lt;UID&gt;{16C55733-5EC1-4C05-9679-A69A79B8B6F7}&lt;/UID&gt;&lt;Title&gt;Fast generation of holographic optical tweezers by random mask encoding of Fourier components&lt;/Title&gt;&lt;Template&gt;Journal Article&lt;/Template&gt;&lt;Star&gt;0&lt;/Star&gt;&lt;Tag&gt;0&lt;/Tag&gt;&lt;Author&gt;Montes-Usategui, M; Pleguezuelos, E; Andilla, J; Martín-Badosa, E&lt;/Author&gt;&lt;Year&gt;2006&lt;/Year&gt;&lt;Details&gt;&lt;_collection_scope&gt;SCI;SCIE;EI&lt;/_collection_scope&gt;&lt;_created&gt;64795462&lt;/_created&gt;&lt;_impact_factor&gt;   3.894&lt;/_impact_factor&gt;&lt;_issue&gt;6&lt;/_issue&gt;&lt;_journal&gt;Optics Express&lt;/_journal&gt;&lt;_modified&gt;64795462&lt;/_modified&gt;&lt;_pages&gt;2101-2107&lt;/_pages&gt;&lt;_volume&gt;14&lt;/_volume&gt;&lt;/Details&gt;&lt;Extra&gt;&lt;DBUID&gt;{F96A950B-833F-4880-A151-76DA2D6A2879}&lt;/DBUID&gt;&lt;/Extra&gt;&lt;/Item&gt;&lt;/References&gt;&lt;/Group&gt;&lt;Group&gt;&lt;References&gt;&lt;Item&gt;&lt;ID&gt;591&lt;/ID&gt;&lt;UID&gt;{E166578E-6CCB-4FFA-AE7C-F263BA10F65C}&lt;/UID&gt;&lt;Title&gt;Random mask encoding of multiplexed phase-only and binary phase-only filters&lt;/Title&gt;&lt;Template&gt;Journal Article&lt;/Template&gt;&lt;Star&gt;0&lt;/Star&gt;&lt;Tag&gt;0&lt;/Tag&gt;&lt;Author&gt;Davis, Jeffrey A; Cottrell, Don M&lt;/Author&gt;&lt;Year&gt;1994&lt;/Year&gt;&lt;Details&gt;&lt;_collection_scope&gt;SCI;SCIE;EI&lt;/_collection_scope&gt;&lt;_created&gt;64795461&lt;/_created&gt;&lt;_impact_factor&gt;   3.776&lt;/_impact_factor&gt;&lt;_issue&gt;7&lt;/_issue&gt;&lt;_journal&gt;Optics Letters&lt;/_journal&gt;&lt;_modified&gt;64795461&lt;/_modified&gt;&lt;_pages&gt;496&lt;/_pages&gt;&lt;_volume&gt;19&lt;/_volume&gt;&lt;/Details&gt;&lt;Extra&gt;&lt;DBUID&gt;{F96A950B-833F-4880-A151-76DA2D6A2879}&lt;/DBUID&gt;&lt;/Extra&gt;&lt;/Item&gt;&lt;/References&gt;&lt;/Group&gt;&lt;/Citation&gt;_x000a_"/>
    <w:docVar w:name="NE.Ref{1FC2AAC1-D85F-4CBD-A1F7-CDBF923BC5BB}" w:val=" ADDIN NE.Ref.{1FC2AAC1-D85F-4CBD-A1F7-CDBF923BC5BB}&lt;Citation&gt;&lt;Group&gt;&lt;References&gt;&lt;Item&gt;&lt;ID&gt;580&lt;/ID&gt;&lt;UID&gt;{1B8150BD-D27D-4706-807C-0A335C1BE46A}&lt;/UID&gt;&lt;Title&gt;Interferometric optical tweezers&lt;/Title&gt;&lt;Template&gt;Journal Article&lt;/Template&gt;&lt;Star&gt;0&lt;/Star&gt;&lt;Tag&gt;0&lt;/Tag&gt;&lt;Author&gt;Chiou, A E; Wen, W; Sonek, G J; Hong, J; Berns, M W&lt;/Author&gt;&lt;Year&gt;1996&lt;/Year&gt;&lt;Details&gt;&lt;_created&gt;64795429&lt;/_created&gt;&lt;_journal&gt;Optics and Photonics News&lt;/_journal&gt;&lt;_modified&gt;64795429&lt;/_modified&gt;&lt;/Details&gt;&lt;Extra&gt;&lt;DBUID&gt;{F96A950B-833F-4880-A151-76DA2D6A2879}&lt;/DBUID&gt;&lt;/Extra&gt;&lt;/Item&gt;&lt;/References&gt;&lt;/Group&gt;&lt;/Citation&gt;_x000a_"/>
    <w:docVar w:name="NE.Ref{238FC440-2B68-457B-BCF5-D25193536020}" w:val=" ADDIN NE.Ref.{238FC440-2B68-457B-BCF5-D25193536020}&lt;Citation&gt;&lt;Group&gt;&lt;References&gt;&lt;Item&gt;&lt;ID&gt;578&lt;/ID&gt;&lt;UID&gt;{27CFE7DF-7984-4533-8DBF-15EE84CCA9B5}&lt;/UID&gt;&lt;Title&gt;Optical manipulation of microscopic objects by means of vertical-cavity surface-emitting laser array sources&lt;/Title&gt;&lt;Template&gt;Journal Article&lt;/Template&gt;&lt;Star&gt;0&lt;/Star&gt;&lt;Tag&gt;0&lt;/Tag&gt;&lt;Author&gt;Ogura, Yusuke; Kagawa, Keiichiro; Tanida, Jun&lt;/Author&gt;&lt;Year&gt;2001&lt;/Year&gt;&lt;Details&gt;&lt;_collection_scope&gt;SCI;SCIE;EI&lt;/_collection_scope&gt;&lt;_created&gt;64795426&lt;/_created&gt;&lt;_impact_factor&gt;   1.980&lt;/_impact_factor&gt;&lt;_issue&gt;30&lt;/_issue&gt;&lt;_journal&gt;Applied Optics&lt;/_journal&gt;&lt;_modified&gt;64795426&lt;/_modified&gt;&lt;_pages&gt;5430-5&lt;/_pages&gt;&lt;_volume&gt;40&lt;/_volume&gt;&lt;/Details&gt;&lt;Extra&gt;&lt;DBUID&gt;{F96A950B-833F-4880-A151-76DA2D6A2879}&lt;/DBUID&gt;&lt;/Extra&gt;&lt;/Item&gt;&lt;/References&gt;&lt;/Group&gt;&lt;/Citation&gt;_x000a_"/>
    <w:docVar w:name="NE.Ref{2D8923DB-A20F-4BC3-BDC6-7FB1C4FEA874}" w:val=" ADDIN NE.Ref.{2D8923DB-A20F-4BC3-BDC6-7FB1C4FEA874}&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3320D044-B8D9-4F50-A44B-21D67287BB26}" w:val=" ADDIN NE.Ref.{3320D044-B8D9-4F50-A44B-21D67287BB26}&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3D1BA908-2400-4269-B301-52B44ADD44F4}" w:val=" ADDIN NE.Ref.{3D1BA908-2400-4269-B301-52B44ADD44F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Citation&gt;_x000a_"/>
    <w:docVar w:name="NE.Ref{3D4DF1D2-AA68-4DA2-AA2E-5F8D089ACFF2}" w:val=" ADDIN NE.Ref.{3D4DF1D2-AA68-4DA2-AA2E-5F8D089ACFF2}&lt;Citation&gt;&lt;Group&gt;&lt;References&gt;&lt;Item&gt;&lt;ID&gt;629&lt;/ID&gt;&lt;UID&gt;{79BD9FCC-EE3D-46B0-A6F4-4C60F3BA617E}&lt;/UID&gt;&lt;Title&gt;Single-molecule biomechanics with optical methods&lt;/Title&gt;&lt;Template&gt;Journal Article&lt;/Template&gt;&lt;Star&gt;0&lt;/Star&gt;&lt;Tag&gt;0&lt;/Tag&gt;&lt;Author&gt;Mehta, A D; Rief, M; Spudich, J A; Smith, D A; Simmons, R M&lt;/Author&gt;&lt;Year&gt;2019&lt;/Year&gt;&lt;Details&gt;&lt;_created&gt;64845903&lt;/_created&gt;&lt;_issue&gt;5408&lt;/_issue&gt;&lt;_journal&gt;Science (New York, N.Y.)&lt;/_journal&gt;&lt;_modified&gt;64845903&lt;/_modified&gt;&lt;_pages&gt;1689-95页&lt;/_pages&gt;&lt;_volume&gt;1999年283卷5408期&lt;/_volume&gt;&lt;/Details&gt;&lt;Extra&gt;&lt;DBUID&gt;{F96A950B-833F-4880-A151-76DA2D6A2879}&lt;/DBUID&gt;&lt;/Extra&gt;&lt;/Item&gt;&lt;/References&gt;&lt;/Group&gt;&lt;/Citation&gt;_x000a_"/>
    <w:docVar w:name="NE.Ref{4253CC93-8D51-4C66-970B-E6AAC549A5A3}" w:val=" ADDIN NE.Ref.{4253CC93-8D51-4C66-970B-E6AAC549A5A3}&lt;Citation&gt;&lt;Group&gt;&lt;References&gt;&lt;Item&gt;&lt;ID&gt;583&lt;/ID&gt;&lt;UID&gt;{25D937C2-4478-4591-AA87-3F55F8CDE481}&lt;/UID&gt;&lt;Title&gt;Optical vortex beam shaping by use of highly efficient irregular spiral phase plates for optical micromanipulation&lt;/Title&gt;&lt;Template&gt;Journal Article&lt;/Template&gt;&lt;Star&gt;0&lt;/Star&gt;&lt;Tag&gt;0&lt;/Tag&gt;&lt;Author&gt;Lee, W M; Yuan, X C; Cheong, W C&lt;/Author&gt;&lt;Year&gt;2004&lt;/Year&gt;&lt;Details&gt;&lt;_collection_scope&gt;SCI;SCIE;EI&lt;/_collection_scope&gt;&lt;_created&gt;64795435&lt;/_created&gt;&lt;_impact_factor&gt;   3.776&lt;/_impact_factor&gt;&lt;_issue&gt;15&lt;/_issue&gt;&lt;_journal&gt;Optics Letters&lt;/_journal&gt;&lt;_modified&gt;64795435&lt;/_modified&gt;&lt;_pages&gt;1796-1798&lt;/_pages&gt;&lt;_volume&gt;29&lt;/_volume&gt;&lt;/Details&gt;&lt;Extra&gt;&lt;DBUID&gt;{F96A950B-833F-4880-A151-76DA2D6A2879}&lt;/DBUID&gt;&lt;/Extra&gt;&lt;/Item&gt;&lt;/References&gt;&lt;/Group&gt;&lt;Group&gt;&lt;References&gt;&lt;Item&gt;&lt;ID&gt;584&lt;/ID&gt;&lt;UID&gt;{58B694E6-BDC3-425E-8062-37DC75A0D7F4}&lt;/UID&gt;&lt;Title&gt;Electron beam fabrication of computer-generated holograms&lt;/Title&gt;&lt;Template&gt;Journal Article&lt;/Template&gt;&lt;Star&gt;0&lt;/Star&gt;&lt;Tag&gt;0&lt;/Tag&gt;&lt;Author&gt;Arnold, S M&lt;/Author&gt;&lt;Year&gt;2001&lt;/Year&gt;&lt;Details&gt;&lt;_created&gt;64795440&lt;/_created&gt;&lt;_modified&gt;64795440&lt;/_modified&gt;&lt;/Details&gt;&lt;Extra&gt;&lt;DBUID&gt;{F96A950B-833F-4880-A151-76DA2D6A2879}&lt;/DBUID&gt;&lt;/Extra&gt;&lt;/Item&gt;&lt;/References&gt;&lt;/Group&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collection_scope&gt;EI&lt;/_collection_scope&gt;&lt;_created&gt;64795532&lt;/_created&gt;&lt;_date&gt;0001-01-01&lt;/_date&gt;&lt;_date_display&gt;01&lt;/_date_display&gt;&lt;_doi&gt;10.1117/12.571969&lt;/_doi&gt;&lt;_journal&gt;Proceedings of SPIE - The International Society for Optical Engineering&lt;/_journal&gt;&lt;_modified&gt;64848182&lt;/_modified&gt;&lt;_volume&gt;5636&lt;/_volume&gt;&lt;_accessed&gt;64848185&lt;/_accessed&gt;&lt;/Details&gt;&lt;Extra&gt;&lt;DBUID&gt;{F96A950B-833F-4880-A151-76DA2D6A2879}&lt;/DBUID&gt;&lt;/Extra&gt;&lt;/Item&gt;&lt;/References&gt;&lt;/Group&gt;&lt;/Citation&gt;_x000a_"/>
    <w:docVar w:name="NE.Ref{471AFB6D-3E57-4F79-916E-B07D42C9CA84}" w:val=" ADDIN NE.Ref.{471AFB6D-3E57-4F79-916E-B07D42C9CA84}&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db_provider&gt;CNKI&lt;/_db_provider&gt;&lt;_isbn&gt;0146-9592&lt;/_isbn&gt;&lt;_issue&gt;9&lt;/_issue&gt;&lt;_journal&gt;Optics letters&lt;/_journal&gt;&lt;_volume&gt;28&lt;/_volume&gt;&lt;_created&gt;64839880&lt;/_created&gt;&lt;_modified&gt;64839880&lt;/_modified&gt;&lt;_impact_factor&gt;   3.776&lt;/_impact_factor&gt;&lt;_collection_scope&gt;SCI;SCIE;EI&lt;/_collection_scope&gt;&lt;/Details&gt;&lt;Extra&gt;&lt;DBUID&gt;{F96A950B-833F-4880-A151-76DA2D6A2879}&lt;/DBUID&gt;&lt;/Extra&gt;&lt;/Item&gt;&lt;/References&gt;&lt;/Group&gt;&lt;/Citation&gt;_x000a_"/>
    <w:docVar w:name="NE.Ref{4D0CE8D8-5BC5-43C9-9DED-890F28930142}" w:val=" ADDIN NE.Ref.{4D0CE8D8-5BC5-43C9-9DED-890F28930142}&lt;Citation&gt;&lt;Group&gt;&lt;References&gt;&lt;Item&gt;&lt;ID&gt;619&lt;/ID&gt;&lt;UID&gt;{42A3C16F-4A39-41EE-89B1-C36EC40F7F1A}&lt;/UID&gt;&lt;Title&gt;Large deformation of living cells using laser traps&lt;/Title&gt;&lt;Template&gt;Journal Article&lt;/Template&gt;&lt;Star&gt;0&lt;/Star&gt;&lt;Tag&gt;0&lt;/Tag&gt;&lt;Author&gt;Chew, C T Lim And&lt;/Author&gt;&lt;Year&gt;2004&lt;/Year&gt;&lt;Details&gt;&lt;_collection_scope&gt;SCI;SCIE;EI&lt;/_collection_scope&gt;&lt;_created&gt;64814137&lt;/_created&gt;&lt;_impact_factor&gt;   8.203&lt;/_impact_factor&gt;&lt;_journal&gt;Acta Materialia&lt;/_journal&gt;&lt;_modified&gt;64814137&lt;/_modified&gt;&lt;/Details&gt;&lt;Extra&gt;&lt;DBUID&gt;{F96A950B-833F-4880-A151-76DA2D6A2879}&lt;/DBUID&gt;&lt;/Extra&gt;&lt;/Item&gt;&lt;/References&gt;&lt;/Group&gt;&lt;/Citation&gt;_x000a_"/>
    <w:docVar w:name="NE.Ref{52EF0A02-8DD8-48E5-AB31-24BDE31F801F}" w:val=" ADDIN NE.Ref.{52EF0A02-8DD8-48E5-AB31-24BDE31F801F}&lt;Citation&gt;&lt;Group&gt;&lt;References&gt;&lt;Item&gt;&lt;ID&gt;630&lt;/ID&gt;&lt;UID&gt;{8A5051E9-F2E3-45E4-82D4-6900D12FD360}&lt;/UID&gt;&lt;Title&gt;Dynamic holographic 3-D image projection.&lt;/Title&gt;&lt;Template&gt;Journal Article&lt;/Template&gt;&lt;Star&gt;0&lt;/Star&gt;&lt;Tag&gt;0&lt;/Tag&gt;&lt;Author&gt;Michael, Huebschman; Bala, Munjuluri; Harold, Garner&lt;/Author&gt;&lt;Year&gt;2003&lt;/Year&gt;&lt;Details&gt;&lt;_collection_scope&gt;SCI;SCIE;EI&lt;/_collection_scope&gt;&lt;_created&gt;64846869&lt;/_created&gt;&lt;_db_provider&gt;CNKI&lt;/_db_provider&gt;&lt;_impact_factor&gt;   3.894&lt;/_impact_factor&gt;&lt;_issue&gt;5&lt;/_issue&gt;&lt;_journal&gt;Optics express&lt;/_journal&gt;&lt;_modified&gt;64846869&lt;/_modified&gt;&lt;_volume&gt;11&lt;/_volume&gt;&lt;/Details&gt;&lt;Extra&gt;&lt;DBUID&gt;{F96A950B-833F-4880-A151-76DA2D6A2879}&lt;/DBUID&gt;&lt;/Extra&gt;&lt;/Item&gt;&lt;/References&gt;&lt;/Group&gt;&lt;/Citation&gt;_x000a_"/>
    <w:docVar w:name="NE.Ref{5316B450-CED0-4020-A24D-4129A950A124}" w:val=" ADDIN NE.Ref.{5316B450-CED0-4020-A24D-4129A950A124}&lt;Citation&gt;&lt;Group&gt;&lt;References&gt;&lt;Item&gt;&lt;ID&gt;613&lt;/ID&gt;&lt;UID&gt;{FAB1AF94-6D0E-4A34-8C81-95B0D48664F2}&lt;/UID&gt;&lt;Title&gt;Tapered fiber optical tweezers for microscopic particle trapping: fabrication and application.&lt;/Title&gt;&lt;Template&gt;Journal Article&lt;/Template&gt;&lt;Star&gt;0&lt;/Star&gt;&lt;Tag&gt;0&lt;/Tag&gt;&lt;Author&gt;Zhihai, Liu; Chengkai, Guo; Jun, Yang; Libo, Yuan&lt;/Author&gt;&lt;Year&gt;2006&lt;/Year&gt;&lt;Details&gt;&lt;_collection_scope&gt;SCI;SCIE;EI&lt;/_collection_scope&gt;&lt;_created&gt;64796611&lt;/_created&gt;&lt;_db_provider&gt;CNKI&lt;/_db_provider&gt;&lt;_impact_factor&gt;   3.894&lt;/_impact_factor&gt;&lt;_issue&gt;25&lt;/_issue&gt;&lt;_journal&gt;Optics express&lt;/_journal&gt;&lt;_modified&gt;64796611&lt;/_modified&gt;&lt;_volume&gt;14&lt;/_volume&gt;&lt;/Details&gt;&lt;Extra&gt;&lt;DBUID&gt;{F96A950B-833F-4880-A151-76DA2D6A2879}&lt;/DBUID&gt;&lt;/Extra&gt;&lt;/Item&gt;&lt;/References&gt;&lt;/Group&gt;&lt;/Citation&gt;_x000a_"/>
    <w:docVar w:name="NE.Ref{57DF5D50-0687-48F6-A387-2E08D988DA80}" w:val=" ADDIN NE.Ref.{57DF5D50-0687-48F6-A387-2E08D988DA80}&lt;Citation&gt;&lt;Group&gt;&lt;References&gt;&lt;Item&gt;&lt;ID&gt;590&lt;/ID&gt;&lt;UID&gt;{57D86934-D3BD-423C-B26A-616079ED7FB1}&lt;/UID&gt;&lt;Title&gt;Introduction to Fourier optics&lt;/Title&gt;&lt;Template&gt;Journal Article&lt;/Template&gt;&lt;Star&gt;0&lt;/Star&gt;&lt;Tag&gt;0&lt;/Tag&gt;&lt;Author&gt;Goodman, J W&lt;/Author&gt;&lt;Year&gt;1968&lt;/Year&gt;&lt;Details&gt;&lt;_created&gt;64795457&lt;/_created&gt;&lt;_journal&gt;McGraw-Hill&lt;/_journal&gt;&lt;_modified&gt;64795457&lt;/_modified&gt;&lt;/Details&gt;&lt;Extra&gt;&lt;DBUID&gt;{F96A950B-833F-4880-A151-76DA2D6A2879}&lt;/DBUID&gt;&lt;/Extra&gt;&lt;/Item&gt;&lt;/References&gt;&lt;/Group&gt;&lt;/Citation&gt;_x000a_"/>
    <w:docVar w:name="NE.Ref{62AB1FF7-0791-4F91-8FDB-EC7224A5AFE6}" w:val=" ADDIN NE.Ref.{62AB1FF7-0791-4F91-8FDB-EC7224A5AFE6}&lt;Citation&gt;&lt;Group&gt;&lt;References&gt;&lt;Item&gt;&lt;ID&gt;589&lt;/ID&gt;&lt;UID&gt;{60082D47-5585-4EAE-906A-771B390B77AA}&lt;/UID&gt;&lt;Title&gt;A new microscopic principle.&lt;/Title&gt;&lt;Template&gt;Journal Article&lt;/Template&gt;&lt;Star&gt;0&lt;/Star&gt;&lt;Tag&gt;0&lt;/Tag&gt;&lt;Author&gt;Gabor, D&lt;/Author&gt;&lt;Year&gt;1948&lt;/Year&gt;&lt;Details&gt;&lt;_collection_scope&gt;SCI;SCIE&lt;/_collection_scope&gt;&lt;_created&gt;64795456&lt;/_created&gt;&lt;_impact_factor&gt;  49.962&lt;/_impact_factor&gt;&lt;_journal&gt;Nature&lt;/_journal&gt;&lt;_modified&gt;64795456&lt;/_modified&gt;&lt;_volume&gt;161&lt;/_volume&gt;&lt;/Details&gt;&lt;Extra&gt;&lt;DBUID&gt;{F96A950B-833F-4880-A151-76DA2D6A2879}&lt;/DBUID&gt;&lt;/Extra&gt;&lt;/Item&gt;&lt;/References&gt;&lt;/Group&gt;&lt;/Citation&gt;_x000a_"/>
    <w:docVar w:name="NE.Ref{6963CE78-5E7E-41DD-A456-2C9E322EEA27}" w:val=" ADDIN NE.Ref.{6963CE78-5E7E-41DD-A456-2C9E322EEA27}&lt;Citation&gt;&lt;Group&gt;&lt;References&gt;&lt;Item&gt;&lt;ID&gt;603&lt;/ID&gt;&lt;UID&gt;{EBFDC45B-591E-4D36-A95B-CFEC3D2216DA}&lt;/UID&gt;&lt;Title&gt;Construction of multiple-beam optical traps with nanometer-resolution position sensing&lt;/Title&gt;&lt;Template&gt;Journal Article&lt;/Template&gt;&lt;Star&gt;0&lt;/Star&gt;&lt;Tag&gt;0&lt;/Tag&gt;&lt;Author&gt;Visscher, K; Gross, S P&lt;/Author&gt;&lt;Year&gt;1996&lt;/Year&gt;&lt;Details&gt;&lt;_created&gt;64795490&lt;/_created&gt;&lt;_issue&gt;4&lt;/_issue&gt;&lt;_journal&gt;Selected Topics in Quantum Electronics IEEE Journal of&lt;/_journal&gt;&lt;_modified&gt;64795490&lt;/_modified&gt;&lt;_pages&gt;1066-1076&lt;/_pages&gt;&lt;_volume&gt;2&lt;/_volume&gt;&lt;/Details&gt;&lt;Extra&gt;&lt;DBUID&gt;{F96A950B-833F-4880-A151-76DA2D6A2879}&lt;/DBUID&gt;&lt;/Extra&gt;&lt;/Item&gt;&lt;/References&gt;&lt;/Group&gt;&lt;/Citation&gt;_x000a_"/>
    <w:docVar w:name="NE.Ref{69DC1F6F-20C6-4833-8CC1-FD84AB4CB5F5}" w:val=" ADDIN NE.Ref.{69DC1F6F-20C6-4833-8CC1-FD84AB4CB5F5}&lt;Citation&gt;&lt;Group&gt;&lt;References&gt;&lt;Item&gt;&lt;ID&gt;573&lt;/ID&gt;&lt;UID&gt;{D779D2C5-BEF1-4FDD-A879-D2591192610E}&lt;/UID&gt;&lt;Title&gt;Acceleration and Trapping of Particles by Radiation Pressure&lt;/Title&gt;&lt;Template&gt;Journal Article&lt;/Template&gt;&lt;Star&gt;0&lt;/Star&gt;&lt;Tag&gt;0&lt;/Tag&gt;&lt;Author&gt;Ashkin; A.&lt;/Author&gt;&lt;Year&gt;1970&lt;/Year&gt;&lt;Details&gt;&lt;_created&gt;64795414&lt;/_created&gt;&lt;_issue&gt;4&lt;/_issue&gt;&lt;_journal&gt;Phys.rev.lett&lt;/_journal&gt;&lt;_modified&gt;64795414&lt;/_modified&gt;&lt;_pages&gt;156-159&lt;/_pages&gt;&lt;_volume&gt;24&lt;/_volume&gt;&lt;/Details&gt;&lt;Extra&gt;&lt;DBUID&gt;{F96A950B-833F-4880-A151-76DA2D6A2879}&lt;/DBUID&gt;&lt;/Extra&gt;&lt;/Item&gt;&lt;/References&gt;&lt;/Group&gt;&lt;Group&gt;&lt;References&gt;&lt;Item&gt;&lt;ID&gt;572&lt;/ID&gt;&lt;UID&gt;{ACD5B253-E0E0-4799-BB7B-ABA77B8CDFEB}&lt;/UID&gt;&lt;Title&gt;Optical Trapping and Manipulation of Neutral Particles Using Lasers&lt;/Title&gt;&lt;Template&gt;Journal Article&lt;/Template&gt;&lt;Star&gt;0&lt;/Star&gt;&lt;Tag&gt;0&lt;/Tag&gt;&lt;Author&gt;Ashkin, A&lt;/Author&gt;&lt;Year&gt;1999&lt;/Year&gt;&lt;Details&gt;&lt;_created&gt;64795412&lt;/_created&gt;&lt;_journal&gt;Optics &amp;amp; Photonics News&lt;/_journal&gt;&lt;_modified&gt;64795412&lt;/_modified&gt;&lt;/Details&gt;&lt;Extra&gt;&lt;DBUID&gt;{F96A950B-833F-4880-A151-76DA2D6A2879}&lt;/DBUID&gt;&lt;/Extra&gt;&lt;/Item&gt;&lt;/References&gt;&lt;/Group&gt;&lt;/Citation&gt;_x000a_"/>
    <w:docVar w:name="NE.Ref{6C74EB4B-53EC-4F5A-BEAF-6F6EFC9AA4A8}" w:val=" ADDIN NE.Ref.{6C74EB4B-53EC-4F5A-BEAF-6F6EFC9AA4A8}&lt;Citation&gt;&lt;Group&gt;&lt;References&gt;&lt;Item&gt;&lt;ID&gt;625&lt;/ID&gt;&lt;UID&gt;{F2FE4BDC-125B-4343-B6DD-1DD8009CBC90}&lt;/UID&gt;&lt;Title&gt;Deep learning for hologram generation.&lt;/Title&gt;&lt;Template&gt;Journal Article&lt;/Template&gt;&lt;Star&gt;0&lt;/Star&gt;&lt;Tag&gt;0&lt;/Tag&gt;&lt;Author&gt;ShengChi, Liu; Daping, Chu&lt;/Author&gt;&lt;Year&gt;2021&lt;/Year&gt;&lt;Details&gt;&lt;_collection_scope&gt;SCI;SCIE;EI&lt;/_collection_scope&gt;&lt;_created&gt;64839872&lt;/_created&gt;&lt;_db_provider&gt;CNKI&lt;/_db_provider&gt;&lt;_impact_factor&gt;   3.894&lt;/_impact_factor&gt;&lt;_issue&gt;17&lt;/_issue&gt;&lt;_journal&gt;Optics express&lt;/_journal&gt;&lt;_modified&gt;64839872&lt;/_modified&gt;&lt;_volume&gt;29&lt;/_volume&gt;&lt;/Details&gt;&lt;Extra&gt;&lt;DBUID&gt;{F96A950B-833F-4880-A151-76DA2D6A2879}&lt;/DBUID&gt;&lt;/Extra&gt;&lt;/Item&gt;&lt;/References&gt;&lt;/Group&gt;&lt;Group&gt;&lt;References&gt;&lt;Item&gt;&lt;ID&gt;626&lt;/ID&gt;&lt;UID&gt;{0E016CC4-E421-45BE-A603-BAA0C1A92F21}&lt;/UID&gt;&lt;Title&gt;Deep-learning-generated holography.&lt;/Title&gt;&lt;Template&gt;Journal Article&lt;/Template&gt;&lt;Star&gt;0&lt;/Star&gt;&lt;Tag&gt;0&lt;/Tag&gt;&lt;Author&gt;Ryoichi, Horisaki; Ryosuke, Takagi; Jun, Tanida&lt;/Author&gt;&lt;Year&gt;2018&lt;/Year&gt;&lt;Details&gt;&lt;_collection_scope&gt;SCI;SCIE;EI&lt;/_collection_scope&gt;&lt;_created&gt;64839873&lt;/_created&gt;&lt;_db_provider&gt;CNKI&lt;/_db_provider&gt;&lt;_impact_factor&gt;   1.980&lt;/_impact_factor&gt;&lt;_issue&gt;14&lt;/_issue&gt;&lt;_journal&gt;Applied optics&lt;/_journal&gt;&lt;_modified&gt;64839873&lt;/_modified&gt;&lt;_volume&gt;57&lt;/_volume&gt;&lt;/Details&gt;&lt;Extra&gt;&lt;DBUID&gt;{F96A950B-833F-4880-A151-76DA2D6A2879}&lt;/DBUID&gt;&lt;/Extra&gt;&lt;/Item&gt;&lt;/References&gt;&lt;/Group&gt;&lt;/Citation&gt;_x000a_"/>
    <w:docVar w:name="NE.Ref{6FF0AEE1-9E85-462A-B250-0694797AF500}" w:val=" ADDIN NE.Ref.{6FF0AEE1-9E85-462A-B250-0694797AF500}&lt;Citation&gt;&lt;Group&gt;&lt;References&gt;&lt;Item&gt;&lt;ID&gt;579&lt;/ID&gt;&lt;UID&gt;{D23E617D-9F07-41F1-9F78-9AFBE4E90C7C}&lt;/UID&gt;&lt;Title&gt;An imaging fiber-based optical tweezer array for microparticle array assembly&lt;/Title&gt;&lt;Template&gt;Journal Article&lt;/Template&gt;&lt;Star&gt;0&lt;/Star&gt;&lt;Tag&gt;0&lt;/Tag&gt;&lt;Author&gt;Tam, J M; Biran, I; Walt, D R&lt;/Author&gt;&lt;Year&gt;2004&lt;/Year&gt;&lt;Details&gt;&lt;_collection_scope&gt;SCI;SCIE;EI&lt;/_collection_scope&gt;&lt;_created&gt;64795428&lt;/_created&gt;&lt;_impact_factor&gt;   3.791&lt;/_impact_factor&gt;&lt;_issue&gt;21&lt;/_issue&gt;&lt;_journal&gt;Applied Physics Letters&lt;/_journal&gt;&lt;_modified&gt;64795428&lt;/_modified&gt;&lt;_pages&gt;4289-4291&lt;/_pages&gt;&lt;_volume&gt;84&lt;/_volume&gt;&lt;/Details&gt;&lt;Extra&gt;&lt;DBUID&gt;{F96A950B-833F-4880-A151-76DA2D6A2879}&lt;/DBUID&gt;&lt;/Extra&gt;&lt;/Item&gt;&lt;/References&gt;&lt;/Group&gt;&lt;/Citation&gt;_x000a_"/>
    <w:docVar w:name="NE.Ref{7C2AEEC2-CB34-422A-AC9D-7E2864F86313}" w:val=" ADDIN NE.Ref.{7C2AEEC2-CB34-422A-AC9D-7E2864F86313}&lt;Citation&gt;&lt;Group&gt;&lt;References&gt;&lt;Item&gt;&lt;ID&gt;622&lt;/ID&gt;&lt;UID&gt;{A5D819AB-8CDC-4E65-B078-446FF16288BF}&lt;/UID&gt;&lt;Title&gt;Experimental Demonstration of Violations of the Second Law of Thermodynamics for Small Systems and Short Time Scales&lt;/Title&gt;&lt;Template&gt;Journal Article&lt;/Template&gt;&lt;Star&gt;0&lt;/Star&gt;&lt;Tag&gt;0&lt;/Tag&gt;&lt;Author&gt;Wang, G M; Sevick, E M; Mittag, Emil; Searles, Debra J; Evans, Denis J&lt;/Author&gt;&lt;Year&gt;2002&lt;/Year&gt;&lt;Details&gt;&lt;_accessed&gt;64815281&lt;/_accessed&gt;&lt;_collection_scope&gt;SCI;SCIE;EI&lt;/_collection_scope&gt;&lt;_created&gt;64815279&lt;/_created&gt;&lt;_impact_factor&gt;   9.161&lt;/_impact_factor&gt;&lt;_issue&gt;5&lt;/_issue&gt;&lt;_journal&gt;Physical Review Letters&lt;/_journal&gt;&lt;_modified&gt;64815281&lt;/_modified&gt;&lt;_pages&gt;50601-50601&lt;/_pages&gt;&lt;_volume&gt;89&lt;/_volume&gt;&lt;/Details&gt;&lt;Extra&gt;&lt;DBUID&gt;{F96A950B-833F-4880-A151-76DA2D6A2879}&lt;/DBUID&gt;&lt;/Extra&gt;&lt;/Item&gt;&lt;/References&gt;&lt;/Group&gt;&lt;/Citation&gt;_x000a_"/>
    <w:docVar w:name="NE.Ref{7CE71073-C3F1-4066-99F0-6CB009396D3C}" w:val=" ADDIN NE.Ref.{7CE71073-C3F1-4066-99F0-6CB009396D3C}&lt;Citation&gt;&lt;Group&gt;&lt;References&gt;&lt;Item&gt;&lt;ID&gt;612&lt;/ID&gt;&lt;UID&gt;{D47F3871-16F1-486B-B1AE-6EF4C79E1B2A}&lt;/UID&gt;&lt;Title&gt;Demonstration of a fiber-optical light-force trap&lt;/Title&gt;&lt;Template&gt;Journal Article&lt;/Template&gt;&lt;Star&gt;0&lt;/Star&gt;&lt;Tag&gt;0&lt;/Tag&gt;&lt;Author&gt;Constable, A; Kim, J; Mervis, J; Zarinetchi, F; Prentiss, M&lt;/Author&gt;&lt;Year&gt;1993&lt;/Year&gt;&lt;Details&gt;&lt;_collection_scope&gt;SCI;SCIE;EI&lt;/_collection_scope&gt;&lt;_created&gt;64796576&lt;/_created&gt;&lt;_db_provider&gt;CNKI&lt;/_db_provider&gt;&lt;_impact_factor&gt;   3.776&lt;/_impact_factor&gt;&lt;_isbn&gt;0146-9592 (Print); 0146-9592 (Linking)&lt;/_isbn&gt;&lt;_issue&gt;21&lt;/_issue&gt;&lt;_journal&gt;Opt Lett&lt;/_journal&gt;&lt;_modified&gt;64848197&lt;/_modified&gt;&lt;_volume&gt;18&lt;/_volume&gt;&lt;_url&gt;http://www.ncbi.nlm.nih.gov/entrez/query.fcgi?cmd=Retrieve&amp;amp;db=pubmed&amp;amp;dopt=Abstract&amp;amp;list_uids=19829431&amp;amp;query_hl=1&lt;/_url&gt;&lt;_pages&gt;1867-9&lt;/_pages&gt;&lt;_tertiary_title&gt;Optics letters&lt;/_tertiary_title&gt;&lt;_doi&gt;10.1364/ol.18.001867&lt;/_doi&gt;&lt;_date_display&gt;1993 Nov 1&lt;/_date_display&gt;&lt;_date&gt;49351680&lt;/_date&gt;&lt;_type_work&gt;Journal Article&lt;/_type_work&gt;&lt;_accession_num&gt;19829431&lt;/_accession_num&gt;&lt;_language&gt;eng&lt;/_language&gt;&lt;_accessed&gt;64848197&lt;/_accessed&gt;&lt;_db_updated&gt;PubMed&lt;/_db_updated&gt;&lt;/Details&gt;&lt;Extra&gt;&lt;DBUID&gt;{F96A950B-833F-4880-A151-76DA2D6A2879}&lt;/DBUID&gt;&lt;/Extra&gt;&lt;/Item&gt;&lt;/References&gt;&lt;/Group&gt;&lt;/Citation&gt;_x000a_"/>
    <w:docVar w:name="NE.Ref{87579DD0-DD33-45E8-8BF1-992111A90983}" w:val=" ADDIN NE.Ref.{87579DD0-DD33-45E8-8BF1-992111A90983}&lt;Citation&gt;&lt;Group&gt;&lt;References&gt;&lt;Item&gt;&lt;ID&gt;581&lt;/ID&gt;&lt;UID&gt;{C6CAAD39-D7CF-4657-B1CC-EC5A7340C399}&lt;/UID&gt;&lt;Title&gt;Microfabricated-composite-hologram-enabled multiple channel longitudinal optical guiding of microparticles in nondiffracting core of a Bessel beam array&lt;/Title&gt;&lt;Template&gt;Journal Article&lt;/Template&gt;&lt;Star&gt;0&lt;/Star&gt;&lt;Tag&gt;0&lt;/Tag&gt;&lt;Author&gt;Ahluwalia, Bps; Yuan, X C; Tao, S H; Bu, J; Wang, H; Peng, X; Niu, H B&lt;/Author&gt;&lt;Year&gt;2005&lt;/Year&gt;&lt;Details&gt;&lt;_collection_scope&gt;SCI;SCIE;EI&lt;/_collection_scope&gt;&lt;_created&gt;64795432&lt;/_created&gt;&lt;_impact_factor&gt;   3.791&lt;/_impact_factor&gt;&lt;_issue&gt;8&lt;/_issue&gt;&lt;_journal&gt;Applied Physics Letters&lt;/_journal&gt;&lt;_modified&gt;64795432&lt;/_modified&gt;&lt;_pages&gt;5&lt;/_pages&gt;&lt;_volume&gt;87&lt;/_volume&gt;&lt;/Details&gt;&lt;Extra&gt;&lt;DBUID&gt;{F96A950B-833F-4880-A151-76DA2D6A2879}&lt;/DBUID&gt;&lt;/Extra&gt;&lt;/Item&gt;&lt;/References&gt;&lt;/Group&gt;&lt;Group&gt;&lt;References&gt;&lt;Item&gt;&lt;ID&gt;582&lt;/ID&gt;&lt;UID&gt;{1F23C672-55CF-4873-8D8A-E383300EEFF3}&lt;/UID&gt;&lt;Title&gt;Adjustable diffractive spiral phase plates&lt;/Title&gt;&lt;Template&gt;Journal Article&lt;/Template&gt;&lt;Star&gt;0&lt;/Star&gt;&lt;Tag&gt;0&lt;/Tag&gt;&lt;Author&gt;Harm, W; Bernet, S; Ritsch-Marte, M; Harder, I; Lindlein, N&lt;/Author&gt;&lt;Year&gt;2015&lt;/Year&gt;&lt;Details&gt;&lt;_collection_scope&gt;SCI;SCIE;EI&lt;/_collection_scope&gt;&lt;_created&gt;64795433&lt;/_created&gt;&lt;_impact_factor&gt;   3.894&lt;/_impact_factor&gt;&lt;_issue&gt;1&lt;/_issue&gt;&lt;_journal&gt;Optics Express&lt;/_journal&gt;&lt;_modified&gt;64795433&lt;/_modified&gt;&lt;_pages&gt;413-21&lt;/_pages&gt;&lt;_volume&gt;23&lt;/_volume&gt;&lt;/Details&gt;&lt;Extra&gt;&lt;DBUID&gt;{F96A950B-833F-4880-A151-76DA2D6A2879}&lt;/DBUID&gt;&lt;/Extra&gt;&lt;/Item&gt;&lt;/References&gt;&lt;/Group&gt;&lt;/Citation&gt;_x000a_"/>
    <w:docVar w:name="NE.Ref{8AA7654C-E589-4EF4-A945-971A83B241EE}" w:val=" ADDIN NE.Ref.{8AA7654C-E589-4EF4-A945-971A83B241EE}&lt;Citation&gt;&lt;Group&gt;&lt;References&gt;&lt;Item&gt;&lt;ID&gt;608&lt;/ID&gt;&lt;UID&gt;{B4258A94-E76F-4FAB-8E30-57139CC091DD}&lt;/UID&gt;&lt;Title&gt;A Step-by-step Guide to the Realisation of Advanced Optical Tweezers&lt;/Title&gt;&lt;Template&gt;Patent&lt;/Template&gt;&lt;Star&gt;0&lt;/Star&gt;&lt;Tag&gt;0&lt;/Tag&gt;&lt;Author&gt;Pesce, Giuseppe; Volpe, Giorgio; Maragó, Onofrio M; Jones, Philip H; Gigan, Sylvain; Sasso, Antonio; Volpe, Giovanni&lt;/Author&gt;&lt;Year&gt;2015&lt;/Year&gt;&lt;Details&gt;&lt;_pages&gt;B84-B98&lt;/_pages&gt;&lt;_publisher&gt;arXiv&lt;/_publisher&gt;&lt;_created&gt;64795526&lt;/_created&gt;&lt;_modified&gt;64795526&lt;/_modified&gt;&lt;/Details&gt;&lt;Extra&gt;&lt;DBUID&gt;{F96A950B-833F-4880-A151-76DA2D6A2879}&lt;/DBUID&gt;&lt;/Extra&gt;&lt;/Item&gt;&lt;/References&gt;&lt;/Group&gt;&lt;/Citation&gt;_x000a_"/>
    <w:docVar w:name="NE.Ref{8B8E881F-A9DB-431C-8A16-117465AC6A31}" w:val=" ADDIN NE.Ref.{8B8E881F-A9DB-431C-8A16-117465AC6A31}&lt;Citation&gt;&lt;Group&gt;&lt;References&gt;&lt;Item&gt;&lt;ID&gt;598&lt;/ID&gt;&lt;UID&gt;{831CFE79-D7D2-472E-B0A0-F0C7A4B8A221}&lt;/UID&gt;&lt;Title&gt;A practical algorithm for the determination of phase from image and diffraction plane pictures&lt;/Title&gt;&lt;Template&gt;Journal Article&lt;/Template&gt;&lt;Star&gt;0&lt;/Star&gt;&lt;Tag&gt;0&lt;/Tag&gt;&lt;Author&gt;Gerchberg, R W; O., A Saxton W&lt;/Author&gt;&lt;Year&gt;1972&lt;/Year&gt;&lt;Details&gt;&lt;_collection_scope&gt;SCI;SCIE;EI&lt;/_collection_scope&gt;&lt;_created&gt;64795474&lt;/_created&gt;&lt;_impact_factor&gt;   2.443&lt;/_impact_factor&gt;&lt;_journal&gt;Optik&lt;/_journal&gt;&lt;_modified&gt;64795474&lt;/_modified&gt;&lt;_pages&gt;237-250&lt;/_pages&gt;&lt;_volume&gt;35&lt;/_volume&gt;&lt;/Details&gt;&lt;Extra&gt;&lt;DBUID&gt;{F96A950B-833F-4880-A151-76DA2D6A2879}&lt;/DBUID&gt;&lt;/Extra&gt;&lt;/Item&gt;&lt;/References&gt;&lt;/Group&gt;&lt;/Citation&gt;_x000a_"/>
    <w:docVar w:name="NE.Ref{8FAE91AE-BB41-4D5C-B25E-9DFF3E86EB48}" w:val=" ADDIN NE.Ref.{8FAE91AE-BB41-4D5C-B25E-9DFF3E86EB48}&lt;Citation&gt;&lt;Group&gt;&lt;References&gt;&lt;Item&gt;&lt;ID&gt;615&lt;/ID&gt;&lt;UID&gt;{736A39E7-46C6-4CAF-A6DB-3A7E82FB895A}&lt;/UID&gt;&lt;Title&gt;A non-contact single optical fiber multi-optical tweezers probe: Design and fabrication&lt;/Title&gt;&lt;Template&gt;Journal Article&lt;/Template&gt;&lt;Star&gt;0&lt;/Star&gt;&lt;Tag&gt;0&lt;/Tag&gt;&lt;Author&gt;Zhang, Y; Liu, Z; Yang, J; Yuan, L&lt;/Author&gt;&lt;Year&gt;2012&lt;/Year&gt;&lt;Details&gt;&lt;_collection_scope&gt;SCI;SCIE;EI&lt;/_collection_scope&gt;&lt;_created&gt;64796915&lt;/_created&gt;&lt;_impact_factor&gt;   2.310&lt;/_impact_factor&gt;&lt;_issue&gt;20&lt;/_issue&gt;&lt;_journal&gt;Optics Communications&lt;/_journal&gt;&lt;_modified&gt;64796915&lt;/_modified&gt;&lt;_pages&gt;4068–4071&lt;/_pages&gt;&lt;_volume&gt;285&lt;/_volume&gt;&lt;/Details&gt;&lt;Extra&gt;&lt;DBUID&gt;{F96A950B-833F-4880-A151-76DA2D6A2879}&lt;/DBUID&gt;&lt;/Extra&gt;&lt;/Item&gt;&lt;/References&gt;&lt;/Group&gt;&lt;/Citation&gt;_x000a_"/>
    <w:docVar w:name="NE.Ref{9DFA44BC-300E-48CA-A5A5-6C79EC1175BC}" w:val=" ADDIN NE.Ref.{9DFA44BC-300E-48CA-A5A5-6C79EC1175BC}&lt;Citation&gt;&lt;Group&gt;&lt;References&gt;&lt;Item&gt;&lt;ID&gt;618&lt;/ID&gt;&lt;UID&gt;{71E4C969-335E-4324-B9D5-0DAAD39C74E5}&lt;/UID&gt;&lt;Title&gt;3D trapping and manipulation of micro-particles using holographic optical tweezers with optimized computer-generated holograms&lt;/Title&gt;&lt;Template&gt;Journal Article&lt;/Template&gt;&lt;Star&gt;0&lt;/Star&gt;&lt;Tag&gt;0&lt;/Tag&gt;&lt;Author&gt;Tao; Tao; Jing; Li; Qian; Long; Xiaoping; Wu&lt;/Author&gt;&lt;Year&gt;2011&lt;/Year&gt;&lt;Details&gt;&lt;_collection_scope&gt;SCIE;CSCD;EI&lt;/_collection_scope&gt;&lt;_created&gt;64808365&lt;/_created&gt;&lt;_impact_factor&gt;   2.448&lt;/_impact_factor&gt;&lt;_journal&gt;Chinese Optics Letters&lt;/_journal&gt;&lt;_modified&gt;64808365&lt;/_modified&gt;&lt;/Details&gt;&lt;Extra&gt;&lt;DBUID&gt;{F96A950B-833F-4880-A151-76DA2D6A2879}&lt;/DBUID&gt;&lt;/Extra&gt;&lt;/Item&gt;&lt;/References&gt;&lt;/Group&gt;&lt;/Citation&gt;_x000a_"/>
    <w:docVar w:name="NE.Ref{A81E2416-7CAA-4A6A-BBFC-C875CB78DE0A}" w:val=" ADDIN NE.Ref.{A81E2416-7CAA-4A6A-BBFC-C875CB78DE0A}&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collection_scope&gt;SCI;SCIE;EI&lt;/_collection_scope&gt;&lt;_created&gt;64795476&lt;/_created&gt;&lt;_impact_factor&gt;   1.523&lt;/_impact_factor&gt;&lt;_issue&gt;3&lt;/_issue&gt;&lt;_journal&gt;Review of Scientific Instruments&lt;/_journal&gt;&lt;_modified&gt;64795476&lt;/_modified&gt;&lt;_pages&gt;1810-1816&lt;/_pages&gt;&lt;_volume&gt;72&lt;/_volume&gt;&lt;/Details&gt;&lt;Extra&gt;&lt;DBUID&gt;{F96A950B-833F-4880-A151-76DA2D6A2879}&lt;/DBUID&gt;&lt;/Extra&gt;&lt;/Item&gt;&lt;/References&gt;&lt;/Group&gt;&lt;/Citation&gt;_x000a_"/>
    <w:docVar w:name="NE.Ref{ACE56A50-2BE4-49BB-8F94-7AF0ECEE8B86}" w:val=" ADDIN NE.Ref.{ACE56A50-2BE4-49BB-8F94-7AF0ECEE8B86}&lt;Citation&gt;&lt;Group&gt;&lt;References&gt;&lt;Item&gt;&lt;ID&gt;628&lt;/ID&gt;&lt;UID&gt;{1D48AFD0-42D9-4313-972B-96267CFF45C7}&lt;/UID&gt;&lt;Title&gt;Force Effects on Biochemical Kinetics&lt;/Title&gt;&lt;Template&gt;Journal Article&lt;/Template&gt;&lt;Star&gt;0&lt;/Star&gt;&lt;Tag&gt;0&lt;/Tag&gt;&lt;Author&gt;Khan, Shahid; Sheetz, Michael P&lt;/Author&gt;&lt;Year&gt;1997&lt;/Year&gt;&lt;Details&gt;&lt;_author_adr&gt;Department of Physiology and Biophysics, Albert Einstein College of Medicine, 1300 Morris Park Avenue, Bronx, New York 10461  Department of Cell Biology, Duke University Medical Center, Durham, North Carolina 27710&lt;/_author_adr&gt;&lt;_collection_scope&gt;SCI;SCIE&lt;/_collection_scope&gt;&lt;_created&gt;64845894&lt;/_created&gt;&lt;_db_provider&gt;CNKI&lt;/_db_provider&gt;&lt;_impact_factor&gt;  23.643&lt;/_impact_factor&gt;&lt;_isbn&gt;0066-4154&lt;/_isbn&gt;&lt;_issue&gt;1&lt;/_issue&gt;&lt;_journal&gt;Annual Review of Biochemistry&lt;/_journal&gt;&lt;_modified&gt;64845894&lt;/_modified&gt;&lt;_volume&gt;66&lt;/_volume&gt;&lt;/Details&gt;&lt;Extra&gt;&lt;DBUID&gt;{F96A950B-833F-4880-A151-76DA2D6A2879}&lt;/DBUID&gt;&lt;/Extra&gt;&lt;/Item&gt;&lt;/References&gt;&lt;/Group&gt;&lt;/Citation&gt;_x000a_"/>
    <w:docVar w:name="NE.Ref{AD537CAD-D610-455A-8286-241F59FB5BC8}" w:val=" ADDIN NE.Ref.{AD537CAD-D610-455A-8286-241F59FB5BC8}&lt;Citation&gt;&lt;Group&gt;&lt;References&gt;&lt;Item&gt;&lt;ID&gt;600&lt;/ID&gt;&lt;UID&gt;{75D93F0A-1850-4475-840A-103ACE80104C}&lt;/UID&gt;&lt;Title&gt;Computer generation of optimal holograms for optical trap arrays.&lt;/Title&gt;&lt;Template&gt;Journal Article&lt;/Template&gt;&lt;Star&gt;0&lt;/Star&gt;&lt;Tag&gt;0&lt;/Tag&gt;&lt;Author&gt;&amp;quot;Di Leonardo Roberto&amp;quot;; Francesca, Ianni; Giancarlo, Ruocco&lt;/Author&gt;&lt;Year&gt;2007&lt;/Year&gt;&lt;Details&gt;&lt;_collection_scope&gt;SCI;SCIE;EI&lt;/_collection_scope&gt;&lt;_created&gt;64795478&lt;/_created&gt;&lt;_db_provider&gt;CNKI&lt;/_db_provider&gt;&lt;_impact_factor&gt;   3.894&lt;/_impact_factor&gt;&lt;_issue&gt;4&lt;/_issue&gt;&lt;_journal&gt;Optics express&lt;/_journal&gt;&lt;_modified&gt;64795478&lt;/_modified&gt;&lt;_volume&gt;15&lt;/_volume&gt;&lt;/Details&gt;&lt;Extra&gt;&lt;DBUID&gt;{F96A950B-833F-4880-A151-76DA2D6A2879}&lt;/DBUID&gt;&lt;/Extra&gt;&lt;/Item&gt;&lt;/References&gt;&lt;/Group&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Citation&gt;_x000a_"/>
    <w:docVar w:name="NE.Ref{B3ABF8C1-45BB-4A43-9B03-E1336CBE2405}" w:val=" ADDIN NE.Ref.{B3ABF8C1-45BB-4A43-9B03-E1336CBE2405}&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B77704E0-4C4D-4E73-AD87-F88AD1CBB743}" w:val=" ADDIN NE.Ref.{B77704E0-4C4D-4E73-AD87-F88AD1CBB743}&lt;Citation&gt;&lt;Group&gt;&lt;References&gt;&lt;Item&gt;&lt;ID&gt;607&lt;/ID&gt;&lt;UID&gt;{6C18821C-6D37-4A54-88D4-BA14DE006965}&lt;/UID&gt;&lt;Title&gt;基于空间光调制器构建二维任意形状的~(87)Rb原子阵列&lt;/Title&gt;&lt;Template&gt;Journal Article&lt;/Template&gt;&lt;Star&gt;0&lt;/Star&gt;&lt;Tag&gt;0&lt;/Tag&gt;&lt;Author&gt;王良伟; 刘方德; 李云达; 韩伟; 孟增明; 张靖&lt;/Author&gt;&lt;Year&gt;0&lt;/Year&gt;&lt;Details&gt;&lt;_author_adr&gt;山西大学光电研究所量子光学与光量子器件国家重点实验室;极端光学协同创新中心;&lt;/_author_adr&gt;&lt;_created&gt;64795524&lt;/_created&gt;&lt;_db_provider&gt;CNKI&lt;/_db_provider&gt;&lt;_isbn&gt;1000-3290&lt;/_isbn&gt;&lt;_journal&gt;物理学报&lt;/_journal&gt;&lt;_keywords&gt;GSW算法;空间光调制器;光晶格;高分辨率成像&lt;/_keywords&gt;&lt;_modified&gt;64795524&lt;/_modified&gt;&lt;_pages&gt;1-12&lt;/_pages&gt;&lt;_url&gt;https://kns.cnki.net/kcms/detail/11.1958.O4.20230107.1024.003.html&lt;/_url&gt;&lt;_translated_author&gt;Wang, Liangwei;Liu, Fangde;Li, Yunda;Han, Wei;Meng, Zengming;Zhang, Jing&lt;/_translated_author&gt;&lt;/Details&gt;&lt;Extra&gt;&lt;DBUID&gt;{F96A950B-833F-4880-A151-76DA2D6A2879}&lt;/DBUID&gt;&lt;/Extra&gt;&lt;/Item&gt;&lt;/References&gt;&lt;/Group&gt;&lt;Group&gt;&lt;References&gt;&lt;Item&gt;&lt;ID&gt;605&lt;/ID&gt;&lt;UID&gt;{E1179E77-7689-48BC-8B83-3F7CCA04E0D7}&lt;/UID&gt;&lt;Title&gt;全息光镊技术的捕获性能研究与算法优化&lt;/Title&gt;&lt;Template&gt;Thesis&lt;/Template&gt;&lt;Star&gt;0&lt;/Star&gt;&lt;Tag&gt;0&lt;/Tag&gt;&lt;Author&gt;何旻儒&lt;/Author&gt;&lt;Year&gt;0&lt;/Year&gt;&lt;Details&gt;&lt;_created&gt;64795517&lt;/_created&gt;&lt;_modified&gt;64795517&lt;/_modified&gt;&lt;_publisher&gt;中国科学院大学&lt;/_publisher&gt;&lt;_translated_author&gt;He, Minru&lt;/_translated_author&gt;&lt;/Details&gt;&lt;Extra&gt;&lt;DBUID&gt;{F96A950B-833F-4880-A151-76DA2D6A2879}&lt;/DBUID&gt;&lt;/Extra&gt;&lt;/Item&gt;&lt;/References&gt;&lt;/Group&gt;&lt;/Citation&gt;_x000a_"/>
    <w:docVar w:name="NE.Ref{BCC81C46-3191-4BBC-A7A5-675EE0F402C2}" w:val=" ADDIN NE.Ref.{BCC81C46-3191-4BBC-A7A5-675EE0F402C2}&lt;Citation&gt;&lt;Group&gt;&lt;References&gt;&lt;Item&gt;&lt;ID&gt;576&lt;/ID&gt;&lt;UID&gt;{9A372EB9-F243-45FF-8BE2-D29312E0A1F1}&lt;/UID&gt;&lt;Title&gt;Design for fully steerable dual-trap optical tweezers&lt;/Title&gt;&lt;Template&gt;Journal Article&lt;/Template&gt;&lt;Star&gt;0&lt;/Star&gt;&lt;Tag&gt;0&lt;/Tag&gt;&lt;Author&gt;Fllman, Erik; Axner, O&lt;/Author&gt;&lt;Year&gt;1997&lt;/Year&gt;&lt;Details&gt;&lt;_collection_scope&gt;SCI;SCIE;EI&lt;/_collection_scope&gt;&lt;_created&gt;64795423&lt;/_created&gt;&lt;_impact_factor&gt;   1.980&lt;/_impact_factor&gt;&lt;_issue&gt;10&lt;/_issue&gt;&lt;_journal&gt;Applied Optics&lt;/_journal&gt;&lt;_modified&gt;64795423&lt;/_modified&gt;&lt;_pages&gt;2107-13&lt;/_pages&gt;&lt;_volume&gt;36&lt;/_volume&gt;&lt;/Details&gt;&lt;Extra&gt;&lt;DBUID&gt;{F96A950B-833F-4880-A151-76DA2D6A2879}&lt;/DBUID&gt;&lt;/Extra&gt;&lt;/Item&gt;&lt;/References&gt;&lt;/Group&gt;&lt;/Citation&gt;_x000a_"/>
    <w:docVar w:name="NE.Ref{BDA5A394-25F6-4D12-98D7-4C1F4F88D572}" w:val=" ADDIN NE.Ref.{BDA5A394-25F6-4D12-98D7-4C1F4F88D572}&lt;Citation&gt;&lt;Group&gt;&lt;References&gt;&lt;Item&gt;&lt;ID&gt;604&lt;/ID&gt;&lt;UID&gt;{1325AB62-1481-4FEF-985F-502761376866}&lt;/UID&gt;&lt;Title&gt;Trapping performance of holographic optical tweezers generated with different hologram algorithms&lt;/Title&gt;&lt;Template&gt;Journal Article&lt;/Template&gt;&lt;Star&gt;0&lt;/Star&gt;&lt;Tag&gt;0&lt;/Tag&gt;&lt;Author&gt;He, M R; Liang, Y S; Bianco, P R; Wang, Z J; Lei, M&lt;/Author&gt;&lt;Year&gt;2021&lt;/Year&gt;&lt;Details&gt;&lt;_collection_scope&gt;SCIE;EI&lt;/_collection_scope&gt;&lt;_created&gt;64795511&lt;/_created&gt;&lt;_impact_factor&gt;   1.548&lt;/_impact_factor&gt;&lt;_issue&gt;3&lt;/_issue&gt;&lt;_journal&gt;AIP Advances&lt;/_journal&gt;&lt;_modified&gt;64795511&lt;/_modified&gt;&lt;_pages&gt;035130&lt;/_pages&gt;&lt;_volume&gt;11&lt;/_volume&gt;&lt;/Details&gt;&lt;Extra&gt;&lt;DBUID&gt;{F96A950B-833F-4880-A151-76DA2D6A2879}&lt;/DBUID&gt;&lt;/Extra&gt;&lt;/Item&gt;&lt;/References&gt;&lt;/Group&gt;&lt;/Citation&gt;_x000a_"/>
    <w:docVar w:name="NE.Ref{BE9565EC-33BB-459D-9049-DB608F0BE9EA}" w:val=" ADDIN NE.Ref.{BE9565EC-33BB-459D-9049-DB608F0BE9EA}&lt;Citation&gt;&lt;Group&gt;&lt;References&gt;&lt;Item&gt;&lt;ID&gt;588&lt;/ID&gt;&lt;UID&gt;{2D271C90-B142-47BF-A89F-D4B285575F63}&lt;/UID&gt;&lt;Title&gt;Design of a scanning laser optical trap for multiparticle manipulation&lt;/Title&gt;&lt;Template&gt;Journal Article&lt;/Template&gt;&lt;Star&gt;0&lt;/Star&gt;&lt;Tag&gt;0&lt;/Tag&gt;&lt;Author&gt;Mio, C; Gong, T; Terray, A; Marr, Dwm&lt;/Author&gt;&lt;Year&gt;2000&lt;/Year&gt;&lt;Details&gt;&lt;_collection_scope&gt;SCI;SCIE;EI&lt;/_collection_scope&gt;&lt;_created&gt;64795452&lt;/_created&gt;&lt;_impact_factor&gt;   1.523&lt;/_impact_factor&gt;&lt;_issue&gt;5&lt;/_issue&gt;&lt;_journal&gt;Review of Scientific Instruments&lt;/_journal&gt;&lt;_modified&gt;64795452&lt;/_modified&gt;&lt;_pages&gt;2196-2200&lt;/_pages&gt;&lt;_volume&gt;71&lt;/_volume&gt;&lt;/Details&gt;&lt;Extra&gt;&lt;DBUID&gt;{F96A950B-833F-4880-A151-76DA2D6A2879}&lt;/DBUID&gt;&lt;/Extra&gt;&lt;/Item&gt;&lt;/References&gt;&lt;/Group&gt;&lt;/Citation&gt;_x000a_"/>
    <w:docVar w:name="NE.Ref{BFB29727-9375-4AE7-A652-2D5C24DC5BFF}" w:val=" ADDIN NE.Ref.{BFB29727-9375-4AE7-A652-2D5C24DC5BFF}&lt;Citation&gt;&lt;Group&gt;&lt;References&gt;&lt;Item&gt;&lt;ID&gt;593&lt;/ID&gt;&lt;UID&gt;{BD14C21E-7563-4FE2-95E9-693AA9834385}&lt;/UID&gt;&lt;Title&gt;Multi-functional optical tweezers using computer-generated holograms&lt;/Title&gt;&lt;Template&gt;Journal Article&lt;/Template&gt;&lt;Star&gt;0&lt;/Star&gt;&lt;Tag&gt;0&lt;/Tag&gt;&lt;Author&gt;Liesener, J; Reicherter, M; Haist, T; Tiziani, H J&lt;/Author&gt;&lt;Year&gt;2000&lt;/Year&gt;&lt;Details&gt;&lt;_collection_scope&gt;SCI;SCIE;EI&lt;/_collection_scope&gt;&lt;_created&gt;64795464&lt;/_created&gt;&lt;_impact_factor&gt;   2.310&lt;/_impact_factor&gt;&lt;_issue&gt;1-3&lt;/_issue&gt;&lt;_journal&gt;Optics Communications&lt;/_journal&gt;&lt;_modified&gt;64795464&lt;/_modified&gt;&lt;_pages&gt;77-82&lt;/_pages&gt;&lt;_volume&gt;185&lt;/_volume&gt;&lt;/Details&gt;&lt;Extra&gt;&lt;DBUID&gt;{F96A950B-833F-4880-A151-76DA2D6A2879}&lt;/DBUID&gt;&lt;/Extra&gt;&lt;/Item&gt;&lt;/References&gt;&lt;/Group&gt;&lt;/Citation&gt;_x000a_"/>
    <w:docVar w:name="NE.Ref{C1557C7E-5CA1-4815-AE64-3E54C6F8F8D0}" w:val=" ADDIN NE.Ref.{C1557C7E-5CA1-4815-AE64-3E54C6F8F8D0}&lt;Citation&gt;&lt;Group&gt;&lt;References&gt;&lt;Item&gt;&lt;ID&gt;621&lt;/ID&gt;&lt;UID&gt;{118D4659-6767-4399-935A-21DDDD067BBD}&lt;/UID&gt;&lt;Title&gt;Microfluidic sorting in an optical lattice&lt;/Title&gt;&lt;Template&gt;Journal Article&lt;/Template&gt;&lt;Star&gt;0&lt;/Star&gt;&lt;Tag&gt;0&lt;/Tag&gt;&lt;Author&gt;Macdonald, M P; Spalding, G C; Dholakia, K&lt;/Author&gt;&lt;Year&gt;0&lt;/Year&gt;&lt;Details&gt;&lt;_created&gt;64815268&lt;/_created&gt;&lt;_modified&gt;64815268&lt;/_modified&gt;&lt;/Details&gt;&lt;Extra&gt;&lt;DBUID&gt;{F96A950B-833F-4880-A151-76DA2D6A2879}&lt;/DBUID&gt;&lt;/Extra&gt;&lt;/Item&gt;&lt;/References&gt;&lt;/Group&gt;&lt;/Citation&gt;_x000a_"/>
    <w:docVar w:name="NE.Ref{C4E0AC81-2F73-4A68-B7BA-744E2BE792D3}" w:val=" ADDIN NE.Ref.{C4E0AC81-2F73-4A68-B7BA-744E2BE792D3}&lt;Citation&gt;&lt;Group&gt;&lt;References&gt;&lt;Item&gt;&lt;ID&gt;614&lt;/ID&gt;&lt;UID&gt;{0A57C0B3-1306-47ED-87E8-978B9E8EF747}&lt;/UID&gt;&lt;Title&gt;Twin-core fiber optical tweezers&lt;/Title&gt;&lt;Template&gt;Journal Article&lt;/Template&gt;&lt;Star&gt;0&lt;/Star&gt;&lt;Tag&gt;0&lt;/Tag&gt;&lt;Author&gt;Libo, Yuan; Zhihai, Liu; Jun, Yang; Chunying, Guan&lt;/Author&gt;&lt;Year&gt;2008&lt;/Year&gt;&lt;Details&gt;&lt;_collection_scope&gt;SCI;SCIE;EI&lt;/_collection_scope&gt;&lt;_created&gt;64796905&lt;/_created&gt;&lt;_impact_factor&gt;   3.894&lt;/_impact_factor&gt;&lt;_journal&gt;Opt. Express&lt;/_journal&gt;&lt;_modified&gt;64796905&lt;/_modified&gt;&lt;/Details&gt;&lt;Extra&gt;&lt;DBUID&gt;{F96A950B-833F-4880-A151-76DA2D6A2879}&lt;/DBUID&gt;&lt;/Extra&gt;&lt;/Item&gt;&lt;/References&gt;&lt;/Group&gt;&lt;/Citation&gt;_x000a_"/>
    <w:docVar w:name="NE.Ref{C9B835D1-11C3-4196-9CFE-A09FFD9A5560}" w:val=" ADDIN NE.Ref.{C9B835D1-11C3-4196-9CFE-A09FFD9A5560}&lt;Citation&gt;&lt;Group&gt;&lt;References&gt;&lt;Item&gt;&lt;ID&gt;616&lt;/ID&gt;&lt;UID&gt;{75257E37-C0DB-410D-A931-60119FDE3ED0}&lt;/UID&gt;&lt;Title&gt;Computer-generated holograms from 3D-objects written on twisted-nematic liquid crystal displays&lt;/Title&gt;&lt;Template&gt;Journal Article&lt;/Template&gt;&lt;Star&gt;0&lt;/Star&gt;&lt;Tag&gt;0&lt;/Tag&gt;&lt;Author&gt;Haist, T; Schnleber, M; Tiziani, H J&lt;/Author&gt;&lt;Year&gt;1997&lt;/Year&gt;&lt;Details&gt;&lt;_collection_scope&gt;SCI;SCIE;EI&lt;/_collection_scope&gt;&lt;_created&gt;64808230&lt;/_created&gt;&lt;_impact_factor&gt;   2.310&lt;/_impact_factor&gt;&lt;_issue&gt;4–6&lt;/_issue&gt;&lt;_journal&gt;Optics Communications&lt;/_journal&gt;&lt;_modified&gt;64808230&lt;/_modified&gt;&lt;_pages&gt;299-308&lt;/_pages&gt;&lt;_volume&gt;140&lt;/_volume&gt;&lt;/Details&gt;&lt;Extra&gt;&lt;DBUID&gt;{F96A950B-833F-4880-A151-76DA2D6A2879}&lt;/DBUID&gt;&lt;/Extra&gt;&lt;/Item&gt;&lt;/References&gt;&lt;/Group&gt;&lt;/Citation&gt;_x000a_"/>
    <w:docVar w:name="NE.Ref{CB0E3338-0872-472F-9D16-EB505EF40857}" w:val=" ADDIN NE.Ref.{CB0E3338-0872-472F-9D16-EB505EF40857}&lt;Citation&gt;&lt;Group&gt;&lt;References&gt;&lt;Item&gt;&lt;ID&gt;620&lt;/ID&gt;&lt;UID&gt;{3258B338-274A-4E34-818B-6128E9954366}&lt;/UID&gt;&lt;Title&gt;Counter-propagating dual-trap optical tweezers based on linear momentum conservation&lt;/Title&gt;&lt;Template&gt;Journal Article&lt;/Template&gt;&lt;Star&gt;0&lt;/Star&gt;&lt;Tag&gt;0&lt;/Tag&gt;&lt;Author&gt;Ribezzi-Crivellari, M; Huguet, J M; Ritort, F&lt;/Author&gt;&lt;Year&gt;2013&lt;/Year&gt;&lt;Details&gt;&lt;_collection_scope&gt;SCI;SCIE;EI&lt;/_collection_scope&gt;&lt;_created&gt;64814144&lt;/_created&gt;&lt;_impact_factor&gt;   1.523&lt;/_impact_factor&gt;&lt;_issue&gt;4&lt;/_issue&gt;&lt;_journal&gt;Review of Scientific Instruments&lt;/_journal&gt;&lt;_modified&gt;64814144&lt;/_modified&gt;&lt;_pages&gt;205&lt;/_pages&gt;&lt;_volume&gt;84&lt;/_volume&gt;&lt;/Details&gt;&lt;Extra&gt;&lt;DBUID&gt;{F96A950B-833F-4880-A151-76DA2D6A2879}&lt;/DBUID&gt;&lt;/Extra&gt;&lt;/Item&gt;&lt;/References&gt;&lt;/Group&gt;&lt;/Citation&gt;_x000a_"/>
    <w:docVar w:name="NE.Ref{D1992B25-C6A0-4466-B8A4-414DB90F682E}" w:val=" ADDIN NE.Ref.{D1992B25-C6A0-4466-B8A4-414DB90F682E}&lt;Citation&gt;&lt;Group&gt;&lt;References&gt;&lt;Item&gt;&lt;ID&gt;617&lt;/ID&gt;&lt;UID&gt;{9F9AB595-95C6-4077-9D8B-44E64B410038}&lt;/UID&gt;&lt;Title&gt;Interactive application in holographic optical tweezers of a multi-plane Gerchberg-Saxton algorithm for three-dimensional light shaping&lt;/Title&gt;&lt;Template&gt;Journal Article&lt;/Template&gt;&lt;Star&gt;0&lt;/Star&gt;&lt;Tag&gt;0&lt;/Tag&gt;&lt;Author&gt;Sinclair, G; Leach, J; Jordan, P; Gibson, G; Courtial, J&lt;/Author&gt;&lt;Year&gt;2004&lt;/Year&gt;&lt;Details&gt;&lt;_collection_scope&gt;SCI;SCIE;EI&lt;/_collection_scope&gt;&lt;_created&gt;64808338&lt;/_created&gt;&lt;_impact_factor&gt;   3.894&lt;/_impact_factor&gt;&lt;_issue&gt;8&lt;/_issue&gt;&lt;_journal&gt;Optics Express&lt;/_journal&gt;&lt;_modified&gt;64808338&lt;/_modified&gt;&lt;_pages&gt;1665-70&lt;/_pages&gt;&lt;_volume&gt;12&lt;/_volume&gt;&lt;/Details&gt;&lt;Extra&gt;&lt;DBUID&gt;{F96A950B-833F-4880-A151-76DA2D6A2879}&lt;/DBUID&gt;&lt;/Extra&gt;&lt;/Item&gt;&lt;/References&gt;&lt;/Group&gt;&lt;/Citation&gt;_x000a_"/>
    <w:docVar w:name="NE.Ref{D67AEEFC-6C60-4770-99A1-871D34B8059E}" w:val=" ADDIN NE.Ref.{D67AEEFC-6C60-4770-99A1-871D34B8059E}&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7DEBD77-DD90-46DB-8D77-80C8C9D45E1A}" w:val=" ADDIN NE.Ref.{D7DEBD77-DD90-46DB-8D77-80C8C9D45E1A}&lt;Citation&gt;&lt;Group&gt;&lt;References&gt;&lt;Item&gt;&lt;ID&gt;594&lt;/ID&gt;&lt;UID&gt;{94EE6230-A6DD-4B6E-8512-D87CCD444805}&lt;/UID&gt;&lt;Title&gt;The Kinoform: A New Wavefront Reconstruction Device&lt;/Title&gt;&lt;Template&gt;Journal Article&lt;/Template&gt;&lt;Star&gt;0&lt;/Star&gt;&lt;Tag&gt;0&lt;/Tag&gt;&lt;Author&gt;Lesem, L B; Hirsch, P M; Jordan, J A&lt;/Author&gt;&lt;Year&gt;1969&lt;/Year&gt;&lt;Details&gt;&lt;_author_adr&gt;IBM Scientific Center, 6900 Fannin Street, Houston, Texas 77025, USA;IBM Scientific Center, 6900 Fannin Street, Houston, Texas 77025, USA;Department of Physics, Rice University, Houston, Texas 77001, USA&lt;/_author_adr&gt;&lt;_collection_scope&gt;SCI;SCIE;EI&lt;/_collection_scope&gt;&lt;_created&gt;64795466&lt;/_created&gt;&lt;_db_provider&gt;CNKI&lt;/_db_provider&gt;&lt;_impact_factor&gt;   1.889&lt;/_impact_factor&gt;&lt;_isbn&gt;0018-8646&lt;/_isbn&gt;&lt;_issue&gt;2&lt;/_issue&gt;&lt;_journal&gt;IBM Journal of Research and Development&lt;/_journal&gt;&lt;_modified&gt;64795466&lt;/_modified&gt;&lt;_volume&gt;13&lt;/_volume&gt;&lt;/Details&gt;&lt;Extra&gt;&lt;DBUID&gt;{F96A950B-833F-4880-A151-76DA2D6A2879}&lt;/DBUID&gt;&lt;/Extra&gt;&lt;/Item&gt;&lt;/References&gt;&lt;/Group&gt;&lt;/Citation&gt;_x000a_"/>
    <w:docVar w:name="NE.Ref{DC3D7415-DF38-4C5F-A9F9-FC5B74097C1B}" w:val=" ADDIN NE.Ref.{DC3D7415-DF38-4C5F-A9F9-FC5B74097C1B}&lt;Citation&gt;&lt;Group&gt;&lt;References&gt;&lt;Item&gt;&lt;ID&gt;624&lt;/ID&gt;&lt;UID&gt;{278D79BB-5D9C-4CAF-BCFC-B6939725F1D0}&lt;/UID&gt;&lt;Title&gt;Reducing crosstalk of a multi-plane holographic display by the time-multiplexing stochastic gradient descent.&lt;/Title&gt;&lt;Template&gt;Journal Article&lt;/Template&gt;&lt;Star&gt;0&lt;/Star&gt;&lt;Tag&gt;0&lt;/Tag&gt;&lt;Author&gt;Zi, Wang; Tao, Chen; Qiyang, Chen; Kefeng, Tu; Qibin, Feng; Guoqiang, Lv; Anting, Wang; Hai, Ming&lt;/Author&gt;&lt;Year&gt;2023&lt;/Year&gt;&lt;Details&gt;&lt;_collection_scope&gt;SCI;SCIE;EI&lt;/_collection_scope&gt;&lt;_created&gt;64839532&lt;/_created&gt;&lt;_db_provider&gt;CNKI&lt;/_db_provider&gt;&lt;_impact_factor&gt;   3.894&lt;/_impact_factor&gt;&lt;_issue&gt;5&lt;/_issue&gt;&lt;_journal&gt;Optics express&lt;/_journal&gt;&lt;_modified&gt;64839532&lt;/_modified&gt;&lt;_volume&gt;31&lt;/_volume&gt;&lt;/Details&gt;&lt;Extra&gt;&lt;DBUID&gt;{F96A950B-833F-4880-A151-76DA2D6A2879}&lt;/DBUID&gt;&lt;/Extra&gt;&lt;/Item&gt;&lt;/References&gt;&lt;/Group&gt;&lt;/Citation&gt;_x000a_"/>
    <w:docVar w:name="NE.Ref{DE37D52F-2FF7-4B74-9A33-3EB0D316940B}" w:val=" ADDIN NE.Ref.{DE37D52F-2FF7-4B74-9A33-3EB0D316940B}&lt;Citation&gt;&lt;Group&gt;&lt;References&gt;&lt;Item&gt;&lt;ID&gt;571&lt;/ID&gt;&lt;UID&gt;{880FE017-1FF9-46DD-995F-8C79CB087669}&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795410&lt;/_created&gt;&lt;_impact_factor&gt;   3.776&lt;/_impact_factor&gt;&lt;_journal&gt;Optics Letters&lt;/_journal&gt;&lt;_modified&gt;64795410&lt;/_modified&gt;&lt;_pages&gt;288&lt;/_pages&gt;&lt;_volume&gt;11&lt;/_volume&gt;&lt;/Details&gt;&lt;Extra&gt;&lt;DBUID&gt;{F96A950B-833F-4880-A151-76DA2D6A2879}&lt;/DBUID&gt;&lt;/Extra&gt;&lt;/Item&gt;&lt;/References&gt;&lt;/Group&gt;&lt;/Citation&gt;_x000a_"/>
    <w:docVar w:name="NE.Ref{DFF613EE-BDDB-4AF9-A233-C3B0F883A854}" w:val=" ADDIN NE.Ref.{DFF613EE-BDDB-4AF9-A233-C3B0F883A854}&lt;Citation&gt;&lt;Group&gt;&lt;References&gt;&lt;Item&gt;&lt;ID&gt;569&lt;/ID&gt;&lt;UID&gt;{2549B5A5-85B1-4DA8-92B8-422008E539AE}&lt;/UID&gt;&lt;Title&gt;光学微操纵技术及应用&lt;/Title&gt;&lt;Template&gt;Thesis&lt;/Template&gt;&lt;Star&gt;0&lt;/Star&gt;&lt;Tag&gt;0&lt;/Tag&gt;&lt;Author&gt;雷铭&lt;/Author&gt;&lt;Year&gt;2007&lt;/Year&gt;&lt;Details&gt;&lt;_created&gt;64659740&lt;/_created&gt;&lt;_db_provider&gt;CNKI&lt;/_db_provider&gt;&lt;_keywords&gt;光学微操纵;激光光镊;飞秒激光光刀;显微光谱仪&lt;/_keywords&gt;&lt;_modified&gt;64659740&lt;/_modified&gt;&lt;_publisher&gt;中国科学院研究生院（西安光学精密机械研究所）&lt;/_publisher&gt;&lt;_tertiary_author&gt;姚保利&lt;/_tertiary_author&gt;&lt;_type_work&gt;博士&lt;/_type_work&gt;&lt;_translated_author&gt;Lei, Ming&lt;/_translated_author&gt;&lt;_translated_tertiary_author&gt;Yao, Baoli&lt;/_translated_tertiary_author&gt;&lt;/Details&gt;&lt;Extra&gt;&lt;DBUID&gt;{F96A950B-833F-4880-A151-76DA2D6A2879}&lt;/DBUID&gt;&lt;/Extra&gt;&lt;/Item&gt;&lt;/References&gt;&lt;/Group&gt;&lt;Group&gt;&lt;References&gt;&lt;Item&gt;&lt;ID&gt;601&lt;/ID&gt;&lt;UID&gt;{5038C488-339E-458A-8F9C-69DB27A7863C}&lt;/UID&gt;&lt;Title&gt;全息光镊在生物学研究中的应用&lt;/Title&gt;&lt;Template&gt;Journal Article&lt;/Template&gt;&lt;Star&gt;0&lt;/Star&gt;&lt;Tag&gt;0&lt;/Tag&gt;&lt;Author&gt;梁言生; 姚保利; 雷铭&lt;/Author&gt;&lt;Year&gt;2020&lt;/Year&gt;&lt;Details&gt;&lt;_collection_scope&gt;CSCD;PKU;EI&lt;/_collection_scope&gt;&lt;_created&gt;64795480&lt;/_created&gt;&lt;_issue&gt;2&lt;/_issue&gt;&lt;_journal&gt;中国激光&lt;/_journal&gt;&lt;_modified&gt;64795480&lt;/_modified&gt;&lt;_pages&gt;16&lt;/_pages&gt;&lt;_volume&gt;47&lt;/_volume&gt;&lt;_translated_author&gt;Liang, Yansheng;Yao, Baoli;Lei, Ming&lt;/_translated_author&gt;&lt;/Details&gt;&lt;Extra&gt;&lt;DBUID&gt;{F96A950B-833F-4880-A151-76DA2D6A2879}&lt;/DBUID&gt;&lt;/Extra&gt;&lt;/Item&gt;&lt;/References&gt;&lt;/Group&gt;&lt;Group&gt;&lt;References&gt;&lt;Item&gt;&lt;ID&gt;611&lt;/ID&gt;&lt;UID&gt;{ED9845EA-B35C-4A97-BFA8-4E8E5273E2EA}&lt;/UID&gt;&lt;Title&gt;全息光镊及相关技术的理论与实验研究&lt;/Title&gt;&lt;Template&gt;Thesis&lt;/Template&gt;&lt;Star&gt;0&lt;/Star&gt;&lt;Tag&gt;0&lt;/Tag&gt;&lt;Author&gt;马百恒&lt;/Author&gt;&lt;Year&gt;2012&lt;/Year&gt;&lt;Details&gt;&lt;_created&gt;64795571&lt;/_created&gt;&lt;_db_provider&gt;CNKI&lt;/_db_provider&gt;&lt;_keywords&gt;光学捕获;全息光镊;空间光调制器;纯相位调制;Gerchberg-Saxton算法;计算全息图&lt;/_keywords&gt;&lt;_modified&gt;64795571&lt;/_modified&gt;&lt;_publisher&gt;中国科学院研究生院（西安光学精密机械研究所）&lt;/_publisher&gt;&lt;_tertiary_author&gt;姚保利&lt;/_tertiary_author&gt;&lt;_type_work&gt;博士&lt;/_type_work&gt;&lt;_translated_author&gt;Ma, Baiheng&lt;/_translated_author&gt;&lt;_translated_tertiary_author&gt;Yao, Baoli&lt;/_translated_tertiary_author&gt;&lt;/Details&gt;&lt;Extra&gt;&lt;DBUID&gt;{F96A950B-833F-4880-A151-76DA2D6A2879}&lt;/DBUID&gt;&lt;/Extra&gt;&lt;/Item&gt;&lt;/References&gt;&lt;/Group&gt;&lt;/Citation&gt;_x000a_"/>
    <w:docVar w:name="NE.Ref{E65CB866-687D-45BA-B3FE-7D6AD88798C6}" w:val=" ADDIN NE.Ref.{E65CB866-687D-45BA-B3FE-7D6AD88798C6}&lt;Citation&gt;&lt;Group&gt;&lt;References&gt;&lt;Item&gt;&lt;ID&gt;627&lt;/ID&gt;&lt;UID&gt;{EE2A05D0-4066-4B79-B59C-F0B03BEE35D4}&lt;/UID&gt;&lt;Title&gt;Optical doughnut for optical tweezers.&lt;/Title&gt;&lt;Template&gt;Journal Article&lt;/Template&gt;&lt;Star&gt;0&lt;/Star&gt;&lt;Tag&gt;0&lt;/Tag&gt;&lt;Author&gt;W, Zhang D; C, Yuan X&lt;/Author&gt;&lt;Year&gt;2003&lt;/Year&gt;&lt;Details&gt;&lt;_author_adr&gt;School of Electrical and Electronic Engineering, Nanyang Technological University, Nanyang Avenue, Singapore, 639798. edwzhang@ntu.edu.sg&lt;/_author_adr&gt;&lt;_collection_scope&gt;SCI;SCIE;EI&lt;/_collection_scope&gt;&lt;_created&gt;64839880&lt;/_created&gt;&lt;_db_provider&gt;CNKI&lt;/_db_provider&gt;&lt;_impact_factor&gt;   3.776&lt;/_impact_factor&gt;&lt;_isbn&gt;0146-9592&lt;/_isbn&gt;&lt;_issue&gt;9&lt;/_issue&gt;&lt;_journal&gt;Optics letters&lt;/_journal&gt;&lt;_modified&gt;64839880&lt;/_modified&gt;&lt;_volume&gt;28&lt;/_volume&gt;&lt;/Details&gt;&lt;Extra&gt;&lt;DBUID&gt;{F96A950B-833F-4880-A151-76DA2D6A2879}&lt;/DBUID&gt;&lt;/Extra&gt;&lt;/Item&gt;&lt;/References&gt;&lt;/Group&gt;&lt;/Citation&gt;_x000a_"/>
    <w:docVar w:name="NE.Ref{ECE5A532-5D29-4B60-B66E-2A26C522C7C3}" w:val=" ADDIN NE.Ref.{ECE5A532-5D29-4B60-B66E-2A26C522C7C3}&lt;Citation&gt;&lt;Group&gt;&lt;References&gt;&lt;Item&gt;&lt;ID&gt;577&lt;/ID&gt;&lt;UID&gt;{ED3963F2-53A7-46A1-BAEF-9D8EC234341F}&lt;/UID&gt;&lt;Title&gt;Differential detection of dual traps improves the spatial resolution of optical tweezers.&lt;/Title&gt;&lt;Template&gt;Journal Article&lt;/Template&gt;&lt;Star&gt;0&lt;/Star&gt;&lt;Tag&gt;0&lt;/Tag&gt;&lt;Author&gt;R, Moffitt Jeffrey; R, Chemla Yann; David, Izhaky; Carlos, Bustamante&lt;/Author&gt;&lt;Year&gt;2006&lt;/Year&gt;&lt;Details&gt;&lt;_author_adr&gt;Department of Physics, University of California, Berkeley, CA 94720, USA.&lt;/_author_adr&gt;&lt;_collection_scope&gt;SCI;SCIE&lt;/_collection_scope&gt;&lt;_created&gt;64795425&lt;/_created&gt;&lt;_db_provider&gt;CNKI&lt;/_db_provider&gt;&lt;_impact_factor&gt;  11.205&lt;/_impact_factor&gt;&lt;_isbn&gt;0027-8424&lt;/_isbn&gt;&lt;_issue&gt;24&lt;/_issue&gt;&lt;_journal&gt;Proceedings of the National Academy of Sciences of the United States of America&lt;/_journal&gt;&lt;_modified&gt;64795425&lt;/_modified&gt;&lt;_volume&gt;103&lt;/_volume&gt;&lt;/Details&gt;&lt;Extra&gt;&lt;DBUID&gt;{F96A950B-833F-4880-A151-76DA2D6A2879}&lt;/DBUID&gt;&lt;/Extra&gt;&lt;/Item&gt;&lt;/References&gt;&lt;/Group&gt;&lt;/Citation&gt;_x000a_"/>
    <w:docVar w:name="NE.Ref{F3BA2404-C74C-4F03-9AE5-13D9226F6655}" w:val=" ADDIN NE.Ref.{F3BA2404-C74C-4F03-9AE5-13D9226F6655}&lt;Citation&gt;&lt;Group&gt;&lt;References&gt;&lt;Item&gt;&lt;ID&gt;610&lt;/ID&gt;&lt;UID&gt;{DF1E3238-DBAF-41A1-B055-9BB05011D52F}&lt;/UID&gt;&lt;Title&gt;Optical trapping and micromanipulation using microbeam shaping created by micro-optical elements&lt;/Title&gt;&lt;Template&gt;Journal Article&lt;/Template&gt;&lt;Star&gt;0&lt;/Star&gt;&lt;Tag&gt;0&lt;/Tag&gt;&lt;Author&gt;Yuan, X C; Lee, Woei Ming Steve; Cheong, W C; Tao, Shaohua; Ahluwalia, Balwant; Moh, K J; He, Mark; Niu, H B; Peng, Xiang&lt;/Author&gt;&lt;Year&gt;2004&lt;/Year&gt;&lt;Details&gt;&lt;_date_display&gt;01&lt;/_date_display&gt;&lt;_date&gt;0001-01-01&lt;/_date&gt;&lt;_doi&gt;10.1117/12.571969&lt;/_doi&gt;&lt;_journal&gt;Proceedings of SPIE - The International Society for Optical Engineering&lt;/_journal&gt;&lt;_pages&gt;{}&lt;/_pages&gt;&lt;_volume&gt;5636&lt;/_volume&gt;&lt;_created&gt;64795532&lt;/_created&gt;&lt;_modified&gt;64795532&lt;/_modified&gt;&lt;_collection_scope&gt;EI&lt;/_collection_scope&gt;&lt;/Details&gt;&lt;Extra&gt;&lt;DBUID&gt;{F96A950B-833F-4880-A151-76DA2D6A2879}&lt;/DBUID&gt;&lt;/Extra&gt;&lt;/Item&gt;&lt;/References&gt;&lt;/Group&gt;&lt;/Citation&gt;_x000a_"/>
    <w:docVar w:name="NE.Ref{F47C9B2F-73BE-487C-B42F-A427CDCE1F50}" w:val=" ADDIN NE.Ref.{F47C9B2F-73BE-487C-B42F-A427CDCE1F50}&lt;Citation&gt;&lt;Group&gt;&lt;References&gt;&lt;Item&gt;&lt;ID&gt;606&lt;/ID&gt;&lt;UID&gt;{71E885F7-AB00-4033-A669-FCCD62177630}&lt;/UID&gt;&lt;Title&gt;全息光镊的最新研究与应用现状&lt;/Title&gt;&lt;Template&gt;Journal Article&lt;/Template&gt;&lt;Star&gt;0&lt;/Star&gt;&lt;Tag&gt;0&lt;/Tag&gt;&lt;Author&gt;庞慧敏; 李威良; 王晓玲; 赵爽; 周哲海&lt;/Author&gt;&lt;Year&gt;2019&lt;/Year&gt;&lt;Details&gt;&lt;_collection_scope&gt;PKU&lt;/_collection_scope&gt;&lt;_created&gt;64795520&lt;/_created&gt;&lt;_issue&gt;3&lt;/_issue&gt;&lt;_journal&gt;激光杂志&lt;/_journal&gt;&lt;_modified&gt;64795520&lt;/_modified&gt;&lt;_pages&gt;6&lt;/_pages&gt;&lt;_volume&gt;40&lt;/_volume&gt;&lt;_translated_author&gt;Pang, Huimin;Li, Weiliang;Wang, Xiaoling;Zhao, Shuang;Zhou, Zhehai&lt;/_translated_author&gt;&lt;/Details&gt;&lt;Extra&gt;&lt;DBUID&gt;{F96A950B-833F-4880-A151-76DA2D6A2879}&lt;/DBUID&gt;&lt;/Extra&gt;&lt;/Item&gt;&lt;/References&gt;&lt;/Group&gt;&lt;/Citation&gt;_x000a_"/>
    <w:docVar w:name="NE.Ref{FBFA20BB-AA3D-43DA-95C0-41CA8BDF548B}" w:val=" ADDIN NE.Ref.{FBFA20BB-AA3D-43DA-95C0-41CA8BDF548B}&lt;Citation&gt;&lt;Group&gt;&lt;References&gt;&lt;Item&gt;&lt;ID&gt;570&lt;/ID&gt;&lt;UID&gt;{6386C4BA-06A0-42A3-A092-A39AEA40F68B}&lt;/UID&gt;&lt;Title&gt;Observation of a single-beam gradient force optical trap for dielectric particles&lt;/Title&gt;&lt;Template&gt;Journal Article&lt;/Template&gt;&lt;Star&gt;0&lt;/Star&gt;&lt;Tag&gt;0&lt;/Tag&gt;&lt;Author&gt;Ashkin, A; Dziedzic, J M; Bjorkholm, J E; Chu, S&lt;/Author&gt;&lt;Year&gt;1986&lt;/Year&gt;&lt;Details&gt;&lt;_collection_scope&gt;SCI;SCIE;EI&lt;/_collection_scope&gt;&lt;_created&gt;64659769&lt;/_created&gt;&lt;_impact_factor&gt;   3.776&lt;/_impact_factor&gt;&lt;_journal&gt;Optics Letters&lt;/_journal&gt;&lt;_modified&gt;64659769&lt;/_modified&gt;&lt;_pages&gt;288&lt;/_pages&gt;&lt;_volume&gt;11&lt;/_volume&gt;&lt;_accessed&gt;64848206&lt;/_accessed&gt;&lt;/Details&gt;&lt;Extra&gt;&lt;DBUID&gt;{F96A950B-833F-4880-A151-76DA2D6A2879}&lt;/DBUID&gt;&lt;/Extra&gt;&lt;/Item&gt;&lt;/References&gt;&lt;/Group&gt;&lt;/Citation&gt;_x000a_"/>
    <w:docVar w:name="NE.Ref{FCAAFA52-829D-499D-8395-0BDD4DC2E6BE}" w:val=" ADDIN NE.Ref.{FCAAFA52-829D-499D-8395-0BDD4DC2E6BE}&lt;Citation&gt;&lt;Group&gt;&lt;References&gt;&lt;Item&gt;&lt;ID&gt;599&lt;/ID&gt;&lt;UID&gt;{3832022D-95FB-402F-AAC9-96257DB93B01}&lt;/UID&gt;&lt;Title&gt;Computer-Generated Holographic Optical Tweezer Arrays&lt;/Title&gt;&lt;Template&gt;Journal Article&lt;/Template&gt;&lt;Star&gt;0&lt;/Star&gt;&lt;Tag&gt;0&lt;/Tag&gt;&lt;Author&gt;Dufresne, E R; Spalding, G C; Dearing, M T; Sheets, S A; Grier, D G&lt;/Author&gt;&lt;Year&gt;2001&lt;/Year&gt;&lt;Details&gt;&lt;_issue&gt;3&lt;/_issue&gt;&lt;_journal&gt;Review of Scientific Instruments&lt;/_journal&gt;&lt;_pages&gt;1810-1816&lt;/_pages&gt;&lt;_volume&gt;72&lt;/_volume&gt;&lt;_created&gt;64795476&lt;/_created&gt;&lt;_modified&gt;64795476&lt;/_modified&gt;&lt;_impact_factor&gt;   1.523&lt;/_impact_factor&gt;&lt;_collection_scope&gt;SCI;SCIE;EI&lt;/_collection_scope&gt;&lt;/Details&gt;&lt;Extra&gt;&lt;DBUID&gt;{F96A950B-833F-4880-A151-76DA2D6A2879}&lt;/DBUID&gt;&lt;/Extra&gt;&lt;/Item&gt;&lt;/References&gt;&lt;/Group&gt;&lt;/Citation&gt;_x000a_"/>
    <w:docVar w:name="NE.Ref{FE30F91F-5604-4564-92F6-210B92D57E74}" w:val=" ADDIN NE.Ref.{FE30F91F-5604-4564-92F6-210B92D57E74}&lt;Citation&gt;&lt;Group&gt;&lt;References&gt;&lt;Item&gt;&lt;ID&gt;597&lt;/ID&gt;&lt;UID&gt;{46158F37-12A1-4B05-8DA1-8CBFE307917B}&lt;/UID&gt;&lt;Title&gt;An algorithm for computing spot-generating holograms&lt;/Title&gt;&lt;Template&gt;Journal Article&lt;/Template&gt;&lt;Star&gt;0&lt;/Star&gt;&lt;Tag&gt;0&lt;/Tag&gt;&lt;Author&gt;A, Georgiou; T, DWilkinson; N, Collings; WA, Crossland&lt;/Author&gt;&lt;Year&gt;2008&lt;/Year&gt;&lt;Details&gt;&lt;_created&gt;64795473&lt;/_created&gt;&lt;_db_provider&gt;CNKI&lt;/_db_provider&gt;&lt;_impact_factor&gt;   2.516&lt;/_impact_factor&gt;&lt;_isbn&gt;2040-8978&lt;/_isbn&gt;&lt;_issue&gt;1&lt;/_issue&gt;&lt;_journal&gt;Journal of optics, A. Pure and applied optics: journal of the European Optical Society&lt;/_journal&gt;&lt;_modified&gt;64795473&lt;/_modified&gt;&lt;_volume&gt;10&lt;/_volume&gt;&lt;/Details&gt;&lt;Extra&gt;&lt;DBUID&gt;{F96A950B-833F-4880-A151-76DA2D6A2879}&lt;/DBUID&gt;&lt;/Extra&gt;&lt;/Item&gt;&lt;/References&gt;&lt;/Group&gt;&lt;/Citation&gt;_x000a_"/>
    <w:docVar w:name="ne_docsoft" w:val="MSWord"/>
    <w:docVar w:name="ne_docversion" w:val="NoteExpress 2.0"/>
    <w:docVar w:name="ne_stylename" w:val="GB7714-87"/>
  </w:docVars>
  <w:rsids>
    <w:rsidRoot w:val="002E6B02"/>
    <w:rsid w:val="0000031D"/>
    <w:rsid w:val="0000037A"/>
    <w:rsid w:val="000009C9"/>
    <w:rsid w:val="00002377"/>
    <w:rsid w:val="000064C2"/>
    <w:rsid w:val="000124C7"/>
    <w:rsid w:val="0001251C"/>
    <w:rsid w:val="00014378"/>
    <w:rsid w:val="00016245"/>
    <w:rsid w:val="0001687B"/>
    <w:rsid w:val="0001740D"/>
    <w:rsid w:val="00023CB0"/>
    <w:rsid w:val="000247C6"/>
    <w:rsid w:val="00024E76"/>
    <w:rsid w:val="00027B91"/>
    <w:rsid w:val="00032025"/>
    <w:rsid w:val="00033D7D"/>
    <w:rsid w:val="00036A8C"/>
    <w:rsid w:val="00040802"/>
    <w:rsid w:val="000408AC"/>
    <w:rsid w:val="00042A93"/>
    <w:rsid w:val="00043FD6"/>
    <w:rsid w:val="000468C3"/>
    <w:rsid w:val="00047316"/>
    <w:rsid w:val="000508DC"/>
    <w:rsid w:val="0005168E"/>
    <w:rsid w:val="0005419C"/>
    <w:rsid w:val="00055670"/>
    <w:rsid w:val="000576AC"/>
    <w:rsid w:val="0006132C"/>
    <w:rsid w:val="000613DC"/>
    <w:rsid w:val="0006355F"/>
    <w:rsid w:val="00063F17"/>
    <w:rsid w:val="00064A68"/>
    <w:rsid w:val="0006532B"/>
    <w:rsid w:val="00073010"/>
    <w:rsid w:val="00076F13"/>
    <w:rsid w:val="000774AE"/>
    <w:rsid w:val="00081B7A"/>
    <w:rsid w:val="000828A8"/>
    <w:rsid w:val="00083384"/>
    <w:rsid w:val="00084DC4"/>
    <w:rsid w:val="00084E4F"/>
    <w:rsid w:val="00090D5A"/>
    <w:rsid w:val="00094F1D"/>
    <w:rsid w:val="00095357"/>
    <w:rsid w:val="0009579F"/>
    <w:rsid w:val="00097314"/>
    <w:rsid w:val="000A0ABC"/>
    <w:rsid w:val="000A431C"/>
    <w:rsid w:val="000A442A"/>
    <w:rsid w:val="000A4F45"/>
    <w:rsid w:val="000B3553"/>
    <w:rsid w:val="000C59B7"/>
    <w:rsid w:val="000C767D"/>
    <w:rsid w:val="000C7963"/>
    <w:rsid w:val="000D4AA9"/>
    <w:rsid w:val="000D571F"/>
    <w:rsid w:val="000D745A"/>
    <w:rsid w:val="000D77A8"/>
    <w:rsid w:val="000E46AD"/>
    <w:rsid w:val="000E5D5E"/>
    <w:rsid w:val="000F0B53"/>
    <w:rsid w:val="000F2757"/>
    <w:rsid w:val="000F4DF2"/>
    <w:rsid w:val="000F739B"/>
    <w:rsid w:val="001000DF"/>
    <w:rsid w:val="001059A9"/>
    <w:rsid w:val="001076EC"/>
    <w:rsid w:val="00107D56"/>
    <w:rsid w:val="0011172F"/>
    <w:rsid w:val="00117809"/>
    <w:rsid w:val="001229B1"/>
    <w:rsid w:val="00125C7A"/>
    <w:rsid w:val="00126686"/>
    <w:rsid w:val="001308D3"/>
    <w:rsid w:val="00131257"/>
    <w:rsid w:val="00133106"/>
    <w:rsid w:val="00136FC4"/>
    <w:rsid w:val="0015258C"/>
    <w:rsid w:val="00152738"/>
    <w:rsid w:val="001534D7"/>
    <w:rsid w:val="00154C5A"/>
    <w:rsid w:val="001560FC"/>
    <w:rsid w:val="00157144"/>
    <w:rsid w:val="001675DB"/>
    <w:rsid w:val="00167E2F"/>
    <w:rsid w:val="00170200"/>
    <w:rsid w:val="00174480"/>
    <w:rsid w:val="001828FA"/>
    <w:rsid w:val="00183CDA"/>
    <w:rsid w:val="00184628"/>
    <w:rsid w:val="00184777"/>
    <w:rsid w:val="00187209"/>
    <w:rsid w:val="0019085E"/>
    <w:rsid w:val="00194B22"/>
    <w:rsid w:val="00195140"/>
    <w:rsid w:val="00197A70"/>
    <w:rsid w:val="00197F72"/>
    <w:rsid w:val="001A5B85"/>
    <w:rsid w:val="001A5D83"/>
    <w:rsid w:val="001B181D"/>
    <w:rsid w:val="001B4BE4"/>
    <w:rsid w:val="001B4CC0"/>
    <w:rsid w:val="001B5DB0"/>
    <w:rsid w:val="001B6B1D"/>
    <w:rsid w:val="001C323D"/>
    <w:rsid w:val="001C54CD"/>
    <w:rsid w:val="001C7FCA"/>
    <w:rsid w:val="001D18AA"/>
    <w:rsid w:val="001D35B1"/>
    <w:rsid w:val="001D69A9"/>
    <w:rsid w:val="001E4A6E"/>
    <w:rsid w:val="001E7C16"/>
    <w:rsid w:val="001F0FDA"/>
    <w:rsid w:val="001F4C41"/>
    <w:rsid w:val="002007EF"/>
    <w:rsid w:val="0020536A"/>
    <w:rsid w:val="00210D48"/>
    <w:rsid w:val="00211F95"/>
    <w:rsid w:val="00212E6A"/>
    <w:rsid w:val="00214128"/>
    <w:rsid w:val="0021425E"/>
    <w:rsid w:val="002142FA"/>
    <w:rsid w:val="00214BFA"/>
    <w:rsid w:val="002241E7"/>
    <w:rsid w:val="002269BF"/>
    <w:rsid w:val="0023550A"/>
    <w:rsid w:val="00242145"/>
    <w:rsid w:val="002442F5"/>
    <w:rsid w:val="00244D06"/>
    <w:rsid w:val="00244FFB"/>
    <w:rsid w:val="00246EA1"/>
    <w:rsid w:val="00250CE8"/>
    <w:rsid w:val="00252007"/>
    <w:rsid w:val="0025473B"/>
    <w:rsid w:val="002554E6"/>
    <w:rsid w:val="002566E1"/>
    <w:rsid w:val="00256CAE"/>
    <w:rsid w:val="002612C4"/>
    <w:rsid w:val="00264C65"/>
    <w:rsid w:val="002715E8"/>
    <w:rsid w:val="00274ABE"/>
    <w:rsid w:val="00274CD8"/>
    <w:rsid w:val="00274F9D"/>
    <w:rsid w:val="00276377"/>
    <w:rsid w:val="0028036B"/>
    <w:rsid w:val="00280FDA"/>
    <w:rsid w:val="00286452"/>
    <w:rsid w:val="002872C9"/>
    <w:rsid w:val="00292610"/>
    <w:rsid w:val="002934AA"/>
    <w:rsid w:val="00293DA9"/>
    <w:rsid w:val="00294D09"/>
    <w:rsid w:val="00296108"/>
    <w:rsid w:val="002A5551"/>
    <w:rsid w:val="002B7C9E"/>
    <w:rsid w:val="002C3963"/>
    <w:rsid w:val="002C42B7"/>
    <w:rsid w:val="002C490E"/>
    <w:rsid w:val="002C598C"/>
    <w:rsid w:val="002C7D56"/>
    <w:rsid w:val="002D5285"/>
    <w:rsid w:val="002D69D2"/>
    <w:rsid w:val="002E1E12"/>
    <w:rsid w:val="002E245C"/>
    <w:rsid w:val="002E2B64"/>
    <w:rsid w:val="002E30DE"/>
    <w:rsid w:val="002E63DF"/>
    <w:rsid w:val="002E6825"/>
    <w:rsid w:val="002E6B02"/>
    <w:rsid w:val="002F14B6"/>
    <w:rsid w:val="002F2CF3"/>
    <w:rsid w:val="002F34CE"/>
    <w:rsid w:val="002F39E5"/>
    <w:rsid w:val="002F4237"/>
    <w:rsid w:val="002F602E"/>
    <w:rsid w:val="00301745"/>
    <w:rsid w:val="00301993"/>
    <w:rsid w:val="00305301"/>
    <w:rsid w:val="0030548F"/>
    <w:rsid w:val="00305742"/>
    <w:rsid w:val="00310436"/>
    <w:rsid w:val="00311D06"/>
    <w:rsid w:val="00320213"/>
    <w:rsid w:val="00322F12"/>
    <w:rsid w:val="00323ED8"/>
    <w:rsid w:val="00325A66"/>
    <w:rsid w:val="00325CE1"/>
    <w:rsid w:val="0032652A"/>
    <w:rsid w:val="003266AF"/>
    <w:rsid w:val="00326812"/>
    <w:rsid w:val="0033044E"/>
    <w:rsid w:val="00330D9F"/>
    <w:rsid w:val="003319F2"/>
    <w:rsid w:val="00331B7D"/>
    <w:rsid w:val="00332B8B"/>
    <w:rsid w:val="00332E9D"/>
    <w:rsid w:val="00333842"/>
    <w:rsid w:val="00336E09"/>
    <w:rsid w:val="003406F6"/>
    <w:rsid w:val="00344F60"/>
    <w:rsid w:val="00346358"/>
    <w:rsid w:val="003476B1"/>
    <w:rsid w:val="003479DC"/>
    <w:rsid w:val="00351A61"/>
    <w:rsid w:val="00353A64"/>
    <w:rsid w:val="0035736E"/>
    <w:rsid w:val="00357472"/>
    <w:rsid w:val="00360B63"/>
    <w:rsid w:val="00361399"/>
    <w:rsid w:val="0036242F"/>
    <w:rsid w:val="0036258A"/>
    <w:rsid w:val="00363461"/>
    <w:rsid w:val="003635B4"/>
    <w:rsid w:val="00363694"/>
    <w:rsid w:val="003723D1"/>
    <w:rsid w:val="0037307D"/>
    <w:rsid w:val="00374CD6"/>
    <w:rsid w:val="003752ED"/>
    <w:rsid w:val="003803E2"/>
    <w:rsid w:val="00380597"/>
    <w:rsid w:val="00380EB1"/>
    <w:rsid w:val="0039213F"/>
    <w:rsid w:val="003922C9"/>
    <w:rsid w:val="00392EA0"/>
    <w:rsid w:val="00394A4B"/>
    <w:rsid w:val="003961EB"/>
    <w:rsid w:val="003A1592"/>
    <w:rsid w:val="003A1F15"/>
    <w:rsid w:val="003A570A"/>
    <w:rsid w:val="003A5D85"/>
    <w:rsid w:val="003A6E8F"/>
    <w:rsid w:val="003B237A"/>
    <w:rsid w:val="003B2CDB"/>
    <w:rsid w:val="003B4648"/>
    <w:rsid w:val="003B4D19"/>
    <w:rsid w:val="003B5ED6"/>
    <w:rsid w:val="003B7043"/>
    <w:rsid w:val="003C33BD"/>
    <w:rsid w:val="003C55B5"/>
    <w:rsid w:val="003C66AE"/>
    <w:rsid w:val="003D474C"/>
    <w:rsid w:val="003D57BA"/>
    <w:rsid w:val="003E43EC"/>
    <w:rsid w:val="003E7337"/>
    <w:rsid w:val="003F5D0B"/>
    <w:rsid w:val="003F79FE"/>
    <w:rsid w:val="004016D6"/>
    <w:rsid w:val="00405711"/>
    <w:rsid w:val="0040629C"/>
    <w:rsid w:val="0041196B"/>
    <w:rsid w:val="004119D7"/>
    <w:rsid w:val="00412928"/>
    <w:rsid w:val="004132F8"/>
    <w:rsid w:val="00415924"/>
    <w:rsid w:val="00415BBF"/>
    <w:rsid w:val="00415DCE"/>
    <w:rsid w:val="004162BA"/>
    <w:rsid w:val="00417BCE"/>
    <w:rsid w:val="00420404"/>
    <w:rsid w:val="00421368"/>
    <w:rsid w:val="00423803"/>
    <w:rsid w:val="00423AA0"/>
    <w:rsid w:val="0042400C"/>
    <w:rsid w:val="0042407D"/>
    <w:rsid w:val="0042504E"/>
    <w:rsid w:val="0042511A"/>
    <w:rsid w:val="00425BA2"/>
    <w:rsid w:val="00431E4E"/>
    <w:rsid w:val="00431E6F"/>
    <w:rsid w:val="00433AA1"/>
    <w:rsid w:val="00434369"/>
    <w:rsid w:val="00435F43"/>
    <w:rsid w:val="004368C8"/>
    <w:rsid w:val="00437FAF"/>
    <w:rsid w:val="00440E1F"/>
    <w:rsid w:val="00441D87"/>
    <w:rsid w:val="00442E71"/>
    <w:rsid w:val="00443807"/>
    <w:rsid w:val="00451CD3"/>
    <w:rsid w:val="00452136"/>
    <w:rsid w:val="00454F5B"/>
    <w:rsid w:val="004556CC"/>
    <w:rsid w:val="00456B6D"/>
    <w:rsid w:val="00457074"/>
    <w:rsid w:val="00457521"/>
    <w:rsid w:val="00461394"/>
    <w:rsid w:val="00461638"/>
    <w:rsid w:val="00461DEB"/>
    <w:rsid w:val="00464B68"/>
    <w:rsid w:val="00464E6E"/>
    <w:rsid w:val="00467EE0"/>
    <w:rsid w:val="00471A73"/>
    <w:rsid w:val="00473AB8"/>
    <w:rsid w:val="00480DC6"/>
    <w:rsid w:val="004837DF"/>
    <w:rsid w:val="0048665E"/>
    <w:rsid w:val="0049043F"/>
    <w:rsid w:val="004960EA"/>
    <w:rsid w:val="004A176B"/>
    <w:rsid w:val="004A28BC"/>
    <w:rsid w:val="004A63AC"/>
    <w:rsid w:val="004A663A"/>
    <w:rsid w:val="004B09CB"/>
    <w:rsid w:val="004B1058"/>
    <w:rsid w:val="004B1BEB"/>
    <w:rsid w:val="004B23F7"/>
    <w:rsid w:val="004B285B"/>
    <w:rsid w:val="004C03A6"/>
    <w:rsid w:val="004C448A"/>
    <w:rsid w:val="004C64E7"/>
    <w:rsid w:val="004C72E3"/>
    <w:rsid w:val="004D18FD"/>
    <w:rsid w:val="004D2F40"/>
    <w:rsid w:val="004D59C8"/>
    <w:rsid w:val="004D6BBA"/>
    <w:rsid w:val="004E00E7"/>
    <w:rsid w:val="004E0CA3"/>
    <w:rsid w:val="004E5A4B"/>
    <w:rsid w:val="004F09AD"/>
    <w:rsid w:val="004F34F1"/>
    <w:rsid w:val="004F78C0"/>
    <w:rsid w:val="005001E6"/>
    <w:rsid w:val="00503E9D"/>
    <w:rsid w:val="00506E65"/>
    <w:rsid w:val="005079F7"/>
    <w:rsid w:val="00507AB4"/>
    <w:rsid w:val="0051022A"/>
    <w:rsid w:val="00510771"/>
    <w:rsid w:val="0051147F"/>
    <w:rsid w:val="00511A6B"/>
    <w:rsid w:val="00512E85"/>
    <w:rsid w:val="00513298"/>
    <w:rsid w:val="00517018"/>
    <w:rsid w:val="005178F8"/>
    <w:rsid w:val="0052032E"/>
    <w:rsid w:val="00524508"/>
    <w:rsid w:val="00524DA8"/>
    <w:rsid w:val="0052578B"/>
    <w:rsid w:val="00527E95"/>
    <w:rsid w:val="005324E4"/>
    <w:rsid w:val="005331FE"/>
    <w:rsid w:val="00540195"/>
    <w:rsid w:val="0054227C"/>
    <w:rsid w:val="0054274B"/>
    <w:rsid w:val="00546771"/>
    <w:rsid w:val="0055765C"/>
    <w:rsid w:val="00561962"/>
    <w:rsid w:val="00561B51"/>
    <w:rsid w:val="00561D3D"/>
    <w:rsid w:val="005654F1"/>
    <w:rsid w:val="005748F3"/>
    <w:rsid w:val="00580D68"/>
    <w:rsid w:val="00592A43"/>
    <w:rsid w:val="00592B63"/>
    <w:rsid w:val="00592E87"/>
    <w:rsid w:val="00593914"/>
    <w:rsid w:val="0059394E"/>
    <w:rsid w:val="00593B1D"/>
    <w:rsid w:val="00594BE8"/>
    <w:rsid w:val="00595D57"/>
    <w:rsid w:val="005A333A"/>
    <w:rsid w:val="005A3C3F"/>
    <w:rsid w:val="005B380E"/>
    <w:rsid w:val="005B63FC"/>
    <w:rsid w:val="005C0EAA"/>
    <w:rsid w:val="005C2EB2"/>
    <w:rsid w:val="005C55A9"/>
    <w:rsid w:val="005C781C"/>
    <w:rsid w:val="005D2385"/>
    <w:rsid w:val="005D3091"/>
    <w:rsid w:val="005D3CF5"/>
    <w:rsid w:val="005D4457"/>
    <w:rsid w:val="005D4665"/>
    <w:rsid w:val="005D4773"/>
    <w:rsid w:val="005D63DE"/>
    <w:rsid w:val="005D7915"/>
    <w:rsid w:val="005E2A92"/>
    <w:rsid w:val="005E343E"/>
    <w:rsid w:val="005E35EF"/>
    <w:rsid w:val="005E3F99"/>
    <w:rsid w:val="005E5DF7"/>
    <w:rsid w:val="005F036F"/>
    <w:rsid w:val="005F1D2C"/>
    <w:rsid w:val="005F1E4F"/>
    <w:rsid w:val="005F4A57"/>
    <w:rsid w:val="005F4E8F"/>
    <w:rsid w:val="005F5C83"/>
    <w:rsid w:val="006013E2"/>
    <w:rsid w:val="006022FB"/>
    <w:rsid w:val="00602B89"/>
    <w:rsid w:val="006054DF"/>
    <w:rsid w:val="0060677C"/>
    <w:rsid w:val="00614881"/>
    <w:rsid w:val="006157AC"/>
    <w:rsid w:val="00615C65"/>
    <w:rsid w:val="006178A4"/>
    <w:rsid w:val="00621FFC"/>
    <w:rsid w:val="00633B41"/>
    <w:rsid w:val="00635CEC"/>
    <w:rsid w:val="00635CFB"/>
    <w:rsid w:val="006363BD"/>
    <w:rsid w:val="006375F3"/>
    <w:rsid w:val="0064133B"/>
    <w:rsid w:val="00641638"/>
    <w:rsid w:val="00641855"/>
    <w:rsid w:val="00643CA0"/>
    <w:rsid w:val="00644AF3"/>
    <w:rsid w:val="006460F3"/>
    <w:rsid w:val="00650236"/>
    <w:rsid w:val="006503BF"/>
    <w:rsid w:val="00650B0D"/>
    <w:rsid w:val="00650E28"/>
    <w:rsid w:val="006546E1"/>
    <w:rsid w:val="00655D02"/>
    <w:rsid w:val="006572D4"/>
    <w:rsid w:val="006605C1"/>
    <w:rsid w:val="00662032"/>
    <w:rsid w:val="0066208B"/>
    <w:rsid w:val="0066264A"/>
    <w:rsid w:val="00663AA3"/>
    <w:rsid w:val="00666C8D"/>
    <w:rsid w:val="00667642"/>
    <w:rsid w:val="00670C6D"/>
    <w:rsid w:val="00671689"/>
    <w:rsid w:val="00674367"/>
    <w:rsid w:val="0067561F"/>
    <w:rsid w:val="006765C8"/>
    <w:rsid w:val="00676BF0"/>
    <w:rsid w:val="006802B2"/>
    <w:rsid w:val="0068085F"/>
    <w:rsid w:val="006809AC"/>
    <w:rsid w:val="00684800"/>
    <w:rsid w:val="00686099"/>
    <w:rsid w:val="00686608"/>
    <w:rsid w:val="00690AAC"/>
    <w:rsid w:val="00692A55"/>
    <w:rsid w:val="00695A95"/>
    <w:rsid w:val="0069710B"/>
    <w:rsid w:val="006A102D"/>
    <w:rsid w:val="006A7B1A"/>
    <w:rsid w:val="006B0EC7"/>
    <w:rsid w:val="006B13C8"/>
    <w:rsid w:val="006B26E4"/>
    <w:rsid w:val="006B4C0D"/>
    <w:rsid w:val="006B6330"/>
    <w:rsid w:val="006C0A81"/>
    <w:rsid w:val="006C3542"/>
    <w:rsid w:val="006C3BC7"/>
    <w:rsid w:val="006C43F9"/>
    <w:rsid w:val="006D0968"/>
    <w:rsid w:val="006D16DB"/>
    <w:rsid w:val="006D214F"/>
    <w:rsid w:val="006D3193"/>
    <w:rsid w:val="006D3F55"/>
    <w:rsid w:val="006D52FE"/>
    <w:rsid w:val="006D65CA"/>
    <w:rsid w:val="006D6600"/>
    <w:rsid w:val="006D6A47"/>
    <w:rsid w:val="006E186F"/>
    <w:rsid w:val="006E2EB8"/>
    <w:rsid w:val="006E493B"/>
    <w:rsid w:val="006E7250"/>
    <w:rsid w:val="006F0F79"/>
    <w:rsid w:val="006F1E98"/>
    <w:rsid w:val="006F383C"/>
    <w:rsid w:val="006F3C47"/>
    <w:rsid w:val="006F3CC3"/>
    <w:rsid w:val="006F4AC0"/>
    <w:rsid w:val="006F4DD5"/>
    <w:rsid w:val="006F627A"/>
    <w:rsid w:val="006F7196"/>
    <w:rsid w:val="0070043E"/>
    <w:rsid w:val="0071000C"/>
    <w:rsid w:val="00710878"/>
    <w:rsid w:val="00710FE9"/>
    <w:rsid w:val="00711739"/>
    <w:rsid w:val="00711ED7"/>
    <w:rsid w:val="007123B7"/>
    <w:rsid w:val="007150EB"/>
    <w:rsid w:val="00717080"/>
    <w:rsid w:val="00717D2C"/>
    <w:rsid w:val="00721247"/>
    <w:rsid w:val="00721884"/>
    <w:rsid w:val="00721D8A"/>
    <w:rsid w:val="00724137"/>
    <w:rsid w:val="00724CDD"/>
    <w:rsid w:val="007260B1"/>
    <w:rsid w:val="0072767E"/>
    <w:rsid w:val="007300E6"/>
    <w:rsid w:val="00731275"/>
    <w:rsid w:val="00731ADF"/>
    <w:rsid w:val="007327A8"/>
    <w:rsid w:val="0073288E"/>
    <w:rsid w:val="00735E78"/>
    <w:rsid w:val="0074417E"/>
    <w:rsid w:val="0074446E"/>
    <w:rsid w:val="00744A86"/>
    <w:rsid w:val="00747388"/>
    <w:rsid w:val="007513D5"/>
    <w:rsid w:val="00751705"/>
    <w:rsid w:val="00752DB8"/>
    <w:rsid w:val="00757F33"/>
    <w:rsid w:val="007624D8"/>
    <w:rsid w:val="00762E65"/>
    <w:rsid w:val="00767AB0"/>
    <w:rsid w:val="00771AA1"/>
    <w:rsid w:val="00773859"/>
    <w:rsid w:val="00774622"/>
    <w:rsid w:val="007763AE"/>
    <w:rsid w:val="00780BDF"/>
    <w:rsid w:val="00782247"/>
    <w:rsid w:val="0078340A"/>
    <w:rsid w:val="00784FA3"/>
    <w:rsid w:val="00787322"/>
    <w:rsid w:val="0079092C"/>
    <w:rsid w:val="00793509"/>
    <w:rsid w:val="0079773C"/>
    <w:rsid w:val="00797D32"/>
    <w:rsid w:val="007A23DB"/>
    <w:rsid w:val="007A7E04"/>
    <w:rsid w:val="007B0405"/>
    <w:rsid w:val="007B2977"/>
    <w:rsid w:val="007B55EE"/>
    <w:rsid w:val="007C2C92"/>
    <w:rsid w:val="007C5A91"/>
    <w:rsid w:val="007C5E37"/>
    <w:rsid w:val="007C611B"/>
    <w:rsid w:val="007D1EAB"/>
    <w:rsid w:val="007E1741"/>
    <w:rsid w:val="007E191E"/>
    <w:rsid w:val="007E2B78"/>
    <w:rsid w:val="007E2C5D"/>
    <w:rsid w:val="007E636B"/>
    <w:rsid w:val="007E66CD"/>
    <w:rsid w:val="007E6B8F"/>
    <w:rsid w:val="007E79E1"/>
    <w:rsid w:val="007F268C"/>
    <w:rsid w:val="007F3D18"/>
    <w:rsid w:val="007F3DC9"/>
    <w:rsid w:val="007F449D"/>
    <w:rsid w:val="007F565F"/>
    <w:rsid w:val="007F6325"/>
    <w:rsid w:val="007F63A5"/>
    <w:rsid w:val="0080090A"/>
    <w:rsid w:val="00801133"/>
    <w:rsid w:val="00801345"/>
    <w:rsid w:val="008014A4"/>
    <w:rsid w:val="008028A5"/>
    <w:rsid w:val="00806597"/>
    <w:rsid w:val="00807B86"/>
    <w:rsid w:val="0081057D"/>
    <w:rsid w:val="00813AC5"/>
    <w:rsid w:val="00814CA9"/>
    <w:rsid w:val="00815972"/>
    <w:rsid w:val="00815A50"/>
    <w:rsid w:val="00815D4C"/>
    <w:rsid w:val="008172DB"/>
    <w:rsid w:val="008215E3"/>
    <w:rsid w:val="008238BB"/>
    <w:rsid w:val="00824D7A"/>
    <w:rsid w:val="0082552B"/>
    <w:rsid w:val="00827091"/>
    <w:rsid w:val="0082761D"/>
    <w:rsid w:val="00827DB6"/>
    <w:rsid w:val="00830D2C"/>
    <w:rsid w:val="008345A8"/>
    <w:rsid w:val="00836AAF"/>
    <w:rsid w:val="008410FD"/>
    <w:rsid w:val="008412F3"/>
    <w:rsid w:val="00843658"/>
    <w:rsid w:val="00845E23"/>
    <w:rsid w:val="00846240"/>
    <w:rsid w:val="0084680F"/>
    <w:rsid w:val="00847DCE"/>
    <w:rsid w:val="00851FF3"/>
    <w:rsid w:val="00854011"/>
    <w:rsid w:val="00854165"/>
    <w:rsid w:val="00854BCE"/>
    <w:rsid w:val="00855AF9"/>
    <w:rsid w:val="008617CD"/>
    <w:rsid w:val="0087017A"/>
    <w:rsid w:val="00873104"/>
    <w:rsid w:val="00876939"/>
    <w:rsid w:val="00884135"/>
    <w:rsid w:val="0088459D"/>
    <w:rsid w:val="0088552C"/>
    <w:rsid w:val="008856FC"/>
    <w:rsid w:val="008868F8"/>
    <w:rsid w:val="008873BE"/>
    <w:rsid w:val="00887E81"/>
    <w:rsid w:val="00890DC8"/>
    <w:rsid w:val="00891990"/>
    <w:rsid w:val="00892011"/>
    <w:rsid w:val="008927A0"/>
    <w:rsid w:val="00895032"/>
    <w:rsid w:val="00897C7F"/>
    <w:rsid w:val="008A2769"/>
    <w:rsid w:val="008A4429"/>
    <w:rsid w:val="008B2D0F"/>
    <w:rsid w:val="008B3ECE"/>
    <w:rsid w:val="008B4FAC"/>
    <w:rsid w:val="008B5AA9"/>
    <w:rsid w:val="008B5F4C"/>
    <w:rsid w:val="008C1981"/>
    <w:rsid w:val="008C21D0"/>
    <w:rsid w:val="008D2048"/>
    <w:rsid w:val="008D4278"/>
    <w:rsid w:val="008D42C1"/>
    <w:rsid w:val="008D4D06"/>
    <w:rsid w:val="008E12E4"/>
    <w:rsid w:val="008E156E"/>
    <w:rsid w:val="008E465E"/>
    <w:rsid w:val="008E6695"/>
    <w:rsid w:val="008F3B4F"/>
    <w:rsid w:val="008F4413"/>
    <w:rsid w:val="008F774C"/>
    <w:rsid w:val="009004E7"/>
    <w:rsid w:val="0090061C"/>
    <w:rsid w:val="0090093B"/>
    <w:rsid w:val="00901081"/>
    <w:rsid w:val="00901BF0"/>
    <w:rsid w:val="009027DD"/>
    <w:rsid w:val="00903EFC"/>
    <w:rsid w:val="00904671"/>
    <w:rsid w:val="00905C29"/>
    <w:rsid w:val="00906385"/>
    <w:rsid w:val="00912326"/>
    <w:rsid w:val="0091243C"/>
    <w:rsid w:val="00912B13"/>
    <w:rsid w:val="00915AA2"/>
    <w:rsid w:val="009179B8"/>
    <w:rsid w:val="0092047B"/>
    <w:rsid w:val="009236DB"/>
    <w:rsid w:val="00926C4A"/>
    <w:rsid w:val="00926F6C"/>
    <w:rsid w:val="00930DEE"/>
    <w:rsid w:val="009321D7"/>
    <w:rsid w:val="00932CE1"/>
    <w:rsid w:val="00934F36"/>
    <w:rsid w:val="009376A2"/>
    <w:rsid w:val="00943CDA"/>
    <w:rsid w:val="0094495A"/>
    <w:rsid w:val="0095746E"/>
    <w:rsid w:val="0096244E"/>
    <w:rsid w:val="00962C00"/>
    <w:rsid w:val="009646A9"/>
    <w:rsid w:val="00972EA6"/>
    <w:rsid w:val="0097735D"/>
    <w:rsid w:val="00977941"/>
    <w:rsid w:val="00980156"/>
    <w:rsid w:val="00980E2A"/>
    <w:rsid w:val="0098772C"/>
    <w:rsid w:val="009944A4"/>
    <w:rsid w:val="009956CC"/>
    <w:rsid w:val="009A0D8E"/>
    <w:rsid w:val="009A2B99"/>
    <w:rsid w:val="009A2E92"/>
    <w:rsid w:val="009A7CC4"/>
    <w:rsid w:val="009B0C68"/>
    <w:rsid w:val="009B6A7C"/>
    <w:rsid w:val="009C4237"/>
    <w:rsid w:val="009C6CF5"/>
    <w:rsid w:val="009C7F93"/>
    <w:rsid w:val="009D0548"/>
    <w:rsid w:val="009D21C1"/>
    <w:rsid w:val="009D2274"/>
    <w:rsid w:val="009E00E6"/>
    <w:rsid w:val="009E66BD"/>
    <w:rsid w:val="009F0139"/>
    <w:rsid w:val="009F0C4C"/>
    <w:rsid w:val="009F265B"/>
    <w:rsid w:val="009F5B55"/>
    <w:rsid w:val="00A02735"/>
    <w:rsid w:val="00A05FCF"/>
    <w:rsid w:val="00A12BB2"/>
    <w:rsid w:val="00A16BFC"/>
    <w:rsid w:val="00A17809"/>
    <w:rsid w:val="00A207D6"/>
    <w:rsid w:val="00A23D61"/>
    <w:rsid w:val="00A23EA5"/>
    <w:rsid w:val="00A24991"/>
    <w:rsid w:val="00A4134F"/>
    <w:rsid w:val="00A423B4"/>
    <w:rsid w:val="00A4326B"/>
    <w:rsid w:val="00A47172"/>
    <w:rsid w:val="00A47B46"/>
    <w:rsid w:val="00A47C39"/>
    <w:rsid w:val="00A5071D"/>
    <w:rsid w:val="00A51C87"/>
    <w:rsid w:val="00A52905"/>
    <w:rsid w:val="00A54B53"/>
    <w:rsid w:val="00A55102"/>
    <w:rsid w:val="00A6249F"/>
    <w:rsid w:val="00A630B3"/>
    <w:rsid w:val="00A70905"/>
    <w:rsid w:val="00A71234"/>
    <w:rsid w:val="00A72A00"/>
    <w:rsid w:val="00A73077"/>
    <w:rsid w:val="00A73749"/>
    <w:rsid w:val="00A7420F"/>
    <w:rsid w:val="00A753A1"/>
    <w:rsid w:val="00A75A42"/>
    <w:rsid w:val="00A77914"/>
    <w:rsid w:val="00A77D6A"/>
    <w:rsid w:val="00A80D3B"/>
    <w:rsid w:val="00A82FC5"/>
    <w:rsid w:val="00A851FA"/>
    <w:rsid w:val="00A85AA3"/>
    <w:rsid w:val="00A9084A"/>
    <w:rsid w:val="00A91A4B"/>
    <w:rsid w:val="00A93A00"/>
    <w:rsid w:val="00A940BB"/>
    <w:rsid w:val="00AA5085"/>
    <w:rsid w:val="00AA5717"/>
    <w:rsid w:val="00AA6068"/>
    <w:rsid w:val="00AA67F3"/>
    <w:rsid w:val="00AB1FB5"/>
    <w:rsid w:val="00AB28B5"/>
    <w:rsid w:val="00AB3397"/>
    <w:rsid w:val="00AB3824"/>
    <w:rsid w:val="00AB42DB"/>
    <w:rsid w:val="00AB572E"/>
    <w:rsid w:val="00AB6062"/>
    <w:rsid w:val="00AB770F"/>
    <w:rsid w:val="00AC169C"/>
    <w:rsid w:val="00AC1C95"/>
    <w:rsid w:val="00AC42E5"/>
    <w:rsid w:val="00AC559A"/>
    <w:rsid w:val="00AC63FF"/>
    <w:rsid w:val="00AD0EE1"/>
    <w:rsid w:val="00AD2D40"/>
    <w:rsid w:val="00AD2FA6"/>
    <w:rsid w:val="00AD3A1B"/>
    <w:rsid w:val="00AD41F1"/>
    <w:rsid w:val="00AD5524"/>
    <w:rsid w:val="00AD5EF1"/>
    <w:rsid w:val="00AD6D7B"/>
    <w:rsid w:val="00AE08B2"/>
    <w:rsid w:val="00AE3E0B"/>
    <w:rsid w:val="00AE44A9"/>
    <w:rsid w:val="00AE7248"/>
    <w:rsid w:val="00AE7D4E"/>
    <w:rsid w:val="00AF06C3"/>
    <w:rsid w:val="00AF0F05"/>
    <w:rsid w:val="00AF25BD"/>
    <w:rsid w:val="00AF3920"/>
    <w:rsid w:val="00AF4C0E"/>
    <w:rsid w:val="00AF6474"/>
    <w:rsid w:val="00AF7BA5"/>
    <w:rsid w:val="00B01BA4"/>
    <w:rsid w:val="00B01F01"/>
    <w:rsid w:val="00B025AA"/>
    <w:rsid w:val="00B02ED3"/>
    <w:rsid w:val="00B06279"/>
    <w:rsid w:val="00B06801"/>
    <w:rsid w:val="00B07B0C"/>
    <w:rsid w:val="00B15D83"/>
    <w:rsid w:val="00B1664F"/>
    <w:rsid w:val="00B23303"/>
    <w:rsid w:val="00B23B69"/>
    <w:rsid w:val="00B240F0"/>
    <w:rsid w:val="00B260B2"/>
    <w:rsid w:val="00B2713A"/>
    <w:rsid w:val="00B30D18"/>
    <w:rsid w:val="00B32892"/>
    <w:rsid w:val="00B335E6"/>
    <w:rsid w:val="00B34B10"/>
    <w:rsid w:val="00B35E5F"/>
    <w:rsid w:val="00B3700C"/>
    <w:rsid w:val="00B37E9A"/>
    <w:rsid w:val="00B41B6F"/>
    <w:rsid w:val="00B41F88"/>
    <w:rsid w:val="00B45DEA"/>
    <w:rsid w:val="00B56898"/>
    <w:rsid w:val="00B57B1C"/>
    <w:rsid w:val="00B614A4"/>
    <w:rsid w:val="00B6441A"/>
    <w:rsid w:val="00B65059"/>
    <w:rsid w:val="00B6694B"/>
    <w:rsid w:val="00B71895"/>
    <w:rsid w:val="00B726FF"/>
    <w:rsid w:val="00B73215"/>
    <w:rsid w:val="00B755DF"/>
    <w:rsid w:val="00B75812"/>
    <w:rsid w:val="00B7636B"/>
    <w:rsid w:val="00B76C39"/>
    <w:rsid w:val="00B7743A"/>
    <w:rsid w:val="00B83C78"/>
    <w:rsid w:val="00B84A47"/>
    <w:rsid w:val="00B84B4A"/>
    <w:rsid w:val="00B85A6E"/>
    <w:rsid w:val="00B90BC6"/>
    <w:rsid w:val="00B91CDA"/>
    <w:rsid w:val="00B946D5"/>
    <w:rsid w:val="00B96E23"/>
    <w:rsid w:val="00BA0A28"/>
    <w:rsid w:val="00BA304C"/>
    <w:rsid w:val="00BA415A"/>
    <w:rsid w:val="00BA5406"/>
    <w:rsid w:val="00BA6F83"/>
    <w:rsid w:val="00BB0509"/>
    <w:rsid w:val="00BB2A2F"/>
    <w:rsid w:val="00BB2C38"/>
    <w:rsid w:val="00BB579A"/>
    <w:rsid w:val="00BB5E7C"/>
    <w:rsid w:val="00BB726C"/>
    <w:rsid w:val="00BC320C"/>
    <w:rsid w:val="00BC7419"/>
    <w:rsid w:val="00BD0827"/>
    <w:rsid w:val="00BD24B0"/>
    <w:rsid w:val="00BD7029"/>
    <w:rsid w:val="00BE0F0C"/>
    <w:rsid w:val="00BE1F79"/>
    <w:rsid w:val="00BE4C39"/>
    <w:rsid w:val="00BE7A32"/>
    <w:rsid w:val="00BF0A13"/>
    <w:rsid w:val="00BF20E7"/>
    <w:rsid w:val="00BF2C74"/>
    <w:rsid w:val="00BF6A6B"/>
    <w:rsid w:val="00BF732D"/>
    <w:rsid w:val="00C049A3"/>
    <w:rsid w:val="00C05DAA"/>
    <w:rsid w:val="00C0648C"/>
    <w:rsid w:val="00C074B0"/>
    <w:rsid w:val="00C10386"/>
    <w:rsid w:val="00C10C57"/>
    <w:rsid w:val="00C11ABC"/>
    <w:rsid w:val="00C12F9F"/>
    <w:rsid w:val="00C14514"/>
    <w:rsid w:val="00C16C58"/>
    <w:rsid w:val="00C21505"/>
    <w:rsid w:val="00C21A88"/>
    <w:rsid w:val="00C21B5E"/>
    <w:rsid w:val="00C22397"/>
    <w:rsid w:val="00C23CEE"/>
    <w:rsid w:val="00C30D04"/>
    <w:rsid w:val="00C42FA7"/>
    <w:rsid w:val="00C54EF2"/>
    <w:rsid w:val="00C561B0"/>
    <w:rsid w:val="00C624BD"/>
    <w:rsid w:val="00C63711"/>
    <w:rsid w:val="00C6371A"/>
    <w:rsid w:val="00C63B6E"/>
    <w:rsid w:val="00C67BDD"/>
    <w:rsid w:val="00C73658"/>
    <w:rsid w:val="00C7605D"/>
    <w:rsid w:val="00C77748"/>
    <w:rsid w:val="00C82506"/>
    <w:rsid w:val="00C83342"/>
    <w:rsid w:val="00C83EC6"/>
    <w:rsid w:val="00C861BB"/>
    <w:rsid w:val="00C871F8"/>
    <w:rsid w:val="00C8789E"/>
    <w:rsid w:val="00C87F88"/>
    <w:rsid w:val="00C87FCD"/>
    <w:rsid w:val="00C9302A"/>
    <w:rsid w:val="00C947E1"/>
    <w:rsid w:val="00C94C88"/>
    <w:rsid w:val="00C955C6"/>
    <w:rsid w:val="00C957DA"/>
    <w:rsid w:val="00C95A5C"/>
    <w:rsid w:val="00CA0486"/>
    <w:rsid w:val="00CA04DB"/>
    <w:rsid w:val="00CA1E98"/>
    <w:rsid w:val="00CA41CD"/>
    <w:rsid w:val="00CA60F5"/>
    <w:rsid w:val="00CA7646"/>
    <w:rsid w:val="00CB0D8A"/>
    <w:rsid w:val="00CB0F8F"/>
    <w:rsid w:val="00CB2071"/>
    <w:rsid w:val="00CB2218"/>
    <w:rsid w:val="00CB3ECF"/>
    <w:rsid w:val="00CB4A54"/>
    <w:rsid w:val="00CB635B"/>
    <w:rsid w:val="00CB7665"/>
    <w:rsid w:val="00CC1714"/>
    <w:rsid w:val="00CC2CE4"/>
    <w:rsid w:val="00CC40C3"/>
    <w:rsid w:val="00CC6818"/>
    <w:rsid w:val="00CD0EE5"/>
    <w:rsid w:val="00CD741D"/>
    <w:rsid w:val="00CD7EC2"/>
    <w:rsid w:val="00CE0F9B"/>
    <w:rsid w:val="00CE28C9"/>
    <w:rsid w:val="00CE5865"/>
    <w:rsid w:val="00CE5969"/>
    <w:rsid w:val="00CF0FAE"/>
    <w:rsid w:val="00CF1D36"/>
    <w:rsid w:val="00CF29F0"/>
    <w:rsid w:val="00CF3855"/>
    <w:rsid w:val="00CF5352"/>
    <w:rsid w:val="00D01749"/>
    <w:rsid w:val="00D0290E"/>
    <w:rsid w:val="00D07097"/>
    <w:rsid w:val="00D1072E"/>
    <w:rsid w:val="00D10F88"/>
    <w:rsid w:val="00D23B0B"/>
    <w:rsid w:val="00D2447E"/>
    <w:rsid w:val="00D260FF"/>
    <w:rsid w:val="00D26518"/>
    <w:rsid w:val="00D30BE4"/>
    <w:rsid w:val="00D31135"/>
    <w:rsid w:val="00D3335E"/>
    <w:rsid w:val="00D33B56"/>
    <w:rsid w:val="00D34036"/>
    <w:rsid w:val="00D35B01"/>
    <w:rsid w:val="00D41172"/>
    <w:rsid w:val="00D4146B"/>
    <w:rsid w:val="00D42176"/>
    <w:rsid w:val="00D5225E"/>
    <w:rsid w:val="00D5778E"/>
    <w:rsid w:val="00D57B21"/>
    <w:rsid w:val="00D600D7"/>
    <w:rsid w:val="00D601DC"/>
    <w:rsid w:val="00D61CBC"/>
    <w:rsid w:val="00D65F8E"/>
    <w:rsid w:val="00D6770A"/>
    <w:rsid w:val="00D71F69"/>
    <w:rsid w:val="00D73FB6"/>
    <w:rsid w:val="00D74B21"/>
    <w:rsid w:val="00D75A47"/>
    <w:rsid w:val="00D82BD4"/>
    <w:rsid w:val="00D83130"/>
    <w:rsid w:val="00D83247"/>
    <w:rsid w:val="00D83F87"/>
    <w:rsid w:val="00D9046F"/>
    <w:rsid w:val="00D91652"/>
    <w:rsid w:val="00D9234E"/>
    <w:rsid w:val="00D95EE1"/>
    <w:rsid w:val="00DA040B"/>
    <w:rsid w:val="00DA3AA7"/>
    <w:rsid w:val="00DA4929"/>
    <w:rsid w:val="00DB6100"/>
    <w:rsid w:val="00DB660E"/>
    <w:rsid w:val="00DB70A4"/>
    <w:rsid w:val="00DB757D"/>
    <w:rsid w:val="00DC33F8"/>
    <w:rsid w:val="00DC35C3"/>
    <w:rsid w:val="00DC4FEB"/>
    <w:rsid w:val="00DC7854"/>
    <w:rsid w:val="00DD1358"/>
    <w:rsid w:val="00DD7388"/>
    <w:rsid w:val="00DD7446"/>
    <w:rsid w:val="00DE1B4E"/>
    <w:rsid w:val="00DE3E54"/>
    <w:rsid w:val="00DE3F63"/>
    <w:rsid w:val="00DE6CC5"/>
    <w:rsid w:val="00DE7230"/>
    <w:rsid w:val="00DF0043"/>
    <w:rsid w:val="00DF3755"/>
    <w:rsid w:val="00DF3B15"/>
    <w:rsid w:val="00DF4246"/>
    <w:rsid w:val="00DF516A"/>
    <w:rsid w:val="00DF5593"/>
    <w:rsid w:val="00DF60C6"/>
    <w:rsid w:val="00E0275A"/>
    <w:rsid w:val="00E02CB7"/>
    <w:rsid w:val="00E0367C"/>
    <w:rsid w:val="00E0393C"/>
    <w:rsid w:val="00E068FF"/>
    <w:rsid w:val="00E06C3E"/>
    <w:rsid w:val="00E10D11"/>
    <w:rsid w:val="00E1536D"/>
    <w:rsid w:val="00E158DD"/>
    <w:rsid w:val="00E16CFF"/>
    <w:rsid w:val="00E218E4"/>
    <w:rsid w:val="00E21F33"/>
    <w:rsid w:val="00E23679"/>
    <w:rsid w:val="00E27E6A"/>
    <w:rsid w:val="00E32EDE"/>
    <w:rsid w:val="00E340AD"/>
    <w:rsid w:val="00E3479D"/>
    <w:rsid w:val="00E34AA1"/>
    <w:rsid w:val="00E40A8F"/>
    <w:rsid w:val="00E40F75"/>
    <w:rsid w:val="00E42ABD"/>
    <w:rsid w:val="00E43273"/>
    <w:rsid w:val="00E501CC"/>
    <w:rsid w:val="00E50572"/>
    <w:rsid w:val="00E50BCC"/>
    <w:rsid w:val="00E51F30"/>
    <w:rsid w:val="00E533F2"/>
    <w:rsid w:val="00E54CD9"/>
    <w:rsid w:val="00E553B8"/>
    <w:rsid w:val="00E55615"/>
    <w:rsid w:val="00E56089"/>
    <w:rsid w:val="00E56E8A"/>
    <w:rsid w:val="00E642EC"/>
    <w:rsid w:val="00E67711"/>
    <w:rsid w:val="00E704FE"/>
    <w:rsid w:val="00E71C0D"/>
    <w:rsid w:val="00E725AA"/>
    <w:rsid w:val="00E72827"/>
    <w:rsid w:val="00E72A45"/>
    <w:rsid w:val="00E72D8A"/>
    <w:rsid w:val="00E742A0"/>
    <w:rsid w:val="00E74593"/>
    <w:rsid w:val="00E82647"/>
    <w:rsid w:val="00E82BDE"/>
    <w:rsid w:val="00E84C66"/>
    <w:rsid w:val="00E9062C"/>
    <w:rsid w:val="00E90A3A"/>
    <w:rsid w:val="00E910C1"/>
    <w:rsid w:val="00E92EA5"/>
    <w:rsid w:val="00E9317F"/>
    <w:rsid w:val="00E94E30"/>
    <w:rsid w:val="00E9671F"/>
    <w:rsid w:val="00E97BE1"/>
    <w:rsid w:val="00EA2BBA"/>
    <w:rsid w:val="00EA2EFD"/>
    <w:rsid w:val="00EA483C"/>
    <w:rsid w:val="00EB0F34"/>
    <w:rsid w:val="00EB18A6"/>
    <w:rsid w:val="00EB1A1B"/>
    <w:rsid w:val="00EB3D9A"/>
    <w:rsid w:val="00EC1416"/>
    <w:rsid w:val="00EC3B20"/>
    <w:rsid w:val="00EC43F8"/>
    <w:rsid w:val="00EC5313"/>
    <w:rsid w:val="00EC7142"/>
    <w:rsid w:val="00ED0B44"/>
    <w:rsid w:val="00ED0DA3"/>
    <w:rsid w:val="00ED2883"/>
    <w:rsid w:val="00ED2C19"/>
    <w:rsid w:val="00EE21BC"/>
    <w:rsid w:val="00EF0F15"/>
    <w:rsid w:val="00F05503"/>
    <w:rsid w:val="00F11D53"/>
    <w:rsid w:val="00F20BF6"/>
    <w:rsid w:val="00F2227F"/>
    <w:rsid w:val="00F249BE"/>
    <w:rsid w:val="00F24E6A"/>
    <w:rsid w:val="00F3128E"/>
    <w:rsid w:val="00F31A31"/>
    <w:rsid w:val="00F31DBF"/>
    <w:rsid w:val="00F32A3C"/>
    <w:rsid w:val="00F33303"/>
    <w:rsid w:val="00F333CC"/>
    <w:rsid w:val="00F339D5"/>
    <w:rsid w:val="00F3421C"/>
    <w:rsid w:val="00F34800"/>
    <w:rsid w:val="00F350E9"/>
    <w:rsid w:val="00F35900"/>
    <w:rsid w:val="00F37030"/>
    <w:rsid w:val="00F435A3"/>
    <w:rsid w:val="00F4438D"/>
    <w:rsid w:val="00F4484E"/>
    <w:rsid w:val="00F46BAB"/>
    <w:rsid w:val="00F47018"/>
    <w:rsid w:val="00F515A0"/>
    <w:rsid w:val="00F52CB1"/>
    <w:rsid w:val="00F5743B"/>
    <w:rsid w:val="00F57D10"/>
    <w:rsid w:val="00F57F19"/>
    <w:rsid w:val="00F60C34"/>
    <w:rsid w:val="00F63168"/>
    <w:rsid w:val="00F645EB"/>
    <w:rsid w:val="00F647B4"/>
    <w:rsid w:val="00F659C2"/>
    <w:rsid w:val="00F71389"/>
    <w:rsid w:val="00F71D4C"/>
    <w:rsid w:val="00F7235E"/>
    <w:rsid w:val="00F726FB"/>
    <w:rsid w:val="00F72E02"/>
    <w:rsid w:val="00F76D45"/>
    <w:rsid w:val="00F77766"/>
    <w:rsid w:val="00F82160"/>
    <w:rsid w:val="00F821E4"/>
    <w:rsid w:val="00F844E2"/>
    <w:rsid w:val="00F852C2"/>
    <w:rsid w:val="00F85C18"/>
    <w:rsid w:val="00F87809"/>
    <w:rsid w:val="00F9098F"/>
    <w:rsid w:val="00F91AD2"/>
    <w:rsid w:val="00F91DA0"/>
    <w:rsid w:val="00F927EF"/>
    <w:rsid w:val="00F92A79"/>
    <w:rsid w:val="00F931FF"/>
    <w:rsid w:val="00F93F0B"/>
    <w:rsid w:val="00F93F15"/>
    <w:rsid w:val="00F95A9F"/>
    <w:rsid w:val="00F95B66"/>
    <w:rsid w:val="00FA24AF"/>
    <w:rsid w:val="00FA384B"/>
    <w:rsid w:val="00FA4F1D"/>
    <w:rsid w:val="00FA680A"/>
    <w:rsid w:val="00FA762A"/>
    <w:rsid w:val="00FB29EF"/>
    <w:rsid w:val="00FB40E7"/>
    <w:rsid w:val="00FB494A"/>
    <w:rsid w:val="00FB74F1"/>
    <w:rsid w:val="00FC0259"/>
    <w:rsid w:val="00FC0B8A"/>
    <w:rsid w:val="00FC1645"/>
    <w:rsid w:val="00FC1B4E"/>
    <w:rsid w:val="00FC2096"/>
    <w:rsid w:val="00FD1A38"/>
    <w:rsid w:val="00FD1B67"/>
    <w:rsid w:val="00FD2B27"/>
    <w:rsid w:val="00FD4113"/>
    <w:rsid w:val="00FD7076"/>
    <w:rsid w:val="00FE1E1B"/>
    <w:rsid w:val="00FE6587"/>
    <w:rsid w:val="00FF07F4"/>
    <w:rsid w:val="00FF1589"/>
    <w:rsid w:val="00FF5ED0"/>
    <w:rsid w:val="00FF60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829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qFormat="1"/>
    <w:lsdException w:name="footer" w:qFormat="1"/>
    <w:lsdException w:name="caption" w:uiPriority="35" w:qFormat="1"/>
    <w:lsdException w:name="footnote reference" w:uiPriority="14"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4128"/>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Char"/>
    <w:uiPriority w:val="9"/>
    <w:qFormat/>
    <w:rsid w:val="00BA415A"/>
    <w:pPr>
      <w:keepNext/>
      <w:keepLines/>
      <w:spacing w:beforeLines="100" w:before="100" w:afterLines="100" w:after="100"/>
      <w:ind w:firstLineChars="0" w:firstLine="0"/>
      <w:jc w:val="center"/>
      <w:outlineLvl w:val="0"/>
    </w:pPr>
    <w:rPr>
      <w:rFonts w:eastAsia="黑体" w:ascii="Times New Roman" w:hAnsi="Times New Roman"/>
      <w:bCs/>
      <w:kern w:val="44"/>
      <w:sz w:val="32"/>
      <w:szCs w:val="44"/>
    </w:rPr>
  </w:style>
  <w:style w:type="paragraph" w:styleId="2">
    <w:name w:val="heading 2"/>
    <w:basedOn w:val="a"/>
    <w:next w:val="a"/>
    <w:link w:val="2Char"/>
    <w:uiPriority w:val="9"/>
    <w:unhideWhenUsed/>
    <w:qFormat/>
    <w:rsid w:val="00BA415A"/>
    <w:pPr>
      <w:keepNext/>
      <w:keepLines/>
      <w:spacing w:beforeLines="50" w:before="50" w:afterLines="50" w:after="50"/>
      <w:ind w:firstLineChars="0" w:firstLine="0"/>
      <w:outlineLvl w:val="1"/>
    </w:pPr>
    <w:rPr>
      <w:rFonts w:eastAsia="黑体" w:cstheme="majorBidi" w:ascii="Times New Roman" w:hAnsi="Times New Roman"/>
      <w:bCs/>
      <w:sz w:val="28"/>
      <w:szCs w:val="32"/>
    </w:rPr>
  </w:style>
  <w:style w:type="paragraph" w:styleId="3">
    <w:name w:val="heading 3"/>
    <w:basedOn w:val="a"/>
    <w:next w:val="a"/>
    <w:link w:val="3Char"/>
    <w:uiPriority w:val="9"/>
    <w:unhideWhenUsed/>
    <w:qFormat/>
    <w:rsid w:val="003635B4"/>
    <w:pPr>
      <w:keepNext/>
      <w:keepLines/>
      <w:spacing w:beforeLines="50" w:before="50" w:afterLines="50" w:after="50"/>
      <w:ind w:firstLineChars="0" w:firstLine="0"/>
      <w:outlineLvl w:val="2"/>
    </w:pPr>
    <w:rPr>
      <w:rFonts w:eastAsia="黑体" w:ascii="Times New Roman" w:hAnsi="Times New Roman"/>
      <w:bCs/>
      <w:sz w:val="24"/>
      <w:szCs w:val="32"/>
    </w:rPr>
  </w:style>
  <w:style w:type="paragraph" w:styleId="4">
    <w:name w:val="heading 4"/>
    <w:basedOn w:val="a"/>
    <w:next w:val="a"/>
    <w:link w:val="4Char"/>
    <w:uiPriority w:val="9"/>
    <w:unhideWhenUsed/>
    <w:qFormat/>
    <w:rsid w:val="00BA415A"/>
    <w:pPr>
      <w:keepNext/>
      <w:keepLines/>
      <w:spacing w:before="280" w:after="290" w:line="377" w:lineRule="auto"/>
      <w:ind w:firstLineChars="0" w:firstLine="0"/>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A415A"/>
    <w:rPr>
      <w:rFonts w:ascii="Times New Roman" w:eastAsia="黑体" w:hAnsi="Times New Roman"/>
      <w:bCs/>
      <w:kern w:val="44"/>
      <w:sz w:val="36"/>
      <w:szCs w:val="44"/>
    </w:rPr>
  </w:style>
  <w:style w:type="character" w:customStyle="1" w:styleId="2Char">
    <w:name w:val="标题 2 Char"/>
    <w:basedOn w:val="a0"/>
    <w:link w:val="2"/>
    <w:uiPriority w:val="9"/>
    <w:rsid w:val="00BA415A"/>
    <w:rPr>
      <w:rFonts w:ascii="Times New Roman" w:eastAsia="黑体" w:hAnsi="Times New Roman" w:cstheme="majorBidi"/>
      <w:bCs/>
      <w:sz w:val="30"/>
      <w:szCs w:val="32"/>
    </w:rPr>
  </w:style>
  <w:style w:type="paragraph" w:styleId="a3">
    <w:name w:val="header"/>
    <w:basedOn w:val="a"/>
    <w:link w:val="Char"/>
    <w:uiPriority w:val="99"/>
    <w:unhideWhenUsed/>
    <w:rsid w:val="00801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01133"/>
    <w:rPr>
      <w:sz w:val="18"/>
      <w:szCs w:val="18"/>
    </w:rPr>
  </w:style>
  <w:style w:type="paragraph" w:styleId="a4">
    <w:name w:val="footer"/>
    <w:basedOn w:val="a"/>
    <w:link w:val="Char0"/>
    <w:uiPriority w:val="99"/>
    <w:unhideWhenUsed/>
    <w:qFormat/>
    <w:rsid w:val="00801133"/>
    <w:pPr>
      <w:tabs>
        <w:tab w:val="center" w:pos="4153"/>
        <w:tab w:val="right" w:pos="8306"/>
      </w:tabs>
      <w:snapToGrid w:val="0"/>
      <w:jc w:val="left"/>
    </w:pPr>
    <w:rPr>
      <w:sz w:val="18"/>
      <w:szCs w:val="18"/>
    </w:rPr>
  </w:style>
  <w:style w:type="character" w:customStyle="1" w:styleId="Char0">
    <w:name w:val="页脚 Char"/>
    <w:basedOn w:val="a0"/>
    <w:link w:val="a4"/>
    <w:uiPriority w:val="99"/>
    <w:rsid w:val="00801133"/>
    <w:rPr>
      <w:sz w:val="18"/>
      <w:szCs w:val="18"/>
    </w:rPr>
  </w:style>
  <w:style w:type="paragraph" w:styleId="a5">
    <w:name w:val="No Spacing"/>
    <w:uiPriority w:val="1"/>
    <w:qFormat/>
    <w:rsid w:val="00801133"/>
    <w:pPr>
      <w:widowControl w:val="0"/>
      <w:jc w:val="both"/>
    </w:pPr>
  </w:style>
  <w:style w:type="character" w:customStyle="1" w:styleId="3Char">
    <w:name w:val="标题 3 Char"/>
    <w:basedOn w:val="a0"/>
    <w:link w:val="3"/>
    <w:uiPriority w:val="9"/>
    <w:rsid w:val="003635B4"/>
    <w:rPr>
      <w:rFonts w:ascii="Times New Roman" w:eastAsia="黑体" w:hAnsi="Times New Roman"/>
      <w:bCs/>
      <w:sz w:val="28"/>
      <w:szCs w:val="32"/>
    </w:rPr>
  </w:style>
  <w:style w:type="table" w:styleId="a6">
    <w:name w:val="Table Grid"/>
    <w:basedOn w:val="a1"/>
    <w:uiPriority w:val="59"/>
    <w:qFormat/>
    <w:rsid w:val="006F3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basedOn w:val="a0"/>
    <w:link w:val="4"/>
    <w:uiPriority w:val="9"/>
    <w:rsid w:val="00BA415A"/>
    <w:rPr>
      <w:rFonts w:ascii="Times New Roman" w:eastAsia="黑体" w:hAnsi="Times New Roman" w:cstheme="majorBidi"/>
      <w:bCs/>
      <w:sz w:val="24"/>
      <w:szCs w:val="28"/>
    </w:rPr>
  </w:style>
  <w:style w:type="character" w:styleId="a7">
    <w:name w:val="Placeholder Text"/>
    <w:basedOn w:val="a0"/>
    <w:uiPriority w:val="99"/>
    <w:semiHidden/>
    <w:rsid w:val="00405711"/>
    <w:rPr>
      <w:color w:val="808080"/>
    </w:rPr>
  </w:style>
  <w:style w:type="character" w:styleId="a8">
    <w:name w:val="Hyperlink"/>
    <w:basedOn w:val="a0"/>
    <w:uiPriority w:val="99"/>
    <w:unhideWhenUsed/>
    <w:rsid w:val="0021425E"/>
    <w:rPr>
      <w:color w:val="0563C1" w:themeColor="hyperlink"/>
      <w:u w:val="single"/>
    </w:rPr>
  </w:style>
  <w:style w:type="character" w:customStyle="1" w:styleId="UnresolvedMention">
    <w:name w:val="Unresolved Mention"/>
    <w:basedOn w:val="a0"/>
    <w:uiPriority w:val="99"/>
    <w:semiHidden/>
    <w:unhideWhenUsed/>
    <w:rsid w:val="0021425E"/>
    <w:rPr>
      <w:color w:val="605E5C"/>
      <w:shd w:val="clear" w:color="auto" w:fill="E1DFDD"/>
    </w:rPr>
  </w:style>
  <w:style w:type="paragraph" w:styleId="a9">
    <w:name w:val="footnote text"/>
    <w:basedOn w:val="a"/>
    <w:link w:val="Char1"/>
    <w:uiPriority w:val="99"/>
    <w:semiHidden/>
    <w:unhideWhenUsed/>
    <w:rsid w:val="00301745"/>
    <w:pPr>
      <w:snapToGrid w:val="0"/>
      <w:jc w:val="left"/>
    </w:pPr>
    <w:rPr>
      <w:sz w:val="18"/>
      <w:szCs w:val="18"/>
    </w:rPr>
  </w:style>
  <w:style w:type="character" w:customStyle="1" w:styleId="Char1">
    <w:name w:val="脚注文本 Char"/>
    <w:basedOn w:val="a0"/>
    <w:link w:val="a9"/>
    <w:uiPriority w:val="99"/>
    <w:semiHidden/>
    <w:rsid w:val="00301745"/>
    <w:rPr>
      <w:sz w:val="18"/>
      <w:szCs w:val="18"/>
    </w:rPr>
  </w:style>
  <w:style w:type="character" w:styleId="aa">
    <w:name w:val="footnote reference"/>
    <w:basedOn w:val="a0"/>
    <w:uiPriority w:val="14"/>
    <w:unhideWhenUsed/>
    <w:qFormat/>
    <w:rsid w:val="00301745"/>
    <w:rPr>
      <w:vertAlign w:val="superscript"/>
    </w:rPr>
  </w:style>
  <w:style w:type="paragraph" w:styleId="ab">
    <w:name w:val="Title"/>
    <w:basedOn w:val="a"/>
    <w:next w:val="a"/>
    <w:link w:val="Char2"/>
    <w:uiPriority w:val="10"/>
    <w:qFormat/>
    <w:rsid w:val="003A1F15"/>
    <w:pPr>
      <w:spacing w:before="240" w:after="60"/>
      <w:jc w:val="center"/>
      <w:outlineLvl w:val="0"/>
    </w:pPr>
    <w:rPr>
      <w:rFonts w:asciiTheme="majorHAnsi" w:eastAsiaTheme="majorEastAsia" w:hAnsiTheme="majorHAnsi" w:cstheme="majorBidi"/>
      <w:b/>
      <w:bCs/>
      <w:sz w:val="32"/>
      <w:szCs w:val="32"/>
    </w:rPr>
  </w:style>
  <w:style w:type="character" w:customStyle="1" w:styleId="Char2">
    <w:name w:val="标题 Char"/>
    <w:basedOn w:val="a0"/>
    <w:link w:val="ab"/>
    <w:uiPriority w:val="10"/>
    <w:rsid w:val="003A1F15"/>
    <w:rPr>
      <w:rFonts w:asciiTheme="majorHAnsi" w:eastAsiaTheme="majorEastAsia" w:hAnsiTheme="majorHAnsi" w:cstheme="majorBidi"/>
      <w:b/>
      <w:bCs/>
      <w:sz w:val="32"/>
      <w:szCs w:val="32"/>
    </w:rPr>
  </w:style>
  <w:style w:type="paragraph" w:customStyle="1" w:styleId="ac">
    <w:name w:val="表格"/>
    <w:basedOn w:val="a"/>
    <w:link w:val="ad"/>
    <w:qFormat/>
    <w:rsid w:val="007513D5"/>
    <w:pPr>
      <w:framePr w:hSpace="180" w:wrap="around" w:vAnchor="text" w:hAnchor="margin" w:xAlign="center" w:y="49"/>
      <w:ind w:firstLine="420"/>
      <w:jc w:val="center"/>
    </w:pPr>
    <w:rPr>
      <w:sz w:val="21"/>
      <w:szCs w:val="21"/>
    </w:rPr>
  </w:style>
  <w:style w:type="character" w:styleId="ae">
    <w:name w:val="FollowedHyperlink"/>
    <w:basedOn w:val="a0"/>
    <w:uiPriority w:val="99"/>
    <w:semiHidden/>
    <w:unhideWhenUsed/>
    <w:rsid w:val="00977941"/>
    <w:rPr>
      <w:color w:val="954F72" w:themeColor="followedHyperlink"/>
      <w:u w:val="single"/>
    </w:rPr>
  </w:style>
  <w:style w:type="character" w:customStyle="1" w:styleId="ad">
    <w:name w:val="表格 字符"/>
    <w:basedOn w:val="a0"/>
    <w:link w:val="ac"/>
    <w:rsid w:val="007513D5"/>
    <w:rPr>
      <w:rFonts w:ascii="Times New Roman" w:eastAsia="宋体" w:hAnsi="Times New Roman"/>
      <w:szCs w:val="21"/>
    </w:rPr>
  </w:style>
  <w:style w:type="character" w:customStyle="1" w:styleId="MTEquationSection">
    <w:name w:val="MTEquationSection"/>
    <w:basedOn w:val="a0"/>
    <w:rsid w:val="005C55A9"/>
    <w:rPr>
      <w:vanish/>
      <w:color w:val="FF0000"/>
    </w:rPr>
  </w:style>
  <w:style w:type="paragraph" w:customStyle="1" w:styleId="MTDisplayEquation">
    <w:name w:val="MTDisplayEquation"/>
    <w:basedOn w:val="a"/>
    <w:next w:val="a"/>
    <w:link w:val="MTDisplayEquation0"/>
    <w:rsid w:val="00EB3D9A"/>
    <w:pPr>
      <w:tabs>
        <w:tab w:val="center" w:pos="4160"/>
        <w:tab w:val="right" w:pos="8300"/>
      </w:tabs>
      <w:ind w:firstLine="480"/>
    </w:pPr>
  </w:style>
  <w:style w:type="character" w:customStyle="1" w:styleId="MTDisplayEquation0">
    <w:name w:val="MTDisplayEquation 字符"/>
    <w:basedOn w:val="a0"/>
    <w:link w:val="MTDisplayEquation"/>
    <w:rsid w:val="00EB3D9A"/>
    <w:rPr>
      <w:rFonts w:ascii="Times New Roman" w:eastAsia="宋体" w:hAnsi="Times New Roman"/>
      <w:sz w:val="24"/>
    </w:rPr>
  </w:style>
  <w:style w:type="paragraph" w:styleId="af">
    <w:name w:val="Normal (Web)"/>
    <w:basedOn w:val="a"/>
    <w:uiPriority w:val="99"/>
    <w:semiHidden/>
    <w:unhideWhenUsed/>
    <w:rsid w:val="003319F2"/>
    <w:pPr>
      <w:widowControl/>
      <w:spacing w:before="100" w:beforeAutospacing="1" w:after="100" w:afterAutospacing="1"/>
      <w:jc w:val="left"/>
    </w:pPr>
    <w:rPr>
      <w:rFonts w:ascii="宋体" w:hAnsi="宋体" w:cs="宋体"/>
      <w:kern w:val="0"/>
      <w:szCs w:val="24"/>
    </w:rPr>
  </w:style>
  <w:style w:type="paragraph" w:styleId="30">
    <w:name w:val="toc 3"/>
    <w:basedOn w:val="a"/>
    <w:next w:val="a"/>
    <w:uiPriority w:val="39"/>
    <w:unhideWhenUsed/>
    <w:qFormat/>
    <w:rsid w:val="001059A9"/>
    <w:pPr>
      <w:ind w:leftChars="400" w:left="400" w:firstLineChars="0" w:firstLine="0"/>
    </w:pPr>
    <w:rPr>
      <w:rFonts w:cs="黑体"/>
    </w:rPr>
  </w:style>
  <w:style w:type="paragraph" w:styleId="10">
    <w:name w:val="toc 1"/>
    <w:next w:val="a"/>
    <w:uiPriority w:val="39"/>
    <w:unhideWhenUsed/>
    <w:qFormat/>
    <w:rsid w:val="001059A9"/>
    <w:pPr>
      <w:spacing w:line="440" w:lineRule="exact"/>
      <w:jc w:val="both"/>
    </w:pPr>
    <w:rPr>
      <w:rFonts w:ascii="Times New Roman" w:eastAsia="黑体" w:hAnsi="Times New Roman" w:cs="黑体"/>
      <w:sz w:val="24"/>
    </w:rPr>
  </w:style>
  <w:style w:type="paragraph" w:styleId="20">
    <w:name w:val="toc 2"/>
    <w:basedOn w:val="a"/>
    <w:next w:val="a"/>
    <w:uiPriority w:val="39"/>
    <w:unhideWhenUsed/>
    <w:qFormat/>
    <w:rsid w:val="001059A9"/>
    <w:pPr>
      <w:ind w:leftChars="200" w:left="200" w:firstLineChars="0" w:firstLine="0"/>
    </w:pPr>
    <w:rPr>
      <w:rFonts w:cs="黑体"/>
    </w:rPr>
  </w:style>
  <w:style w:type="paragraph" w:styleId="9">
    <w:name w:val="toc 9"/>
    <w:basedOn w:val="a"/>
    <w:next w:val="a"/>
    <w:uiPriority w:val="39"/>
    <w:unhideWhenUsed/>
    <w:qFormat/>
    <w:rsid w:val="004E5A4B"/>
    <w:pPr>
      <w:ind w:leftChars="1600" w:left="3360"/>
    </w:pPr>
    <w:rPr>
      <w:rFonts w:cs="黑体"/>
    </w:rPr>
  </w:style>
  <w:style w:type="character" w:customStyle="1" w:styleId="11">
    <w:name w:val="页眉 字符1"/>
    <w:uiPriority w:val="99"/>
    <w:semiHidden/>
    <w:qFormat/>
    <w:rsid w:val="004E5A4B"/>
    <w:rPr>
      <w:sz w:val="18"/>
      <w:szCs w:val="18"/>
    </w:rPr>
  </w:style>
  <w:style w:type="character" w:customStyle="1" w:styleId="12">
    <w:name w:val="页脚 字符1"/>
    <w:uiPriority w:val="99"/>
    <w:qFormat/>
    <w:rsid w:val="004E5A4B"/>
    <w:rPr>
      <w:sz w:val="18"/>
      <w:szCs w:val="18"/>
    </w:rPr>
  </w:style>
  <w:style w:type="paragraph" w:customStyle="1" w:styleId="af0">
    <w:name w:val="书脊样式"/>
    <w:basedOn w:val="a"/>
    <w:qFormat/>
    <w:rsid w:val="004E5A4B"/>
    <w:rPr>
      <w:rFonts w:eastAsia="黑体" w:cs="黑体"/>
      <w:b/>
      <w:sz w:val="36"/>
      <w:szCs w:val="21"/>
    </w:rPr>
  </w:style>
  <w:style w:type="paragraph" w:customStyle="1" w:styleId="p0">
    <w:name w:val="p0"/>
    <w:basedOn w:val="a"/>
    <w:qFormat/>
    <w:rsid w:val="004E5A4B"/>
    <w:pPr>
      <w:widowControl/>
    </w:pPr>
    <w:rPr>
      <w:rFonts w:cs="黑体"/>
      <w:kern w:val="0"/>
      <w:szCs w:val="21"/>
    </w:rPr>
  </w:style>
  <w:style w:type="paragraph" w:styleId="TOC">
    <w:name w:val="TOC Heading"/>
    <w:basedOn w:val="1"/>
    <w:next w:val="a"/>
    <w:uiPriority w:val="39"/>
    <w:unhideWhenUsed/>
    <w:qFormat/>
    <w:rsid w:val="006E2EB8"/>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1">
    <w:name w:val="List Paragraph"/>
    <w:basedOn w:val="a"/>
    <w:uiPriority w:val="34"/>
    <w:qFormat/>
    <w:rsid w:val="00E56E8A"/>
    <w:pPr>
      <w:ind w:firstLine="420"/>
    </w:pPr>
  </w:style>
  <w:style w:type="paragraph" w:styleId="31">
    <w:name w:val="Body Text Indent 3"/>
    <w:basedOn w:val="a"/>
    <w:link w:val="3Char0"/>
    <w:uiPriority w:val="99"/>
    <w:rsid w:val="00C10386"/>
    <w:pPr>
      <w:tabs>
        <w:tab w:val="left" w:pos="207"/>
      </w:tabs>
      <w:adjustRightInd w:val="0"/>
      <w:snapToGrid w:val="0"/>
      <w:spacing w:line="360" w:lineRule="auto"/>
      <w:ind w:leftChars="-13" w:left="-27" w:firstLineChars="215" w:firstLine="682"/>
    </w:pPr>
    <w:rPr>
      <w:rFonts w:cs="Times New Roman"/>
      <w:kern w:val="0"/>
      <w:sz w:val="32"/>
      <w:szCs w:val="24"/>
    </w:rPr>
  </w:style>
  <w:style w:type="character" w:customStyle="1" w:styleId="3Char0">
    <w:name w:val="正文文本缩进 3 Char"/>
    <w:basedOn w:val="a0"/>
    <w:link w:val="31"/>
    <w:uiPriority w:val="99"/>
    <w:rsid w:val="00C10386"/>
    <w:rPr>
      <w:rFonts w:ascii="Times New Roman" w:eastAsia="宋体" w:hAnsi="Times New Roman" w:cs="Times New Roman"/>
      <w:kern w:val="0"/>
      <w:sz w:val="32"/>
      <w:szCs w:val="24"/>
    </w:rPr>
  </w:style>
  <w:style w:type="paragraph" w:customStyle="1" w:styleId="af2">
    <w:name w:val="论文正文"/>
    <w:basedOn w:val="a"/>
    <w:link w:val="Char3"/>
    <w:autoRedefine/>
    <w:uiPriority w:val="2"/>
    <w:qFormat/>
    <w:locked/>
    <w:rsid w:val="00E23679"/>
    <w:pPr>
      <w:widowControl/>
      <w:ind w:firstLineChars="0" w:firstLine="482"/>
    </w:pPr>
    <w:rPr>
      <w:rFonts w:hAnsi="宋体" w:cs="Courier New"/>
      <w:bCs/>
      <w:szCs w:val="24"/>
    </w:rPr>
  </w:style>
  <w:style w:type="character" w:customStyle="1" w:styleId="Char3">
    <w:name w:val="论文正文 Char"/>
    <w:basedOn w:val="a0"/>
    <w:link w:val="af2"/>
    <w:autoRedefine/>
    <w:uiPriority w:val="2"/>
    <w:qFormat/>
    <w:rsid w:val="00E23679"/>
    <w:rPr>
      <w:rFonts w:ascii="Times New Roman" w:eastAsia="宋体" w:hAnsi="宋体" w:cs="Courier New"/>
      <w:bCs/>
      <w:sz w:val="24"/>
      <w:szCs w:val="24"/>
    </w:rPr>
  </w:style>
  <w:style w:type="table" w:customStyle="1" w:styleId="13">
    <w:name w:val="网格型1"/>
    <w:basedOn w:val="a1"/>
    <w:next w:val="a6"/>
    <w:autoRedefine/>
    <w:uiPriority w:val="59"/>
    <w:qFormat/>
    <w:rsid w:val="00AB28B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6"/>
    <w:autoRedefine/>
    <w:uiPriority w:val="59"/>
    <w:qFormat/>
    <w:rsid w:val="0021412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三线表格"/>
    <w:basedOn w:val="a1"/>
    <w:autoRedefine/>
    <w:uiPriority w:val="99"/>
    <w:qFormat/>
    <w:locked/>
    <w:rsid w:val="00214128"/>
    <w:pPr>
      <w:jc w:val="center"/>
    </w:pPr>
    <w:rPr>
      <w:rFonts w:ascii="Times New Roman" w:eastAsia="宋体" w:hAnsi="Times New Roman" w:cs="Times New Roman"/>
      <w:kern w:val="0"/>
      <w:szCs w:val="20"/>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paragraph" w:styleId="af4">
    <w:name w:val="Balloon Text"/>
    <w:basedOn w:val="a"/>
    <w:link w:val="Char4"/>
    <w:uiPriority w:val="99"/>
    <w:semiHidden/>
    <w:unhideWhenUsed/>
    <w:rsid w:val="0082761D"/>
    <w:pPr>
      <w:spacing w:line="240" w:lineRule="auto"/>
    </w:pPr>
    <w:rPr>
      <w:sz w:val="18"/>
      <w:szCs w:val="18"/>
    </w:rPr>
  </w:style>
  <w:style w:type="character" w:customStyle="1" w:styleId="Char4">
    <w:name w:val="批注框文本 Char"/>
    <w:basedOn w:val="a0"/>
    <w:link w:val="af4"/>
    <w:uiPriority w:val="99"/>
    <w:semiHidden/>
    <w:rsid w:val="0082761D"/>
    <w:rPr>
      <w:rFonts w:ascii="Times New Roman" w:eastAsia="宋体"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qFormat="1"/>
    <w:lsdException w:name="footer" w:qFormat="1"/>
    <w:lsdException w:name="caption" w:uiPriority="35" w:qFormat="1"/>
    <w:lsdException w:name="footnote reference" w:uiPriority="14"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14128"/>
    <w:pPr>
      <w:widowControl w:val="0"/>
      <w:spacing w:line="440" w:lineRule="exact"/>
      <w:ind w:firstLineChars="200" w:firstLine="200"/>
      <w:jc w:val="both"/>
    </w:pPr>
    <w:rPr>
      <w:rFonts w:ascii="Times New Roman" w:eastAsia="宋体" w:hAnsi="Times New Roman"/>
      <w:sz w:val="24"/>
    </w:rPr>
  </w:style>
  <w:style w:type="paragraph" w:styleId="1">
    <w:name w:val="heading 1"/>
    <w:basedOn w:val="a"/>
    <w:next w:val="a"/>
    <w:link w:val="1Char"/>
    <w:uiPriority w:val="9"/>
    <w:qFormat/>
    <w:rsid w:val="00BA415A"/>
    <w:pPr>
      <w:keepNext/>
      <w:keepLines/>
      <w:spacing w:beforeLines="100" w:before="100" w:afterLines="100" w:after="100"/>
      <w:ind w:firstLineChars="0" w:firstLine="0"/>
      <w:jc w:val="center"/>
      <w:outlineLvl w:val="0"/>
    </w:pPr>
    <w:rPr>
      <w:rFonts w:eastAsia="黑体"/>
      <w:bCs/>
      <w:kern w:val="44"/>
      <w:sz w:val="36"/>
      <w:szCs w:val="44"/>
    </w:rPr>
  </w:style>
  <w:style w:type="paragraph" w:styleId="2">
    <w:name w:val="heading 2"/>
    <w:basedOn w:val="a"/>
    <w:next w:val="a"/>
    <w:link w:val="2Char"/>
    <w:uiPriority w:val="9"/>
    <w:unhideWhenUsed/>
    <w:qFormat/>
    <w:rsid w:val="00BA415A"/>
    <w:pPr>
      <w:keepNext/>
      <w:keepLines/>
      <w:spacing w:beforeLines="50" w:before="50" w:afterLines="50" w:after="50"/>
      <w:ind w:firstLineChars="0" w:firstLine="0"/>
      <w:outlineLvl w:val="1"/>
    </w:pPr>
    <w:rPr>
      <w:rFonts w:eastAsia="黑体" w:cstheme="majorBidi"/>
      <w:bCs/>
      <w:sz w:val="30"/>
      <w:szCs w:val="32"/>
    </w:rPr>
  </w:style>
  <w:style w:type="paragraph" w:styleId="3">
    <w:name w:val="heading 3"/>
    <w:basedOn w:val="a"/>
    <w:next w:val="a"/>
    <w:link w:val="3Char"/>
    <w:uiPriority w:val="9"/>
    <w:unhideWhenUsed/>
    <w:qFormat/>
    <w:rsid w:val="003635B4"/>
    <w:pPr>
      <w:keepNext/>
      <w:keepLines/>
      <w:spacing w:beforeLines="50" w:before="50" w:afterLines="50" w:after="50"/>
      <w:ind w:firstLineChars="0" w:firstLine="0"/>
      <w:outlineLvl w:val="2"/>
    </w:pPr>
    <w:rPr>
      <w:rFonts w:eastAsia="黑体"/>
      <w:bCs/>
      <w:sz w:val="28"/>
      <w:szCs w:val="32"/>
    </w:rPr>
  </w:style>
  <w:style w:type="paragraph" w:styleId="4">
    <w:name w:val="heading 4"/>
    <w:basedOn w:val="a"/>
    <w:next w:val="a"/>
    <w:link w:val="4Char"/>
    <w:uiPriority w:val="9"/>
    <w:unhideWhenUsed/>
    <w:qFormat/>
    <w:rsid w:val="00BA415A"/>
    <w:pPr>
      <w:keepNext/>
      <w:keepLines/>
      <w:spacing w:before="280" w:after="290" w:line="377" w:lineRule="auto"/>
      <w:ind w:firstLineChars="0" w:firstLine="0"/>
      <w:outlineLvl w:val="3"/>
    </w:pPr>
    <w:rPr>
      <w:rFonts w:eastAsia="黑体"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BA415A"/>
    <w:rPr>
      <w:rFonts w:ascii="Times New Roman" w:eastAsia="黑体" w:hAnsi="Times New Roman"/>
      <w:bCs/>
      <w:kern w:val="44"/>
      <w:sz w:val="36"/>
      <w:szCs w:val="44"/>
    </w:rPr>
  </w:style>
  <w:style w:type="character" w:customStyle="1" w:styleId="2Char">
    <w:name w:val="标题 2 Char"/>
    <w:basedOn w:val="a0"/>
    <w:link w:val="2"/>
    <w:uiPriority w:val="9"/>
    <w:rsid w:val="00BA415A"/>
    <w:rPr>
      <w:rFonts w:ascii="Times New Roman" w:eastAsia="黑体" w:hAnsi="Times New Roman" w:cstheme="majorBidi"/>
      <w:bCs/>
      <w:sz w:val="30"/>
      <w:szCs w:val="32"/>
    </w:rPr>
  </w:style>
  <w:style w:type="paragraph" w:styleId="a3">
    <w:name w:val="header"/>
    <w:basedOn w:val="a"/>
    <w:link w:val="Char"/>
    <w:uiPriority w:val="99"/>
    <w:unhideWhenUsed/>
    <w:rsid w:val="00801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801133"/>
    <w:rPr>
      <w:sz w:val="18"/>
      <w:szCs w:val="18"/>
    </w:rPr>
  </w:style>
  <w:style w:type="paragraph" w:styleId="a4">
    <w:name w:val="footer"/>
    <w:basedOn w:val="a"/>
    <w:link w:val="Char0"/>
    <w:uiPriority w:val="99"/>
    <w:unhideWhenUsed/>
    <w:qFormat/>
    <w:rsid w:val="00801133"/>
    <w:pPr>
      <w:tabs>
        <w:tab w:val="center" w:pos="4153"/>
        <w:tab w:val="right" w:pos="8306"/>
      </w:tabs>
      <w:snapToGrid w:val="0"/>
      <w:jc w:val="left"/>
    </w:pPr>
    <w:rPr>
      <w:sz w:val="18"/>
      <w:szCs w:val="18"/>
    </w:rPr>
  </w:style>
  <w:style w:type="character" w:customStyle="1" w:styleId="Char0">
    <w:name w:val="页脚 Char"/>
    <w:basedOn w:val="a0"/>
    <w:link w:val="a4"/>
    <w:uiPriority w:val="99"/>
    <w:rsid w:val="00801133"/>
    <w:rPr>
      <w:sz w:val="18"/>
      <w:szCs w:val="18"/>
    </w:rPr>
  </w:style>
  <w:style w:type="paragraph" w:styleId="a5">
    <w:name w:val="No Spacing"/>
    <w:uiPriority w:val="1"/>
    <w:qFormat/>
    <w:rsid w:val="00801133"/>
    <w:pPr>
      <w:widowControl w:val="0"/>
      <w:jc w:val="both"/>
    </w:pPr>
  </w:style>
  <w:style w:type="character" w:customStyle="1" w:styleId="3Char">
    <w:name w:val="标题 3 Char"/>
    <w:basedOn w:val="a0"/>
    <w:link w:val="3"/>
    <w:uiPriority w:val="9"/>
    <w:rsid w:val="003635B4"/>
    <w:rPr>
      <w:rFonts w:ascii="Times New Roman" w:eastAsia="黑体" w:hAnsi="Times New Roman"/>
      <w:bCs/>
      <w:sz w:val="28"/>
      <w:szCs w:val="32"/>
    </w:rPr>
  </w:style>
  <w:style w:type="table" w:styleId="a6">
    <w:name w:val="Table Grid"/>
    <w:basedOn w:val="a1"/>
    <w:uiPriority w:val="59"/>
    <w:qFormat/>
    <w:rsid w:val="006F3C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basedOn w:val="a0"/>
    <w:link w:val="4"/>
    <w:uiPriority w:val="9"/>
    <w:rsid w:val="00BA415A"/>
    <w:rPr>
      <w:rFonts w:ascii="Times New Roman" w:eastAsia="黑体" w:hAnsi="Times New Roman" w:cstheme="majorBidi"/>
      <w:bCs/>
      <w:sz w:val="24"/>
      <w:szCs w:val="28"/>
    </w:rPr>
  </w:style>
  <w:style w:type="character" w:styleId="a7">
    <w:name w:val="Placeholder Text"/>
    <w:basedOn w:val="a0"/>
    <w:uiPriority w:val="99"/>
    <w:semiHidden/>
    <w:rsid w:val="00405711"/>
    <w:rPr>
      <w:color w:val="808080"/>
    </w:rPr>
  </w:style>
  <w:style w:type="character" w:styleId="a8">
    <w:name w:val="Hyperlink"/>
    <w:basedOn w:val="a0"/>
    <w:uiPriority w:val="99"/>
    <w:unhideWhenUsed/>
    <w:rsid w:val="0021425E"/>
    <w:rPr>
      <w:color w:val="0563C1" w:themeColor="hyperlink"/>
      <w:u w:val="single"/>
    </w:rPr>
  </w:style>
  <w:style w:type="character" w:customStyle="1" w:styleId="UnresolvedMention">
    <w:name w:val="Unresolved Mention"/>
    <w:basedOn w:val="a0"/>
    <w:uiPriority w:val="99"/>
    <w:semiHidden/>
    <w:unhideWhenUsed/>
    <w:rsid w:val="0021425E"/>
    <w:rPr>
      <w:color w:val="605E5C"/>
      <w:shd w:val="clear" w:color="auto" w:fill="E1DFDD"/>
    </w:rPr>
  </w:style>
  <w:style w:type="paragraph" w:styleId="a9">
    <w:name w:val="footnote text"/>
    <w:basedOn w:val="a"/>
    <w:link w:val="Char1"/>
    <w:uiPriority w:val="99"/>
    <w:semiHidden/>
    <w:unhideWhenUsed/>
    <w:rsid w:val="00301745"/>
    <w:pPr>
      <w:snapToGrid w:val="0"/>
      <w:jc w:val="left"/>
    </w:pPr>
    <w:rPr>
      <w:sz w:val="18"/>
      <w:szCs w:val="18"/>
    </w:rPr>
  </w:style>
  <w:style w:type="character" w:customStyle="1" w:styleId="Char1">
    <w:name w:val="脚注文本 Char"/>
    <w:basedOn w:val="a0"/>
    <w:link w:val="a9"/>
    <w:uiPriority w:val="99"/>
    <w:semiHidden/>
    <w:rsid w:val="00301745"/>
    <w:rPr>
      <w:sz w:val="18"/>
      <w:szCs w:val="18"/>
    </w:rPr>
  </w:style>
  <w:style w:type="character" w:styleId="aa">
    <w:name w:val="footnote reference"/>
    <w:basedOn w:val="a0"/>
    <w:uiPriority w:val="14"/>
    <w:unhideWhenUsed/>
    <w:qFormat/>
    <w:rsid w:val="00301745"/>
    <w:rPr>
      <w:vertAlign w:val="superscript"/>
    </w:rPr>
  </w:style>
  <w:style w:type="paragraph" w:styleId="ab">
    <w:name w:val="Title"/>
    <w:basedOn w:val="a"/>
    <w:next w:val="a"/>
    <w:link w:val="Char2"/>
    <w:uiPriority w:val="10"/>
    <w:qFormat/>
    <w:rsid w:val="003A1F15"/>
    <w:pPr>
      <w:spacing w:before="240" w:after="60"/>
      <w:jc w:val="center"/>
      <w:outlineLvl w:val="0"/>
    </w:pPr>
    <w:rPr>
      <w:rFonts w:asciiTheme="majorHAnsi" w:eastAsiaTheme="majorEastAsia" w:hAnsiTheme="majorHAnsi" w:cstheme="majorBidi"/>
      <w:b/>
      <w:bCs/>
      <w:sz w:val="32"/>
      <w:szCs w:val="32"/>
    </w:rPr>
  </w:style>
  <w:style w:type="character" w:customStyle="1" w:styleId="Char2">
    <w:name w:val="标题 Char"/>
    <w:basedOn w:val="a0"/>
    <w:link w:val="ab"/>
    <w:uiPriority w:val="10"/>
    <w:rsid w:val="003A1F15"/>
    <w:rPr>
      <w:rFonts w:asciiTheme="majorHAnsi" w:eastAsiaTheme="majorEastAsia" w:hAnsiTheme="majorHAnsi" w:cstheme="majorBidi"/>
      <w:b/>
      <w:bCs/>
      <w:sz w:val="32"/>
      <w:szCs w:val="32"/>
    </w:rPr>
  </w:style>
  <w:style w:type="paragraph" w:customStyle="1" w:styleId="ac">
    <w:name w:val="表格"/>
    <w:basedOn w:val="a"/>
    <w:link w:val="ad"/>
    <w:qFormat/>
    <w:rsid w:val="007513D5"/>
    <w:pPr>
      <w:framePr w:hSpace="180" w:wrap="around" w:vAnchor="text" w:hAnchor="margin" w:xAlign="center" w:y="49"/>
      <w:ind w:firstLine="420"/>
      <w:jc w:val="center"/>
    </w:pPr>
    <w:rPr>
      <w:sz w:val="21"/>
      <w:szCs w:val="21"/>
    </w:rPr>
  </w:style>
  <w:style w:type="character" w:styleId="ae">
    <w:name w:val="FollowedHyperlink"/>
    <w:basedOn w:val="a0"/>
    <w:uiPriority w:val="99"/>
    <w:semiHidden/>
    <w:unhideWhenUsed/>
    <w:rsid w:val="00977941"/>
    <w:rPr>
      <w:color w:val="954F72" w:themeColor="followedHyperlink"/>
      <w:u w:val="single"/>
    </w:rPr>
  </w:style>
  <w:style w:type="character" w:customStyle="1" w:styleId="ad">
    <w:name w:val="表格 字符"/>
    <w:basedOn w:val="a0"/>
    <w:link w:val="ac"/>
    <w:rsid w:val="007513D5"/>
    <w:rPr>
      <w:rFonts w:ascii="Times New Roman" w:eastAsia="宋体" w:hAnsi="Times New Roman"/>
      <w:szCs w:val="21"/>
    </w:rPr>
  </w:style>
  <w:style w:type="character" w:customStyle="1" w:styleId="MTEquationSection">
    <w:name w:val="MTEquationSection"/>
    <w:basedOn w:val="a0"/>
    <w:rsid w:val="005C55A9"/>
    <w:rPr>
      <w:vanish/>
      <w:color w:val="FF0000"/>
    </w:rPr>
  </w:style>
  <w:style w:type="paragraph" w:customStyle="1" w:styleId="MTDisplayEquation">
    <w:name w:val="MTDisplayEquation"/>
    <w:basedOn w:val="a"/>
    <w:next w:val="a"/>
    <w:link w:val="MTDisplayEquation0"/>
    <w:rsid w:val="00EB3D9A"/>
    <w:pPr>
      <w:tabs>
        <w:tab w:val="center" w:pos="4160"/>
        <w:tab w:val="right" w:pos="8300"/>
      </w:tabs>
      <w:ind w:firstLine="480"/>
    </w:pPr>
  </w:style>
  <w:style w:type="character" w:customStyle="1" w:styleId="MTDisplayEquation0">
    <w:name w:val="MTDisplayEquation 字符"/>
    <w:basedOn w:val="a0"/>
    <w:link w:val="MTDisplayEquation"/>
    <w:rsid w:val="00EB3D9A"/>
    <w:rPr>
      <w:rFonts w:ascii="Times New Roman" w:eastAsia="宋体" w:hAnsi="Times New Roman"/>
      <w:sz w:val="24"/>
    </w:rPr>
  </w:style>
  <w:style w:type="paragraph" w:styleId="af">
    <w:name w:val="Normal (Web)"/>
    <w:basedOn w:val="a"/>
    <w:uiPriority w:val="99"/>
    <w:semiHidden/>
    <w:unhideWhenUsed/>
    <w:rsid w:val="003319F2"/>
    <w:pPr>
      <w:widowControl/>
      <w:spacing w:before="100" w:beforeAutospacing="1" w:after="100" w:afterAutospacing="1"/>
      <w:jc w:val="left"/>
    </w:pPr>
    <w:rPr>
      <w:rFonts w:ascii="宋体" w:hAnsi="宋体" w:cs="宋体"/>
      <w:kern w:val="0"/>
      <w:szCs w:val="24"/>
    </w:rPr>
  </w:style>
  <w:style w:type="paragraph" w:styleId="30">
    <w:name w:val="toc 3"/>
    <w:basedOn w:val="a"/>
    <w:next w:val="a"/>
    <w:uiPriority w:val="39"/>
    <w:unhideWhenUsed/>
    <w:qFormat/>
    <w:rsid w:val="001059A9"/>
    <w:pPr>
      <w:ind w:leftChars="400" w:left="400" w:firstLineChars="0" w:firstLine="0"/>
    </w:pPr>
    <w:rPr>
      <w:rFonts w:cs="黑体"/>
    </w:rPr>
  </w:style>
  <w:style w:type="paragraph" w:styleId="10">
    <w:name w:val="toc 1"/>
    <w:next w:val="a"/>
    <w:uiPriority w:val="39"/>
    <w:unhideWhenUsed/>
    <w:qFormat/>
    <w:rsid w:val="001059A9"/>
    <w:pPr>
      <w:spacing w:line="440" w:lineRule="exact"/>
      <w:jc w:val="both"/>
    </w:pPr>
    <w:rPr>
      <w:rFonts w:ascii="Times New Roman" w:eastAsia="黑体" w:hAnsi="Times New Roman" w:cs="黑体"/>
      <w:sz w:val="24"/>
    </w:rPr>
  </w:style>
  <w:style w:type="paragraph" w:styleId="20">
    <w:name w:val="toc 2"/>
    <w:basedOn w:val="a"/>
    <w:next w:val="a"/>
    <w:uiPriority w:val="39"/>
    <w:unhideWhenUsed/>
    <w:qFormat/>
    <w:rsid w:val="001059A9"/>
    <w:pPr>
      <w:ind w:leftChars="200" w:left="200" w:firstLineChars="0" w:firstLine="0"/>
    </w:pPr>
    <w:rPr>
      <w:rFonts w:cs="黑体"/>
    </w:rPr>
  </w:style>
  <w:style w:type="paragraph" w:styleId="9">
    <w:name w:val="toc 9"/>
    <w:basedOn w:val="a"/>
    <w:next w:val="a"/>
    <w:uiPriority w:val="39"/>
    <w:unhideWhenUsed/>
    <w:qFormat/>
    <w:rsid w:val="004E5A4B"/>
    <w:pPr>
      <w:ind w:leftChars="1600" w:left="3360"/>
    </w:pPr>
    <w:rPr>
      <w:rFonts w:cs="黑体"/>
    </w:rPr>
  </w:style>
  <w:style w:type="character" w:customStyle="1" w:styleId="11">
    <w:name w:val="页眉 字符1"/>
    <w:uiPriority w:val="99"/>
    <w:semiHidden/>
    <w:qFormat/>
    <w:rsid w:val="004E5A4B"/>
    <w:rPr>
      <w:sz w:val="18"/>
      <w:szCs w:val="18"/>
    </w:rPr>
  </w:style>
  <w:style w:type="character" w:customStyle="1" w:styleId="12">
    <w:name w:val="页脚 字符1"/>
    <w:uiPriority w:val="99"/>
    <w:qFormat/>
    <w:rsid w:val="004E5A4B"/>
    <w:rPr>
      <w:sz w:val="18"/>
      <w:szCs w:val="18"/>
    </w:rPr>
  </w:style>
  <w:style w:type="paragraph" w:customStyle="1" w:styleId="af0">
    <w:name w:val="书脊样式"/>
    <w:basedOn w:val="a"/>
    <w:qFormat/>
    <w:rsid w:val="004E5A4B"/>
    <w:rPr>
      <w:rFonts w:eastAsia="黑体" w:cs="黑体"/>
      <w:b/>
      <w:sz w:val="36"/>
      <w:szCs w:val="21"/>
    </w:rPr>
  </w:style>
  <w:style w:type="paragraph" w:customStyle="1" w:styleId="p0">
    <w:name w:val="p0"/>
    <w:basedOn w:val="a"/>
    <w:qFormat/>
    <w:rsid w:val="004E5A4B"/>
    <w:pPr>
      <w:widowControl/>
    </w:pPr>
    <w:rPr>
      <w:rFonts w:cs="黑体"/>
      <w:kern w:val="0"/>
      <w:szCs w:val="21"/>
    </w:rPr>
  </w:style>
  <w:style w:type="paragraph" w:styleId="TOC">
    <w:name w:val="TOC Heading"/>
    <w:basedOn w:val="1"/>
    <w:next w:val="a"/>
    <w:uiPriority w:val="39"/>
    <w:unhideWhenUsed/>
    <w:qFormat/>
    <w:rsid w:val="006E2EB8"/>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1">
    <w:name w:val="List Paragraph"/>
    <w:basedOn w:val="a"/>
    <w:uiPriority w:val="34"/>
    <w:qFormat/>
    <w:rsid w:val="00E56E8A"/>
    <w:pPr>
      <w:ind w:firstLine="420"/>
    </w:pPr>
  </w:style>
  <w:style w:type="paragraph" w:styleId="31">
    <w:name w:val="Body Text Indent 3"/>
    <w:basedOn w:val="a"/>
    <w:link w:val="3Char0"/>
    <w:uiPriority w:val="99"/>
    <w:rsid w:val="00C10386"/>
    <w:pPr>
      <w:tabs>
        <w:tab w:val="left" w:pos="207"/>
      </w:tabs>
      <w:adjustRightInd w:val="0"/>
      <w:snapToGrid w:val="0"/>
      <w:spacing w:line="360" w:lineRule="auto"/>
      <w:ind w:leftChars="-13" w:left="-27" w:firstLineChars="215" w:firstLine="682"/>
    </w:pPr>
    <w:rPr>
      <w:rFonts w:cs="Times New Roman"/>
      <w:kern w:val="0"/>
      <w:sz w:val="32"/>
      <w:szCs w:val="24"/>
    </w:rPr>
  </w:style>
  <w:style w:type="character" w:customStyle="1" w:styleId="3Char0">
    <w:name w:val="正文文本缩进 3 Char"/>
    <w:basedOn w:val="a0"/>
    <w:link w:val="31"/>
    <w:uiPriority w:val="99"/>
    <w:rsid w:val="00C10386"/>
    <w:rPr>
      <w:rFonts w:ascii="Times New Roman" w:eastAsia="宋体" w:hAnsi="Times New Roman" w:cs="Times New Roman"/>
      <w:kern w:val="0"/>
      <w:sz w:val="32"/>
      <w:szCs w:val="24"/>
    </w:rPr>
  </w:style>
  <w:style w:type="paragraph" w:customStyle="1" w:styleId="af2">
    <w:name w:val="论文正文"/>
    <w:basedOn w:val="a"/>
    <w:link w:val="Char3"/>
    <w:autoRedefine/>
    <w:uiPriority w:val="2"/>
    <w:qFormat/>
    <w:locked/>
    <w:rsid w:val="00E23679"/>
    <w:pPr>
      <w:widowControl/>
      <w:ind w:firstLineChars="0" w:firstLine="482"/>
    </w:pPr>
    <w:rPr>
      <w:rFonts w:hAnsi="宋体" w:cs="Courier New"/>
      <w:bCs/>
      <w:szCs w:val="24"/>
    </w:rPr>
  </w:style>
  <w:style w:type="character" w:customStyle="1" w:styleId="Char3">
    <w:name w:val="论文正文 Char"/>
    <w:basedOn w:val="a0"/>
    <w:link w:val="af2"/>
    <w:autoRedefine/>
    <w:uiPriority w:val="2"/>
    <w:qFormat/>
    <w:rsid w:val="00E23679"/>
    <w:rPr>
      <w:rFonts w:ascii="Times New Roman" w:eastAsia="宋体" w:hAnsi="宋体" w:cs="Courier New"/>
      <w:bCs/>
      <w:sz w:val="24"/>
      <w:szCs w:val="24"/>
    </w:rPr>
  </w:style>
  <w:style w:type="table" w:customStyle="1" w:styleId="13">
    <w:name w:val="网格型1"/>
    <w:basedOn w:val="a1"/>
    <w:next w:val="a6"/>
    <w:autoRedefine/>
    <w:uiPriority w:val="59"/>
    <w:qFormat/>
    <w:rsid w:val="00AB28B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6"/>
    <w:autoRedefine/>
    <w:uiPriority w:val="59"/>
    <w:qFormat/>
    <w:rsid w:val="0021412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三线表格"/>
    <w:basedOn w:val="a1"/>
    <w:autoRedefine/>
    <w:uiPriority w:val="99"/>
    <w:qFormat/>
    <w:locked/>
    <w:rsid w:val="00214128"/>
    <w:pPr>
      <w:jc w:val="center"/>
    </w:pPr>
    <w:rPr>
      <w:rFonts w:ascii="Times New Roman" w:eastAsia="宋体" w:hAnsi="Times New Roman" w:cs="Times New Roman"/>
      <w:kern w:val="0"/>
      <w:szCs w:val="20"/>
    </w:rPr>
    <w:tblPr>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left w:val="nil"/>
          <w:bottom w:val="single" w:sz="4" w:space="0" w:color="000000"/>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right w:val="nil"/>
          <w:insideH w:val="nil"/>
          <w:insideV w:val="nil"/>
        </w:tcBorders>
        <w:shd w:val="clear" w:color="auto" w:fill="auto"/>
      </w:tcPr>
    </w:tblStylePr>
  </w:style>
  <w:style w:type="paragraph" w:styleId="af4">
    <w:name w:val="Balloon Text"/>
    <w:basedOn w:val="a"/>
    <w:link w:val="Char4"/>
    <w:uiPriority w:val="99"/>
    <w:semiHidden/>
    <w:unhideWhenUsed/>
    <w:rsid w:val="0082761D"/>
    <w:pPr>
      <w:spacing w:line="240" w:lineRule="auto"/>
    </w:pPr>
    <w:rPr>
      <w:sz w:val="18"/>
      <w:szCs w:val="18"/>
    </w:rPr>
  </w:style>
  <w:style w:type="character" w:customStyle="1" w:styleId="Char4">
    <w:name w:val="批注框文本 Char"/>
    <w:basedOn w:val="a0"/>
    <w:link w:val="af4"/>
    <w:uiPriority w:val="99"/>
    <w:semiHidden/>
    <w:rsid w:val="0082761D"/>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2113">
      <w:bodyDiv w:val="1"/>
      <w:marLeft w:val="0"/>
      <w:marRight w:val="0"/>
      <w:marTop w:val="0"/>
      <w:marBottom w:val="0"/>
      <w:divBdr>
        <w:top w:val="none" w:sz="0" w:space="0" w:color="auto"/>
        <w:left w:val="none" w:sz="0" w:space="0" w:color="auto"/>
        <w:bottom w:val="none" w:sz="0" w:space="0" w:color="auto"/>
        <w:right w:val="none" w:sz="0" w:space="0" w:color="auto"/>
      </w:divBdr>
    </w:div>
    <w:div w:id="38282543">
      <w:bodyDiv w:val="1"/>
      <w:marLeft w:val="0"/>
      <w:marRight w:val="0"/>
      <w:marTop w:val="0"/>
      <w:marBottom w:val="0"/>
      <w:divBdr>
        <w:top w:val="none" w:sz="0" w:space="0" w:color="auto"/>
        <w:left w:val="none" w:sz="0" w:space="0" w:color="auto"/>
        <w:bottom w:val="none" w:sz="0" w:space="0" w:color="auto"/>
        <w:right w:val="none" w:sz="0" w:space="0" w:color="auto"/>
      </w:divBdr>
    </w:div>
    <w:div w:id="39668899">
      <w:bodyDiv w:val="1"/>
      <w:marLeft w:val="0"/>
      <w:marRight w:val="0"/>
      <w:marTop w:val="0"/>
      <w:marBottom w:val="0"/>
      <w:divBdr>
        <w:top w:val="none" w:sz="0" w:space="0" w:color="auto"/>
        <w:left w:val="none" w:sz="0" w:space="0" w:color="auto"/>
        <w:bottom w:val="none" w:sz="0" w:space="0" w:color="auto"/>
        <w:right w:val="none" w:sz="0" w:space="0" w:color="auto"/>
      </w:divBdr>
    </w:div>
    <w:div w:id="67967413">
      <w:bodyDiv w:val="1"/>
      <w:marLeft w:val="0"/>
      <w:marRight w:val="0"/>
      <w:marTop w:val="0"/>
      <w:marBottom w:val="0"/>
      <w:divBdr>
        <w:top w:val="none" w:sz="0" w:space="0" w:color="auto"/>
        <w:left w:val="none" w:sz="0" w:space="0" w:color="auto"/>
        <w:bottom w:val="none" w:sz="0" w:space="0" w:color="auto"/>
        <w:right w:val="none" w:sz="0" w:space="0" w:color="auto"/>
      </w:divBdr>
    </w:div>
    <w:div w:id="79377134">
      <w:bodyDiv w:val="1"/>
      <w:marLeft w:val="0"/>
      <w:marRight w:val="0"/>
      <w:marTop w:val="0"/>
      <w:marBottom w:val="0"/>
      <w:divBdr>
        <w:top w:val="none" w:sz="0" w:space="0" w:color="auto"/>
        <w:left w:val="none" w:sz="0" w:space="0" w:color="auto"/>
        <w:bottom w:val="none" w:sz="0" w:space="0" w:color="auto"/>
        <w:right w:val="none" w:sz="0" w:space="0" w:color="auto"/>
      </w:divBdr>
    </w:div>
    <w:div w:id="152988872">
      <w:bodyDiv w:val="1"/>
      <w:marLeft w:val="0"/>
      <w:marRight w:val="0"/>
      <w:marTop w:val="0"/>
      <w:marBottom w:val="0"/>
      <w:divBdr>
        <w:top w:val="none" w:sz="0" w:space="0" w:color="auto"/>
        <w:left w:val="none" w:sz="0" w:space="0" w:color="auto"/>
        <w:bottom w:val="none" w:sz="0" w:space="0" w:color="auto"/>
        <w:right w:val="none" w:sz="0" w:space="0" w:color="auto"/>
      </w:divBdr>
    </w:div>
    <w:div w:id="160512161">
      <w:bodyDiv w:val="1"/>
      <w:marLeft w:val="0"/>
      <w:marRight w:val="0"/>
      <w:marTop w:val="0"/>
      <w:marBottom w:val="0"/>
      <w:divBdr>
        <w:top w:val="none" w:sz="0" w:space="0" w:color="auto"/>
        <w:left w:val="none" w:sz="0" w:space="0" w:color="auto"/>
        <w:bottom w:val="none" w:sz="0" w:space="0" w:color="auto"/>
        <w:right w:val="none" w:sz="0" w:space="0" w:color="auto"/>
      </w:divBdr>
    </w:div>
    <w:div w:id="260651122">
      <w:bodyDiv w:val="1"/>
      <w:marLeft w:val="0"/>
      <w:marRight w:val="0"/>
      <w:marTop w:val="0"/>
      <w:marBottom w:val="0"/>
      <w:divBdr>
        <w:top w:val="none" w:sz="0" w:space="0" w:color="auto"/>
        <w:left w:val="none" w:sz="0" w:space="0" w:color="auto"/>
        <w:bottom w:val="none" w:sz="0" w:space="0" w:color="auto"/>
        <w:right w:val="none" w:sz="0" w:space="0" w:color="auto"/>
      </w:divBdr>
    </w:div>
    <w:div w:id="263150463">
      <w:bodyDiv w:val="1"/>
      <w:marLeft w:val="0"/>
      <w:marRight w:val="0"/>
      <w:marTop w:val="0"/>
      <w:marBottom w:val="0"/>
      <w:divBdr>
        <w:top w:val="none" w:sz="0" w:space="0" w:color="auto"/>
        <w:left w:val="none" w:sz="0" w:space="0" w:color="auto"/>
        <w:bottom w:val="none" w:sz="0" w:space="0" w:color="auto"/>
        <w:right w:val="none" w:sz="0" w:space="0" w:color="auto"/>
      </w:divBdr>
    </w:div>
    <w:div w:id="299042565">
      <w:bodyDiv w:val="1"/>
      <w:marLeft w:val="0"/>
      <w:marRight w:val="0"/>
      <w:marTop w:val="0"/>
      <w:marBottom w:val="0"/>
      <w:divBdr>
        <w:top w:val="none" w:sz="0" w:space="0" w:color="auto"/>
        <w:left w:val="none" w:sz="0" w:space="0" w:color="auto"/>
        <w:bottom w:val="none" w:sz="0" w:space="0" w:color="auto"/>
        <w:right w:val="none" w:sz="0" w:space="0" w:color="auto"/>
      </w:divBdr>
    </w:div>
    <w:div w:id="403995088">
      <w:bodyDiv w:val="1"/>
      <w:marLeft w:val="0"/>
      <w:marRight w:val="0"/>
      <w:marTop w:val="0"/>
      <w:marBottom w:val="0"/>
      <w:divBdr>
        <w:top w:val="none" w:sz="0" w:space="0" w:color="auto"/>
        <w:left w:val="none" w:sz="0" w:space="0" w:color="auto"/>
        <w:bottom w:val="none" w:sz="0" w:space="0" w:color="auto"/>
        <w:right w:val="none" w:sz="0" w:space="0" w:color="auto"/>
      </w:divBdr>
    </w:div>
    <w:div w:id="417100651">
      <w:bodyDiv w:val="1"/>
      <w:marLeft w:val="0"/>
      <w:marRight w:val="0"/>
      <w:marTop w:val="0"/>
      <w:marBottom w:val="0"/>
      <w:divBdr>
        <w:top w:val="none" w:sz="0" w:space="0" w:color="auto"/>
        <w:left w:val="none" w:sz="0" w:space="0" w:color="auto"/>
        <w:bottom w:val="none" w:sz="0" w:space="0" w:color="auto"/>
        <w:right w:val="none" w:sz="0" w:space="0" w:color="auto"/>
      </w:divBdr>
    </w:div>
    <w:div w:id="545336017">
      <w:bodyDiv w:val="1"/>
      <w:marLeft w:val="0"/>
      <w:marRight w:val="0"/>
      <w:marTop w:val="0"/>
      <w:marBottom w:val="0"/>
      <w:divBdr>
        <w:top w:val="none" w:sz="0" w:space="0" w:color="auto"/>
        <w:left w:val="none" w:sz="0" w:space="0" w:color="auto"/>
        <w:bottom w:val="none" w:sz="0" w:space="0" w:color="auto"/>
        <w:right w:val="none" w:sz="0" w:space="0" w:color="auto"/>
      </w:divBdr>
    </w:div>
    <w:div w:id="610822173">
      <w:bodyDiv w:val="1"/>
      <w:marLeft w:val="0"/>
      <w:marRight w:val="0"/>
      <w:marTop w:val="0"/>
      <w:marBottom w:val="0"/>
      <w:divBdr>
        <w:top w:val="none" w:sz="0" w:space="0" w:color="auto"/>
        <w:left w:val="none" w:sz="0" w:space="0" w:color="auto"/>
        <w:bottom w:val="none" w:sz="0" w:space="0" w:color="auto"/>
        <w:right w:val="none" w:sz="0" w:space="0" w:color="auto"/>
      </w:divBdr>
    </w:div>
    <w:div w:id="647561356">
      <w:bodyDiv w:val="1"/>
      <w:marLeft w:val="0"/>
      <w:marRight w:val="0"/>
      <w:marTop w:val="0"/>
      <w:marBottom w:val="0"/>
      <w:divBdr>
        <w:top w:val="none" w:sz="0" w:space="0" w:color="auto"/>
        <w:left w:val="none" w:sz="0" w:space="0" w:color="auto"/>
        <w:bottom w:val="none" w:sz="0" w:space="0" w:color="auto"/>
        <w:right w:val="none" w:sz="0" w:space="0" w:color="auto"/>
      </w:divBdr>
    </w:div>
    <w:div w:id="727148333">
      <w:bodyDiv w:val="1"/>
      <w:marLeft w:val="0"/>
      <w:marRight w:val="0"/>
      <w:marTop w:val="0"/>
      <w:marBottom w:val="0"/>
      <w:divBdr>
        <w:top w:val="none" w:sz="0" w:space="0" w:color="auto"/>
        <w:left w:val="none" w:sz="0" w:space="0" w:color="auto"/>
        <w:bottom w:val="none" w:sz="0" w:space="0" w:color="auto"/>
        <w:right w:val="none" w:sz="0" w:space="0" w:color="auto"/>
      </w:divBdr>
    </w:div>
    <w:div w:id="737090096">
      <w:bodyDiv w:val="1"/>
      <w:marLeft w:val="0"/>
      <w:marRight w:val="0"/>
      <w:marTop w:val="0"/>
      <w:marBottom w:val="0"/>
      <w:divBdr>
        <w:top w:val="none" w:sz="0" w:space="0" w:color="auto"/>
        <w:left w:val="none" w:sz="0" w:space="0" w:color="auto"/>
        <w:bottom w:val="none" w:sz="0" w:space="0" w:color="auto"/>
        <w:right w:val="none" w:sz="0" w:space="0" w:color="auto"/>
      </w:divBdr>
    </w:div>
    <w:div w:id="808476213">
      <w:bodyDiv w:val="1"/>
      <w:marLeft w:val="0"/>
      <w:marRight w:val="0"/>
      <w:marTop w:val="0"/>
      <w:marBottom w:val="0"/>
      <w:divBdr>
        <w:top w:val="none" w:sz="0" w:space="0" w:color="auto"/>
        <w:left w:val="none" w:sz="0" w:space="0" w:color="auto"/>
        <w:bottom w:val="none" w:sz="0" w:space="0" w:color="auto"/>
        <w:right w:val="none" w:sz="0" w:space="0" w:color="auto"/>
      </w:divBdr>
    </w:div>
    <w:div w:id="831683842">
      <w:bodyDiv w:val="1"/>
      <w:marLeft w:val="0"/>
      <w:marRight w:val="0"/>
      <w:marTop w:val="0"/>
      <w:marBottom w:val="0"/>
      <w:divBdr>
        <w:top w:val="none" w:sz="0" w:space="0" w:color="auto"/>
        <w:left w:val="none" w:sz="0" w:space="0" w:color="auto"/>
        <w:bottom w:val="none" w:sz="0" w:space="0" w:color="auto"/>
        <w:right w:val="none" w:sz="0" w:space="0" w:color="auto"/>
      </w:divBdr>
    </w:div>
    <w:div w:id="896015420">
      <w:bodyDiv w:val="1"/>
      <w:marLeft w:val="0"/>
      <w:marRight w:val="0"/>
      <w:marTop w:val="0"/>
      <w:marBottom w:val="0"/>
      <w:divBdr>
        <w:top w:val="none" w:sz="0" w:space="0" w:color="auto"/>
        <w:left w:val="none" w:sz="0" w:space="0" w:color="auto"/>
        <w:bottom w:val="none" w:sz="0" w:space="0" w:color="auto"/>
        <w:right w:val="none" w:sz="0" w:space="0" w:color="auto"/>
      </w:divBdr>
    </w:div>
    <w:div w:id="954287226">
      <w:bodyDiv w:val="1"/>
      <w:marLeft w:val="0"/>
      <w:marRight w:val="0"/>
      <w:marTop w:val="0"/>
      <w:marBottom w:val="0"/>
      <w:divBdr>
        <w:top w:val="none" w:sz="0" w:space="0" w:color="auto"/>
        <w:left w:val="none" w:sz="0" w:space="0" w:color="auto"/>
        <w:bottom w:val="none" w:sz="0" w:space="0" w:color="auto"/>
        <w:right w:val="none" w:sz="0" w:space="0" w:color="auto"/>
      </w:divBdr>
    </w:div>
    <w:div w:id="958224527">
      <w:bodyDiv w:val="1"/>
      <w:marLeft w:val="0"/>
      <w:marRight w:val="0"/>
      <w:marTop w:val="0"/>
      <w:marBottom w:val="0"/>
      <w:divBdr>
        <w:top w:val="none" w:sz="0" w:space="0" w:color="auto"/>
        <w:left w:val="none" w:sz="0" w:space="0" w:color="auto"/>
        <w:bottom w:val="none" w:sz="0" w:space="0" w:color="auto"/>
        <w:right w:val="none" w:sz="0" w:space="0" w:color="auto"/>
      </w:divBdr>
    </w:div>
    <w:div w:id="1022121929">
      <w:bodyDiv w:val="1"/>
      <w:marLeft w:val="0"/>
      <w:marRight w:val="0"/>
      <w:marTop w:val="0"/>
      <w:marBottom w:val="0"/>
      <w:divBdr>
        <w:top w:val="none" w:sz="0" w:space="0" w:color="auto"/>
        <w:left w:val="none" w:sz="0" w:space="0" w:color="auto"/>
        <w:bottom w:val="none" w:sz="0" w:space="0" w:color="auto"/>
        <w:right w:val="none" w:sz="0" w:space="0" w:color="auto"/>
      </w:divBdr>
    </w:div>
    <w:div w:id="1074278904">
      <w:bodyDiv w:val="1"/>
      <w:marLeft w:val="0"/>
      <w:marRight w:val="0"/>
      <w:marTop w:val="0"/>
      <w:marBottom w:val="0"/>
      <w:divBdr>
        <w:top w:val="none" w:sz="0" w:space="0" w:color="auto"/>
        <w:left w:val="none" w:sz="0" w:space="0" w:color="auto"/>
        <w:bottom w:val="none" w:sz="0" w:space="0" w:color="auto"/>
        <w:right w:val="none" w:sz="0" w:space="0" w:color="auto"/>
      </w:divBdr>
    </w:div>
    <w:div w:id="1103037769">
      <w:bodyDiv w:val="1"/>
      <w:marLeft w:val="0"/>
      <w:marRight w:val="0"/>
      <w:marTop w:val="0"/>
      <w:marBottom w:val="0"/>
      <w:divBdr>
        <w:top w:val="none" w:sz="0" w:space="0" w:color="auto"/>
        <w:left w:val="none" w:sz="0" w:space="0" w:color="auto"/>
        <w:bottom w:val="none" w:sz="0" w:space="0" w:color="auto"/>
        <w:right w:val="none" w:sz="0" w:space="0" w:color="auto"/>
      </w:divBdr>
    </w:div>
    <w:div w:id="1169638812">
      <w:bodyDiv w:val="1"/>
      <w:marLeft w:val="0"/>
      <w:marRight w:val="0"/>
      <w:marTop w:val="0"/>
      <w:marBottom w:val="0"/>
      <w:divBdr>
        <w:top w:val="none" w:sz="0" w:space="0" w:color="auto"/>
        <w:left w:val="none" w:sz="0" w:space="0" w:color="auto"/>
        <w:bottom w:val="none" w:sz="0" w:space="0" w:color="auto"/>
        <w:right w:val="none" w:sz="0" w:space="0" w:color="auto"/>
      </w:divBdr>
    </w:div>
    <w:div w:id="1205875135">
      <w:bodyDiv w:val="1"/>
      <w:marLeft w:val="0"/>
      <w:marRight w:val="0"/>
      <w:marTop w:val="0"/>
      <w:marBottom w:val="0"/>
      <w:divBdr>
        <w:top w:val="none" w:sz="0" w:space="0" w:color="auto"/>
        <w:left w:val="none" w:sz="0" w:space="0" w:color="auto"/>
        <w:bottom w:val="none" w:sz="0" w:space="0" w:color="auto"/>
        <w:right w:val="none" w:sz="0" w:space="0" w:color="auto"/>
      </w:divBdr>
    </w:div>
    <w:div w:id="1354303078">
      <w:bodyDiv w:val="1"/>
      <w:marLeft w:val="0"/>
      <w:marRight w:val="0"/>
      <w:marTop w:val="0"/>
      <w:marBottom w:val="0"/>
      <w:divBdr>
        <w:top w:val="none" w:sz="0" w:space="0" w:color="auto"/>
        <w:left w:val="none" w:sz="0" w:space="0" w:color="auto"/>
        <w:bottom w:val="none" w:sz="0" w:space="0" w:color="auto"/>
        <w:right w:val="none" w:sz="0" w:space="0" w:color="auto"/>
      </w:divBdr>
    </w:div>
    <w:div w:id="1425802446">
      <w:bodyDiv w:val="1"/>
      <w:marLeft w:val="0"/>
      <w:marRight w:val="0"/>
      <w:marTop w:val="0"/>
      <w:marBottom w:val="0"/>
      <w:divBdr>
        <w:top w:val="none" w:sz="0" w:space="0" w:color="auto"/>
        <w:left w:val="none" w:sz="0" w:space="0" w:color="auto"/>
        <w:bottom w:val="none" w:sz="0" w:space="0" w:color="auto"/>
        <w:right w:val="none" w:sz="0" w:space="0" w:color="auto"/>
      </w:divBdr>
    </w:div>
    <w:div w:id="1527409322">
      <w:bodyDiv w:val="1"/>
      <w:marLeft w:val="0"/>
      <w:marRight w:val="0"/>
      <w:marTop w:val="0"/>
      <w:marBottom w:val="0"/>
      <w:divBdr>
        <w:top w:val="none" w:sz="0" w:space="0" w:color="auto"/>
        <w:left w:val="none" w:sz="0" w:space="0" w:color="auto"/>
        <w:bottom w:val="none" w:sz="0" w:space="0" w:color="auto"/>
        <w:right w:val="none" w:sz="0" w:space="0" w:color="auto"/>
      </w:divBdr>
    </w:div>
    <w:div w:id="1546715596">
      <w:bodyDiv w:val="1"/>
      <w:marLeft w:val="0"/>
      <w:marRight w:val="0"/>
      <w:marTop w:val="0"/>
      <w:marBottom w:val="0"/>
      <w:divBdr>
        <w:top w:val="none" w:sz="0" w:space="0" w:color="auto"/>
        <w:left w:val="none" w:sz="0" w:space="0" w:color="auto"/>
        <w:bottom w:val="none" w:sz="0" w:space="0" w:color="auto"/>
        <w:right w:val="none" w:sz="0" w:space="0" w:color="auto"/>
      </w:divBdr>
    </w:div>
    <w:div w:id="1566260693">
      <w:bodyDiv w:val="1"/>
      <w:marLeft w:val="0"/>
      <w:marRight w:val="0"/>
      <w:marTop w:val="0"/>
      <w:marBottom w:val="0"/>
      <w:divBdr>
        <w:top w:val="none" w:sz="0" w:space="0" w:color="auto"/>
        <w:left w:val="none" w:sz="0" w:space="0" w:color="auto"/>
        <w:bottom w:val="none" w:sz="0" w:space="0" w:color="auto"/>
        <w:right w:val="none" w:sz="0" w:space="0" w:color="auto"/>
      </w:divBdr>
    </w:div>
    <w:div w:id="1573731596">
      <w:bodyDiv w:val="1"/>
      <w:marLeft w:val="0"/>
      <w:marRight w:val="0"/>
      <w:marTop w:val="0"/>
      <w:marBottom w:val="0"/>
      <w:divBdr>
        <w:top w:val="none" w:sz="0" w:space="0" w:color="auto"/>
        <w:left w:val="none" w:sz="0" w:space="0" w:color="auto"/>
        <w:bottom w:val="none" w:sz="0" w:space="0" w:color="auto"/>
        <w:right w:val="none" w:sz="0" w:space="0" w:color="auto"/>
      </w:divBdr>
    </w:div>
    <w:div w:id="1588686885">
      <w:bodyDiv w:val="1"/>
      <w:marLeft w:val="0"/>
      <w:marRight w:val="0"/>
      <w:marTop w:val="0"/>
      <w:marBottom w:val="0"/>
      <w:divBdr>
        <w:top w:val="none" w:sz="0" w:space="0" w:color="auto"/>
        <w:left w:val="none" w:sz="0" w:space="0" w:color="auto"/>
        <w:bottom w:val="none" w:sz="0" w:space="0" w:color="auto"/>
        <w:right w:val="none" w:sz="0" w:space="0" w:color="auto"/>
      </w:divBdr>
    </w:div>
    <w:div w:id="1701738469">
      <w:bodyDiv w:val="1"/>
      <w:marLeft w:val="0"/>
      <w:marRight w:val="0"/>
      <w:marTop w:val="0"/>
      <w:marBottom w:val="0"/>
      <w:divBdr>
        <w:top w:val="none" w:sz="0" w:space="0" w:color="auto"/>
        <w:left w:val="none" w:sz="0" w:space="0" w:color="auto"/>
        <w:bottom w:val="none" w:sz="0" w:space="0" w:color="auto"/>
        <w:right w:val="none" w:sz="0" w:space="0" w:color="auto"/>
      </w:divBdr>
    </w:div>
    <w:div w:id="1795175118">
      <w:bodyDiv w:val="1"/>
      <w:marLeft w:val="0"/>
      <w:marRight w:val="0"/>
      <w:marTop w:val="0"/>
      <w:marBottom w:val="0"/>
      <w:divBdr>
        <w:top w:val="none" w:sz="0" w:space="0" w:color="auto"/>
        <w:left w:val="none" w:sz="0" w:space="0" w:color="auto"/>
        <w:bottom w:val="none" w:sz="0" w:space="0" w:color="auto"/>
        <w:right w:val="none" w:sz="0" w:space="0" w:color="auto"/>
      </w:divBdr>
    </w:div>
    <w:div w:id="1831019505">
      <w:bodyDiv w:val="1"/>
      <w:marLeft w:val="0"/>
      <w:marRight w:val="0"/>
      <w:marTop w:val="0"/>
      <w:marBottom w:val="0"/>
      <w:divBdr>
        <w:top w:val="none" w:sz="0" w:space="0" w:color="auto"/>
        <w:left w:val="none" w:sz="0" w:space="0" w:color="auto"/>
        <w:bottom w:val="none" w:sz="0" w:space="0" w:color="auto"/>
        <w:right w:val="none" w:sz="0" w:space="0" w:color="auto"/>
      </w:divBdr>
    </w:div>
    <w:div w:id="1851138040">
      <w:bodyDiv w:val="1"/>
      <w:marLeft w:val="0"/>
      <w:marRight w:val="0"/>
      <w:marTop w:val="0"/>
      <w:marBottom w:val="0"/>
      <w:divBdr>
        <w:top w:val="none" w:sz="0" w:space="0" w:color="auto"/>
        <w:left w:val="none" w:sz="0" w:space="0" w:color="auto"/>
        <w:bottom w:val="none" w:sz="0" w:space="0" w:color="auto"/>
        <w:right w:val="none" w:sz="0" w:space="0" w:color="auto"/>
      </w:divBdr>
    </w:div>
    <w:div w:id="1934822163">
      <w:bodyDiv w:val="1"/>
      <w:marLeft w:val="0"/>
      <w:marRight w:val="0"/>
      <w:marTop w:val="0"/>
      <w:marBottom w:val="0"/>
      <w:divBdr>
        <w:top w:val="none" w:sz="0" w:space="0" w:color="auto"/>
        <w:left w:val="none" w:sz="0" w:space="0" w:color="auto"/>
        <w:bottom w:val="none" w:sz="0" w:space="0" w:color="auto"/>
        <w:right w:val="none" w:sz="0" w:space="0" w:color="auto"/>
      </w:divBdr>
    </w:div>
    <w:div w:id="1939098279">
      <w:bodyDiv w:val="1"/>
      <w:marLeft w:val="0"/>
      <w:marRight w:val="0"/>
      <w:marTop w:val="0"/>
      <w:marBottom w:val="0"/>
      <w:divBdr>
        <w:top w:val="none" w:sz="0" w:space="0" w:color="auto"/>
        <w:left w:val="none" w:sz="0" w:space="0" w:color="auto"/>
        <w:bottom w:val="none" w:sz="0" w:space="0" w:color="auto"/>
        <w:right w:val="none" w:sz="0" w:space="0" w:color="auto"/>
      </w:divBdr>
    </w:div>
    <w:div w:id="1943485813">
      <w:bodyDiv w:val="1"/>
      <w:marLeft w:val="0"/>
      <w:marRight w:val="0"/>
      <w:marTop w:val="0"/>
      <w:marBottom w:val="0"/>
      <w:divBdr>
        <w:top w:val="none" w:sz="0" w:space="0" w:color="auto"/>
        <w:left w:val="none" w:sz="0" w:space="0" w:color="auto"/>
        <w:bottom w:val="none" w:sz="0" w:space="0" w:color="auto"/>
        <w:right w:val="none" w:sz="0" w:space="0" w:color="auto"/>
      </w:divBdr>
    </w:div>
    <w:div w:id="1959871393">
      <w:bodyDiv w:val="1"/>
      <w:marLeft w:val="0"/>
      <w:marRight w:val="0"/>
      <w:marTop w:val="0"/>
      <w:marBottom w:val="0"/>
      <w:divBdr>
        <w:top w:val="none" w:sz="0" w:space="0" w:color="auto"/>
        <w:left w:val="none" w:sz="0" w:space="0" w:color="auto"/>
        <w:bottom w:val="none" w:sz="0" w:space="0" w:color="auto"/>
        <w:right w:val="none" w:sz="0" w:space="0" w:color="auto"/>
      </w:divBdr>
    </w:div>
    <w:div w:id="1982954201">
      <w:bodyDiv w:val="1"/>
      <w:marLeft w:val="0"/>
      <w:marRight w:val="0"/>
      <w:marTop w:val="0"/>
      <w:marBottom w:val="0"/>
      <w:divBdr>
        <w:top w:val="none" w:sz="0" w:space="0" w:color="auto"/>
        <w:left w:val="none" w:sz="0" w:space="0" w:color="auto"/>
        <w:bottom w:val="none" w:sz="0" w:space="0" w:color="auto"/>
        <w:right w:val="none" w:sz="0" w:space="0" w:color="auto"/>
      </w:divBdr>
    </w:div>
    <w:div w:id="1988853355">
      <w:bodyDiv w:val="1"/>
      <w:marLeft w:val="0"/>
      <w:marRight w:val="0"/>
      <w:marTop w:val="0"/>
      <w:marBottom w:val="0"/>
      <w:divBdr>
        <w:top w:val="none" w:sz="0" w:space="0" w:color="auto"/>
        <w:left w:val="none" w:sz="0" w:space="0" w:color="auto"/>
        <w:bottom w:val="none" w:sz="0" w:space="0" w:color="auto"/>
        <w:right w:val="none" w:sz="0" w:space="0" w:color="auto"/>
      </w:divBdr>
    </w:div>
    <w:div w:id="2023890600">
      <w:bodyDiv w:val="1"/>
      <w:marLeft w:val="0"/>
      <w:marRight w:val="0"/>
      <w:marTop w:val="0"/>
      <w:marBottom w:val="0"/>
      <w:divBdr>
        <w:top w:val="none" w:sz="0" w:space="0" w:color="auto"/>
        <w:left w:val="none" w:sz="0" w:space="0" w:color="auto"/>
        <w:bottom w:val="none" w:sz="0" w:space="0" w:color="auto"/>
        <w:right w:val="none" w:sz="0" w:space="0" w:color="auto"/>
      </w:divBdr>
    </w:div>
    <w:div w:id="2072388372">
      <w:bodyDiv w:val="1"/>
      <w:marLeft w:val="0"/>
      <w:marRight w:val="0"/>
      <w:marTop w:val="0"/>
      <w:marBottom w:val="0"/>
      <w:divBdr>
        <w:top w:val="none" w:sz="0" w:space="0" w:color="auto"/>
        <w:left w:val="none" w:sz="0" w:space="0" w:color="auto"/>
        <w:bottom w:val="none" w:sz="0" w:space="0" w:color="auto"/>
        <w:right w:val="none" w:sz="0" w:space="0" w:color="auto"/>
      </w:divBdr>
    </w:div>
    <w:div w:id="2081098911">
      <w:bodyDiv w:val="1"/>
      <w:marLeft w:val="0"/>
      <w:marRight w:val="0"/>
      <w:marTop w:val="0"/>
      <w:marBottom w:val="0"/>
      <w:divBdr>
        <w:top w:val="none" w:sz="0" w:space="0" w:color="auto"/>
        <w:left w:val="none" w:sz="0" w:space="0" w:color="auto"/>
        <w:bottom w:val="none" w:sz="0" w:space="0" w:color="auto"/>
        <w:right w:val="none" w:sz="0" w:space="0" w:color="auto"/>
      </w:divBdr>
    </w:div>
    <w:div w:id="2081516010">
      <w:bodyDiv w:val="1"/>
      <w:marLeft w:val="0"/>
      <w:marRight w:val="0"/>
      <w:marTop w:val="0"/>
      <w:marBottom w:val="0"/>
      <w:divBdr>
        <w:top w:val="none" w:sz="0" w:space="0" w:color="auto"/>
        <w:left w:val="none" w:sz="0" w:space="0" w:color="auto"/>
        <w:bottom w:val="none" w:sz="0" w:space="0" w:color="auto"/>
        <w:right w:val="none" w:sz="0" w:space="0" w:color="auto"/>
      </w:divBdr>
    </w:div>
    <w:div w:id="2099787941">
      <w:bodyDiv w:val="1"/>
      <w:marLeft w:val="0"/>
      <w:marRight w:val="0"/>
      <w:marTop w:val="0"/>
      <w:marBottom w:val="0"/>
      <w:divBdr>
        <w:top w:val="none" w:sz="0" w:space="0" w:color="auto"/>
        <w:left w:val="none" w:sz="0" w:space="0" w:color="auto"/>
        <w:bottom w:val="none" w:sz="0" w:space="0" w:color="auto"/>
        <w:right w:val="none" w:sz="0" w:space="0" w:color="auto"/>
      </w:divBdr>
    </w:div>
    <w:div w:id="2128812152">
      <w:bodyDiv w:val="1"/>
      <w:marLeft w:val="0"/>
      <w:marRight w:val="0"/>
      <w:marTop w:val="0"/>
      <w:marBottom w:val="0"/>
      <w:divBdr>
        <w:top w:val="none" w:sz="0" w:space="0" w:color="auto"/>
        <w:left w:val="none" w:sz="0" w:space="0" w:color="auto"/>
        <w:bottom w:val="none" w:sz="0" w:space="0" w:color="auto"/>
        <w:right w:val="none" w:sz="0" w:space="0" w:color="auto"/>
      </w:divBdr>
    </w:div>
    <w:div w:id="2141995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10.xml"/><Relationship Id="rId39"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6.wmf"/><Relationship Id="rId42" Type="http://schemas.openxmlformats.org/officeDocument/2006/relationships/image" Target="media/image10.wmf"/><Relationship Id="rId47" Type="http://schemas.openxmlformats.org/officeDocument/2006/relationships/header" Target="header13.xml"/><Relationship Id="rId50" Type="http://schemas.openxmlformats.org/officeDocument/2006/relationships/header" Target="header15.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9.xml"/><Relationship Id="rId33" Type="http://schemas.openxmlformats.org/officeDocument/2006/relationships/oleObject" Target="embeddings/oleObject1.bin"/><Relationship Id="rId38" Type="http://schemas.openxmlformats.org/officeDocument/2006/relationships/image" Target="media/image8.wmf"/><Relationship Id="rId46"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image" Target="media/image3.svg"/><Relationship Id="rId41"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5.wmf"/><Relationship Id="rId37" Type="http://schemas.openxmlformats.org/officeDocument/2006/relationships/oleObject" Target="embeddings/oleObject3.bin"/><Relationship Id="rId40" Type="http://schemas.openxmlformats.org/officeDocument/2006/relationships/image" Target="media/image9.wmf"/><Relationship Id="rId45" Type="http://schemas.openxmlformats.org/officeDocument/2006/relationships/header" Target="header11.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2.png"/><Relationship Id="rId36" Type="http://schemas.openxmlformats.org/officeDocument/2006/relationships/image" Target="media/image7.wmf"/><Relationship Id="rId49" Type="http://schemas.openxmlformats.org/officeDocument/2006/relationships/header" Target="header14.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4.png"/><Relationship Id="rId44" Type="http://schemas.openxmlformats.org/officeDocument/2006/relationships/header" Target="header10.xml"/><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image" Target="media/image3.png"/><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hyperlink" Target="http://www.seg.org/reviews/mccorm30.html" TargetMode="External"/><Relationship Id="rId8" Type="http://schemas.openxmlformats.org/officeDocument/2006/relationships/endnotes" Target="endnotes.xml"/><Relationship Id="rId5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B0939-DFE9-422A-883F-C202697D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7266</TotalTime>
  <Pages>24</Pages>
  <Words>2420</Words>
  <Characters>13798</Characters>
  <Application>Microsoft Office Word</Application>
  <DocSecurity>0</DocSecurity>
  <Lines>114</Lines>
  <Paragraphs>32</Paragraphs>
  <ScaleCrop>false</ScaleCrop>
  <Company/>
  <LinksUpToDate>false</LinksUpToDate>
  <CharactersWithSpaces>16186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基于OpenGL的CAE软件数据预处理方法研究与实践</dc:title>
  <dc:subject/>
  <dc:creator>ASUS</dc:creator>
  <cp:keywords/>
  <dc:description>NE.Ref</dc:description>
  <cp:lastModifiedBy>梁爽</cp:lastModifiedBy>
  <cp:revision>419</cp:revision>
  <cp:lastPrinted>2023-05-01T05:37:00Z</cp:lastPrinted>
  <dcterms:created xsi:type="dcterms:W3CDTF">2023-04-07T15:17:00Z</dcterms:created>
  <dcterms:modified xsi:type="dcterms:W3CDTF">2025-12-22T01:30:00Z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（#C1-#E1）</vt:lpwstr>
  </property>
  <property fmtid="{D5CDD505-2E9C-101B-9397-08002B2CF9AE}" pid="5" name="MTCustomEquationNumber">
    <vt:lpwstr>1</vt:lpwstr>
  </property>
  <property fmtid="{D5CDD505-2E9C-101B-9397-08002B2CF9AE}" pid="6" name="MTEquationSection">
    <vt:lpwstr>1</vt:lpwstr>
  </property>
</Properties>
</file>