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黑体"/>
          <w:b/>
          <w:sz w:val="48"/>
        </w:rPr>
        <w:t>本科毕业论文</w:t>
      </w:r>
    </w:p>
    <w:p>
      <w:pPr>
        <w:spacing w:before="960" w:line="360" w:lineRule="auto"/>
        <w:jc w:val="center"/>
      </w:pPr>
      <w:r>
        <w:rPr>
          <w:rFonts w:ascii="Times New Roman" w:hAnsi="Times New Roman" w:eastAsia="黑体"/>
          <w:b/>
          <w:sz w:val="44"/>
        </w:rPr>
        <w:t>基于OpenGL的CAE软件数据预处理方法研究与实践</w:t>
      </w:r>
    </w:p>
    <w:p>
      <w:r>
        <w:br w:type="page"/>
      </w:r>
    </w:p>
    <w:p>
      <w:pPr>
        <w:pStyle w:val="1"/>
        <w:spacing w:line="360" w:lineRule="auto" w:before="240" w:after="120"/>
        <w:jc w:val="center"/>
      </w:pPr>
      <w:r>
        <w:rPr>
          <w:rFonts w:ascii="Times New Roman" w:hAnsi="Times New Roman" w:eastAsia="黑体"/>
          <w:b/>
          <w:sz w:val="32"/>
        </w:rPr>
        <w:t>摘  要</w:t>
      </w:r>
    </w:p>
    <w:p>
      <w:pPr>
        <w:spacing w:line="360" w:lineRule="auto" w:after="0"/>
        <w:ind w:firstLine="420"/>
      </w:pPr>
      <w:r>
        <w:rPr>
          <w:rFonts w:ascii="Times New Roman" w:hAnsi="Times New Roman" w:eastAsia="宋体"/>
          <w:sz w:val="24"/>
        </w:rPr>
        <w:t>计算机辅助工程（CAE）后处理阶段需要将求解器输出的网格模型、节点场、单元场和派生物理量转换为可分析、可比较、可观察的数据结果。梯度计算、局部数值扰动抑制和结果导出是后处理数据准备中的基础环节，直接影响物理场变化趋势分析、局部异常识别和后续可视化观察。随着仿真数据规模增大，预处理算子需要在大量点和单元上重复执行，计算效率也成为系统实现中需要考虑的重要因素。本文围绕 CAE 后处理数据预处理问题，设计并实现了一套基于 OpenGL 的原型系统。</w:t>
      </w:r>
    </w:p>
    <w:p>
      <w:pPr>
        <w:spacing w:line="360" w:lineRule="auto" w:after="0"/>
        <w:ind w:firstLine="420"/>
      </w:pPr>
      <w:r>
        <w:rPr>
          <w:rFonts w:ascii="Times New Roman" w:hAnsi="Times New Roman" w:eastAsia="宋体"/>
          <w:sz w:val="24"/>
        </w:rPr>
        <w:t>系统采用 C++17、VTK、Qt 和 OpenGL Compute Shader 开发。VTK 用于数据读写、工程参考对照和结果导出，Qt 用于基础图形界面，OpenGL 计算着色器用于执行核心预处理计算。系统首先将 VTK 数据转换为统一内部数据对象，保存点坐标、单元连接、单元类型、点数据、单元数据和邻域关系；随后根据网格类型和字段关联方式调度不同算法；最后将计算结果写回内部字段数组，并支持导出为 VTK 文件供 ParaView 等工具观察。</w:t>
      </w:r>
    </w:p>
    <w:p>
      <w:pPr>
        <w:spacing w:line="360" w:lineRule="auto" w:after="0"/>
        <w:ind w:firstLine="420"/>
      </w:pPr>
      <w:r>
        <w:rPr>
          <w:rFonts w:ascii="Times New Roman" w:hAnsi="Times New Roman" w:eastAsia="宋体"/>
          <w:sz w:val="24"/>
        </w:rPr>
        <w:t xml:space="preserve">在梯度计算方面，本文将算法路径划分为结构化网格有限差分和非结构化网格形函数导数两类。结构化网格路径利用逻辑索引访问相邻样本，并通过 Jacobian 与链式法则将逻辑空间导数映射到物理空间；非结构化网格路径利用单元连接、单元类型和形函数导数恢复局部梯度，主要支持一阶三角形、四边形、四面体和六面体单元。实验结果表明，点数据解析场在 SampleStructGrid、hexa 和 1_0 数据集上的线性标量场与线性向量场平均相对误差均保持在 </w:t>
      </w:r>
      <m:oMath>
        <m:sSup>
          <m:e>
            <m:r>
              <m:t>10</m:t>
            </m:r>
          </m:e>
          <m:sup>
            <m:r>
              <m:t>−</m:t>
            </m:r>
            <m:r>
              <m:t>7</m:t>
            </m:r>
          </m:sup>
        </m:sSup>
      </m:oMath>
      <w:r>
        <w:rPr>
          <w:rFonts w:ascii="Times New Roman" w:hAnsi="Times New Roman" w:eastAsia="宋体"/>
          <w:sz w:val="24"/>
        </w:rPr>
        <w:t xml:space="preserve"> 量级附近；单元数据解析场中，结构化网格单元数据误差同样达到 </w:t>
      </w:r>
      <m:oMath>
        <m:sSup>
          <m:e>
            <m:r>
              <m:t>10</m:t>
            </m:r>
          </m:e>
          <m:sup>
            <m:r>
              <m:t>−</m:t>
            </m:r>
            <m:r>
              <m:t>7</m:t>
            </m:r>
          </m:sup>
        </m:sSup>
      </m:oMath>
      <w:r>
        <w:rPr>
          <w:rFonts w:ascii="Times New Roman" w:hAnsi="Times New Roman" w:eastAsia="宋体"/>
          <w:sz w:val="24"/>
        </w:rPr>
        <w:t xml:space="preserve"> 量级，非结构化体单元和曲面单元误差主要受到单元场提升和评价方式影响。与 VTK 结果一致性对比表明，系统在真实字段上能够输出与 </w:t>
      </w:r>
      <w:r>
        <w:rPr>
          <w:rFonts w:ascii="Consolas" w:hAnsi="Consolas" w:eastAsia="Consolas"/>
          <w:sz w:val="24"/>
        </w:rPr>
        <w:t>vtkGradientFilter</w:t>
      </w:r>
      <w:r>
        <w:rPr>
          <w:rFonts w:ascii="Times New Roman" w:hAnsi="Times New Roman" w:eastAsia="宋体"/>
          <w:sz w:val="24"/>
        </w:rPr>
        <w:t xml:space="preserve"> 接近的梯度结果。时间实验表明，在统一生成的结构化网格族和非结构化六面体网格族上，OpenGL 并行实现相对于 VTK 参考流程具有较低的计算耗时。</w:t>
      </w:r>
    </w:p>
    <w:p>
      <w:pPr>
        <w:spacing w:line="360" w:lineRule="auto" w:after="0"/>
        <w:ind w:firstLine="420"/>
      </w:pPr>
      <w:r>
        <w:rPr>
          <w:rFonts w:ascii="Times New Roman" w:hAnsi="Times New Roman" w:eastAsia="宋体"/>
          <w:sz w:val="24"/>
        </w:rPr>
        <w:t>在数据优化方面，本文面向局部随机高频数值扰动，采用图双边滤波和多尺度融合方法进行保边平滑处理。实验在 ShipHull_0 数据集上构造无扰动参考场并叠加高斯扰动，分别对点数据和单元数据进行优化。结果表明，点数据平均相对误差由 0.27032675 降至 0.14413250，平均改进比为 0.533836；单元数据平均相对误差由 0.27004475 降至 0.11083258，平均改进比为 0.410607。实验结果说明，在当前参数和数据集下，本文数据优化模块能够降低高斯随机扰动带来的误差。</w:t>
      </w:r>
    </w:p>
    <w:p>
      <w:pPr>
        <w:spacing w:line="360" w:lineRule="auto" w:after="0"/>
        <w:ind w:firstLine="420"/>
      </w:pPr>
      <w:r>
        <w:rPr>
          <w:rFonts w:ascii="Times New Roman" w:hAnsi="Times New Roman" w:eastAsia="宋体"/>
          <w:sz w:val="24"/>
        </w:rPr>
        <w:t>本文的主要工作包括：建立适合 GPU 计算的 CAE 后处理数据组织方式；实现结构化网格和非结构化网格的梯度计算路径；实现点数据和单元数据的局部扰动优化流程；建立包含解析场验证、VTK 一致性对比、时间性能对比和数据优化实验的验证体系。本文工作为 CAE 后处理数据准备与 GPU 并行计算提供了一个可运行、可导出、可验证的实现案例。</w:t>
      </w:r>
    </w:p>
    <w:p>
      <w:pPr>
        <w:spacing w:line="360" w:lineRule="auto" w:after="0"/>
        <w:ind w:firstLine="420"/>
      </w:pPr>
      <w:r>
        <w:rPr>
          <w:rFonts w:ascii="Times New Roman" w:hAnsi="Times New Roman" w:eastAsia="宋体"/>
          <w:b/>
          <w:sz w:val="24"/>
        </w:rPr>
        <w:t>关键词</w:t>
      </w:r>
      <w:r>
        <w:rPr>
          <w:rFonts w:ascii="Times New Roman" w:hAnsi="Times New Roman" w:eastAsia="宋体"/>
          <w:sz w:val="24"/>
        </w:rPr>
        <w:t>：CAE 后处理；OpenGL；Compute Shader；梯度计算；形函数导数；数据优化</w:t>
      </w:r>
    </w:p>
    <w:p>
      <w:r>
        <w:br w:type="page"/>
      </w:r>
    </w:p>
    <w:p>
      <w:pPr>
        <w:spacing w:line="360" w:lineRule="auto" w:before="240" w:after="240"/>
        <w:jc w:val="center"/>
      </w:pPr>
      <w:r>
        <w:rPr>
          <w:rFonts w:ascii="Times New Roman" w:hAnsi="Times New Roman" w:eastAsia="黑体"/>
          <w:b/>
          <w:sz w:val="32"/>
        </w:rPr>
        <w:t>目  录</w:t>
      </w:r>
    </w:p>
    <w:p>
      <w:pPr>
        <w:jc w:val="left"/>
      </w:pPr>
      <w:r>
        <w:rPr>
          <w:rFonts w:ascii="Times New Roman" w:hAnsi="Times New Roman" w:eastAsia="宋体"/>
          <w:sz w:val="24"/>
        </w:rPr>
        <w:fldChar w:fldCharType="begin"/>
        <w:instrText xml:space="preserve">TOC \o "1-3" \h \z \u</w:instrText>
        <w:fldChar w:fldCharType="separate"/>
        <w:t>打开 Word 后右键更新域可生成目录页码。</w:t>
        <w:fldChar w:fldCharType="end"/>
      </w:r>
    </w:p>
    <w:p>
      <w:r>
        <w:br w:type="page"/>
      </w:r>
    </w:p>
    <w:p>
      <w:pPr>
        <w:pStyle w:val="1"/>
        <w:spacing w:line="360" w:lineRule="auto" w:before="240" w:after="120"/>
        <w:jc w:val="center"/>
      </w:pPr>
      <w:r>
        <w:rPr>
          <w:rFonts w:ascii="Times New Roman" w:hAnsi="Times New Roman" w:eastAsia="黑体"/>
          <w:b/>
          <w:sz w:val="32"/>
        </w:rPr>
        <w:t>第一章 绪论</w:t>
      </w:r>
    </w:p>
    <w:p>
      <w:pPr>
        <w:pStyle w:val="2"/>
        <w:spacing w:line="360" w:lineRule="auto" w:before="120" w:after="120"/>
        <w:jc w:val="left"/>
      </w:pPr>
      <w:r>
        <w:rPr>
          <w:rFonts w:ascii="Times New Roman" w:hAnsi="Times New Roman" w:eastAsia="黑体"/>
          <w:b/>
          <w:sz w:val="28"/>
        </w:rPr>
        <w:t>1.1 研究背景与意义</w:t>
      </w:r>
    </w:p>
    <w:p>
      <w:pPr>
        <w:spacing w:line="360" w:lineRule="auto" w:after="0"/>
        <w:ind w:firstLine="420"/>
      </w:pPr>
      <w:r>
        <w:rPr>
          <w:rFonts w:ascii="Times New Roman" w:hAnsi="Times New Roman" w:eastAsia="宋体"/>
          <w:sz w:val="24"/>
        </w:rPr>
        <w:t>计算机辅助工程（Computer Aided Engineering，CAE）是利用有限元、有限体积、边界元等数值方法对工程对象进行建模、求解与分析的重要技术手段。国内关于航空结构分析 CAE 软件、结构损伤与断裂力学分析 CAE 软件的发展研究表明，CAE 软件的功能已从单一求解逐步扩展到工程建模、结果分析、后处理观察和设计协同等环节[1][2]。从工程应用看，CAE 的价值在于将复杂物理问题转化为可计算、可验证、可比较的数据结果，从而支撑设计迭代、性能评估和结构优化。</w:t>
      </w:r>
    </w:p>
    <w:p>
      <w:pPr>
        <w:spacing w:line="360" w:lineRule="auto" w:after="0"/>
        <w:ind w:firstLine="420"/>
      </w:pPr>
      <w:r>
        <w:rPr>
          <w:rFonts w:ascii="Times New Roman" w:hAnsi="Times New Roman" w:eastAsia="宋体"/>
          <w:sz w:val="24"/>
        </w:rPr>
        <w:t>CAE 后处理是连接求解结果和工程判断的关键环节。求解器输出的数据通常由网格几何、单元拓扑、节点场、单元场以及派生物理量组成。工程人员需要在后处理阶段进一步完成结果筛选、场量解释和可视化观察，才能判断结构薄弱区域、物理场变化趋势和局部异常现象。因此，CAE 后处理的作用不仅是显示结果，还包括将离散的原始结果整理为可分析、可比较的数据表达。</w:t>
      </w:r>
    </w:p>
    <w:p>
      <w:pPr>
        <w:spacing w:line="360" w:lineRule="auto" w:after="0"/>
        <w:ind w:firstLine="420"/>
      </w:pPr>
      <w:r>
        <w:rPr>
          <w:rFonts w:ascii="Times New Roman" w:hAnsi="Times New Roman" w:eastAsia="宋体"/>
          <w:sz w:val="24"/>
        </w:rPr>
        <w:t>在 CAE 后处理阶段，数据预处理承担着基础作用。首先，梯度计算用于刻画物理场在空间中的变化方向和变化强度，可为局部特征识别、异常区域定位、派生量分析和可视分析提供依据。若梯度计算不能正确区分结构化网格、非结构化网格、点数据和单元数据，后续分析容易出现物理含义混乱或结果解释不严谨的问题。其次，数据优化面向后处理结果中常见的局部随机高频波动，目标是在保留主要结构趋势的同时改善字段连续性和可读性。最后，计算效率也是数据预处理需要考虑的因素。随着仿真规模增大，预处理算子需要在大量点和单元上重复执行，若完全依赖 CPU 侧顺序流程，时间成本会逐渐突出。因此，在保证结果正确性的前提下提高数据预处理效率，是本文关注的重要问题。</w:t>
      </w:r>
    </w:p>
    <w:p>
      <w:pPr>
        <w:spacing w:line="360" w:lineRule="auto" w:after="0"/>
        <w:ind w:firstLine="420"/>
      </w:pPr>
      <w:r>
        <w:rPr>
          <w:rFonts w:ascii="Times New Roman" w:hAnsi="Times New Roman" w:eastAsia="宋体"/>
          <w:sz w:val="24"/>
        </w:rPr>
        <w:t>基于上述背景，本文围绕 CAE 后处理阶段的数据预处理问题展开研究，重点关注梯度计算、数据优化和计算效率三个方面，并尝试给出一套可实现、可验证的工程方案。该方案面向原始仿真结果与后续工程分析之间的数据预处理环节，用于支撑后续结果观察和实验对照。</w:t>
      </w:r>
    </w:p>
    <w:p>
      <w:pPr>
        <w:pStyle w:val="2"/>
        <w:spacing w:line="360" w:lineRule="auto" w:before="120" w:after="120"/>
        <w:jc w:val="left"/>
      </w:pPr>
      <w:r>
        <w:rPr>
          <w:rFonts w:ascii="Times New Roman" w:hAnsi="Times New Roman" w:eastAsia="黑体"/>
          <w:b/>
          <w:sz w:val="28"/>
        </w:rPr>
        <w:t>1.2 国内外研究现状</w:t>
      </w:r>
    </w:p>
    <w:p>
      <w:pPr>
        <w:spacing w:line="360" w:lineRule="auto" w:after="0"/>
        <w:ind w:firstLine="420"/>
      </w:pPr>
      <w:r>
        <w:rPr>
          <w:rFonts w:ascii="Times New Roman" w:hAnsi="Times New Roman" w:eastAsia="宋体"/>
          <w:sz w:val="24"/>
        </w:rPr>
        <w:t>CAE 后处理与科学可视化已经形成较成熟的工具链。VTK 提供数据结构、数据读写、过滤器和渲染支持，ParaView 则基于 VTK 提供交互式可视分析环境[3][4]。国内面向高性能工业仿真的交互可视分析引擎研究表明，大规模工业仿真需要同时考虑前后处理协同、并行可视分析和 GPU 绘制等问题[5]。这些工作表明，CAE 后处理并非孤立的数据展示问题，而是与数据组织、分析流程和计算性能紧密相关的工程问题。</w:t>
      </w:r>
    </w:p>
    <w:p>
      <w:pPr>
        <w:spacing w:line="360" w:lineRule="auto" w:after="0"/>
        <w:ind w:firstLine="420"/>
      </w:pPr>
      <w:r>
        <w:rPr>
          <w:rFonts w:ascii="Times New Roman" w:hAnsi="Times New Roman" w:eastAsia="宋体"/>
          <w:sz w:val="24"/>
        </w:rPr>
        <w:t>在并行计算方面，GPGPU 研究较早系统总结了图形硬件用于通用计算的可行性和发展趋势[6]。随着多核 CPU、GPU 和异构平台的发展，科学可视化框架也逐渐面向大规模线程架构演进[7]。OpenGL Compute Shader 能够在图形 API 内部完成通用计算任务，并且可以与已有 OpenGL 环境共享数据组织方式[8][9]。因此，将 OpenGL 用于 CAE 数据预处理中的梯度计算和滤波处理具有相应的技术基础。</w:t>
      </w:r>
    </w:p>
    <w:p>
      <w:pPr>
        <w:spacing w:line="360" w:lineRule="auto" w:after="0"/>
        <w:ind w:firstLine="420"/>
      </w:pPr>
      <w:r>
        <w:rPr>
          <w:rFonts w:ascii="Times New Roman" w:hAnsi="Times New Roman" w:eastAsia="宋体"/>
          <w:sz w:val="24"/>
        </w:rPr>
        <w:t>在梯度计算方面，结构化网格和非结构化网格通常需要不同的数值路径。结构化网格具有清晰的逻辑索引，可在逻辑坐标或参数坐标中使用有限差分，并通过坐标映射和 Jacobian 关系恢复物理空间梯度[10][11]。非结构化网格则依赖单元拓扑和单元形函数，常从有限元形函数导数和局部几何映射角度恢复梯度[12][13]。Zienkiewicz 和 Zhu 提出的超收敛片恢复思想也表明，梯度恢复和误差估计在有限元后处理中具有重要地位[13]。因此，梯度计算方法应与网格结构和字段关联方式相匹配，这些理论也为本文区分结构化网格有限差分路径和非结构化网格形函数导数路径提供了依据。</w:t>
      </w:r>
    </w:p>
    <w:p>
      <w:pPr>
        <w:spacing w:line="360" w:lineRule="auto" w:after="0"/>
        <w:ind w:firstLine="420"/>
      </w:pPr>
      <w:r>
        <w:rPr>
          <w:rFonts w:ascii="Times New Roman" w:hAnsi="Times New Roman" w:eastAsia="宋体"/>
          <w:sz w:val="24"/>
        </w:rPr>
        <w:t>在数据优化方面，Tomasi 和 Manduchi 提出的双边滤波方法通过空间权重和值域权重共同控制平滑过程，能够在降低局部扰动的同时保留边缘[14]。Fleishman 等将类似思想用于网格去噪，表明保边滤波思想可以从图像扩展到网格数据[15]。国内关于点云双边滤波、鲁棒点云去噪和树木点云模型去噪的研究，也表明基于局部邻域和数值相似性的去噪思想在离散几何数据处理中具有应用基础[16][17][18]。这类研究与 CAE 后处理中的数据平滑问题具有方法上的相通性，但本文处理对象是附着在 CAE 网格上的物理字段数据，区别于普通图像或点云坐标。</w:t>
      </w:r>
    </w:p>
    <w:p>
      <w:pPr>
        <w:spacing w:line="360" w:lineRule="auto" w:after="0"/>
        <w:ind w:firstLine="420"/>
      </w:pPr>
      <w:r>
        <w:rPr>
          <w:rFonts w:ascii="Times New Roman" w:hAnsi="Times New Roman" w:eastAsia="宋体"/>
          <w:sz w:val="24"/>
        </w:rPr>
        <w:t>综上，CAE 后处理、GPU 并行计算、网格梯度恢复和保边滤波等方向均已有较多研究基础。本文在此基础上关注 CAE 后处理数据预处理中的梯度计算、字段优化和计算效率问题。</w:t>
      </w:r>
    </w:p>
    <w:p>
      <w:pPr>
        <w:pStyle w:val="2"/>
        <w:spacing w:line="360" w:lineRule="auto" w:before="120" w:after="120"/>
        <w:jc w:val="left"/>
      </w:pPr>
      <w:r>
        <w:rPr>
          <w:rFonts w:ascii="Times New Roman" w:hAnsi="Times New Roman" w:eastAsia="黑体"/>
          <w:b/>
          <w:sz w:val="28"/>
        </w:rPr>
        <w:t>1.3 本课题研究目标、研究内容与主要工作</w:t>
      </w:r>
    </w:p>
    <w:p>
      <w:pPr>
        <w:spacing w:line="360" w:lineRule="auto" w:after="0"/>
        <w:ind w:firstLine="420"/>
      </w:pPr>
      <w:r>
        <w:rPr>
          <w:rFonts w:ascii="Times New Roman" w:hAnsi="Times New Roman" w:eastAsia="宋体"/>
          <w:sz w:val="24"/>
        </w:rPr>
        <w:t>本文以 CAE 后处理阶段的数据预处理为研究对象，围绕网格场梯度计算、字段数据优化和并行计算效率三个问题，开展基于 OpenGL 的方法实现与实验验证。研究目标是针对数据预处理环节形成一套边界清晰、功能可运行、结果可验证的实现方案。</w:t>
      </w:r>
    </w:p>
    <w:p>
      <w:pPr>
        <w:spacing w:line="360" w:lineRule="auto" w:after="0"/>
        <w:ind w:firstLine="420"/>
      </w:pPr>
      <w:r>
        <w:rPr>
          <w:rFonts w:ascii="Times New Roman" w:hAnsi="Times New Roman" w:eastAsia="宋体"/>
          <w:sz w:val="24"/>
        </w:rPr>
        <w:t>本文主要研究内容包括以下几个方面。</w:t>
      </w:r>
    </w:p>
    <w:p>
      <w:pPr>
        <w:spacing w:line="360" w:lineRule="auto" w:after="0"/>
        <w:ind w:firstLine="420"/>
      </w:pPr>
      <w:r>
        <w:rPr>
          <w:rFonts w:ascii="Times New Roman" w:hAnsi="Times New Roman" w:eastAsia="宋体"/>
          <w:sz w:val="24"/>
        </w:rPr>
        <w:t>第一，研究 CAE 后处理数据的统一组织方式。针对结构化网格、非结构化网格、点数据和单元数据等不同数据形式，建立适合算法处理的数据表达基础。</w:t>
      </w:r>
    </w:p>
    <w:p>
      <w:pPr>
        <w:spacing w:line="360" w:lineRule="auto" w:after="0"/>
        <w:ind w:firstLine="420"/>
      </w:pPr>
      <w:r>
        <w:rPr>
          <w:rFonts w:ascii="Times New Roman" w:hAnsi="Times New Roman" w:eastAsia="宋体"/>
          <w:sz w:val="24"/>
        </w:rPr>
        <w:t>第二，研究网格场梯度计算方法。根据结构化网格和非结构化网格的结构差异，分别采用相应的梯度计算思路，并考虑点数据和单元数据在物理含义和计算方式上的差别。</w:t>
      </w:r>
    </w:p>
    <w:p>
      <w:pPr>
        <w:spacing w:line="360" w:lineRule="auto" w:after="0"/>
        <w:ind w:firstLine="420"/>
      </w:pPr>
      <w:r>
        <w:rPr>
          <w:rFonts w:ascii="Times New Roman" w:hAnsi="Times New Roman" w:eastAsia="宋体"/>
          <w:sz w:val="24"/>
        </w:rPr>
        <w:t>第三，研究字段数据优化方法。针对后处理结果中可能出现的局部随机高频波动，采用保边平滑思想改善字段连续性和可读性，并分析该方法的适用范围。</w:t>
      </w:r>
    </w:p>
    <w:p>
      <w:pPr>
        <w:spacing w:line="360" w:lineRule="auto" w:after="0"/>
        <w:ind w:firstLine="420"/>
      </w:pPr>
      <w:r>
        <w:rPr>
          <w:rFonts w:ascii="Times New Roman" w:hAnsi="Times New Roman" w:eastAsia="宋体"/>
          <w:sz w:val="24"/>
        </w:rPr>
        <w:t>第四，研究 OpenGL 并行实现方式。将梯度计算和数据优化任务映射到 GPU 侧执行，分析其在不同数据规模下的运行效率。</w:t>
      </w:r>
    </w:p>
    <w:p>
      <w:pPr>
        <w:spacing w:line="360" w:lineRule="auto" w:after="0"/>
        <w:ind w:firstLine="420"/>
      </w:pPr>
      <w:r>
        <w:rPr>
          <w:rFonts w:ascii="Times New Roman" w:hAnsi="Times New Roman" w:eastAsia="宋体"/>
          <w:sz w:val="24"/>
        </w:rPr>
        <w:t>第五，建立实验验证体系。通过解析场验证、VTK 参考对比、时间性能测试和数据优化实验，对本文方法的正确性、一致性、效率和适用边界进行分析。</w:t>
      </w:r>
    </w:p>
    <w:p>
      <w:pPr>
        <w:spacing w:line="360" w:lineRule="auto" w:after="0"/>
        <w:ind w:firstLine="420"/>
      </w:pPr>
      <w:r>
        <w:rPr>
          <w:rFonts w:ascii="Times New Roman" w:hAnsi="Times New Roman" w:eastAsia="宋体"/>
          <w:sz w:val="24"/>
        </w:rPr>
        <w:t>本文的主要工作可以概括为：完成 CAE 网格数据的内部组织，完成梯度计算与数据优化两类预处理方法的 OpenGL 实现，并通过多组实验对结果进行验证。后续章节将分别说明系统结构、算法设计和实验分析。</w:t>
      </w:r>
    </w:p>
    <w:p>
      <w:pPr>
        <w:pStyle w:val="2"/>
        <w:spacing w:line="360" w:lineRule="auto" w:before="120" w:after="120"/>
        <w:jc w:val="left"/>
      </w:pPr>
      <w:r>
        <w:rPr>
          <w:rFonts w:ascii="Times New Roman" w:hAnsi="Times New Roman" w:eastAsia="黑体"/>
          <w:b/>
          <w:sz w:val="28"/>
        </w:rPr>
        <w:t>1.4 论文组织结构</w:t>
      </w:r>
    </w:p>
    <w:p>
      <w:pPr>
        <w:spacing w:line="360" w:lineRule="auto" w:after="0"/>
        <w:ind w:firstLine="420"/>
      </w:pPr>
      <w:r>
        <w:rPr>
          <w:rFonts w:ascii="Times New Roman" w:hAnsi="Times New Roman" w:eastAsia="宋体"/>
          <w:sz w:val="24"/>
        </w:rPr>
        <w:t>本文共分为六章。</w:t>
      </w:r>
    </w:p>
    <w:p>
      <w:pPr>
        <w:spacing w:line="360" w:lineRule="auto" w:after="0"/>
        <w:ind w:firstLine="420"/>
      </w:pPr>
      <w:r>
        <w:rPr>
          <w:rFonts w:ascii="Times New Roman" w:hAnsi="Times New Roman" w:eastAsia="宋体"/>
          <w:sz w:val="24"/>
        </w:rPr>
        <w:t>第一章为绪论，介绍 CAE 后处理数据预处理的研究背景、国内外研究现状、本文研究目标和论文组织结构。</w:t>
      </w:r>
    </w:p>
    <w:p>
      <w:pPr>
        <w:spacing w:line="360" w:lineRule="auto" w:after="0"/>
        <w:ind w:firstLine="420"/>
      </w:pPr>
      <w:r>
        <w:rPr>
          <w:rFonts w:ascii="Times New Roman" w:hAnsi="Times New Roman" w:eastAsia="宋体"/>
          <w:sz w:val="24"/>
        </w:rPr>
        <w:t>第二章为相关技术与理论基础，介绍 CAE 后处理数据模型、VTK/ParaView/Qt、OpenGL Compute Shader 与 GPU 并行计算、结构化网格梯度计算理论、非结构化网格梯度计算理论以及数据优化相关理论。</w:t>
      </w:r>
    </w:p>
    <w:p>
      <w:pPr>
        <w:spacing w:line="360" w:lineRule="auto" w:after="0"/>
        <w:ind w:firstLine="420"/>
      </w:pPr>
      <w:r>
        <w:rPr>
          <w:rFonts w:ascii="Times New Roman" w:hAnsi="Times New Roman" w:eastAsia="宋体"/>
          <w:sz w:val="24"/>
        </w:rPr>
        <w:t>第三章为需求分析与系统设计，说明系统功能需求、非功能需求、总体结构、模块划分、系统功能流程、界面设计和内部数据结构设计。</w:t>
      </w:r>
    </w:p>
    <w:p>
      <w:pPr>
        <w:spacing w:line="360" w:lineRule="auto" w:after="0"/>
        <w:ind w:firstLine="420"/>
      </w:pPr>
      <w:r>
        <w:rPr>
          <w:rFonts w:ascii="Times New Roman" w:hAnsi="Times New Roman" w:eastAsia="宋体"/>
          <w:sz w:val="24"/>
        </w:rPr>
        <w:t>第四章为核心算法设计与实现，详细说明结构化网格有限差分梯度、非结构化网格形函数导数梯度、单元数据处理路径、图双边滤波、多尺度融合以及 OpenGL 计算实现。</w:t>
      </w:r>
    </w:p>
    <w:p>
      <w:pPr>
        <w:spacing w:line="360" w:lineRule="auto" w:after="0"/>
        <w:ind w:firstLine="420"/>
      </w:pPr>
      <w:r>
        <w:rPr>
          <w:rFonts w:ascii="Times New Roman" w:hAnsi="Times New Roman" w:eastAsia="宋体"/>
          <w:sz w:val="24"/>
        </w:rPr>
        <w:t>第五章为实验设计与结果分析，基于实际实验数据，以表格形式给出解析场验证、VTK 一致性对比、时间性能对比和数据优化实验结果，并分析实验结论和适用边界。</w:t>
      </w:r>
    </w:p>
    <w:p>
      <w:pPr>
        <w:spacing w:line="360" w:lineRule="auto" w:after="0"/>
        <w:ind w:firstLine="420"/>
      </w:pPr>
      <w:r>
        <w:rPr>
          <w:rFonts w:ascii="Times New Roman" w:hAnsi="Times New Roman" w:eastAsia="宋体"/>
          <w:sz w:val="24"/>
        </w:rPr>
        <w:t>第六章为结论与展望，总结本文完成的工作，归纳实验结论，分析系统不足，并提出后续改进方向。</w:t>
      </w:r>
    </w:p>
    <w:p>
      <w:pPr>
        <w:pStyle w:val="2"/>
        <w:spacing w:line="360" w:lineRule="auto" w:before="120" w:after="120"/>
        <w:jc w:val="left"/>
      </w:pPr>
      <w:r>
        <w:rPr>
          <w:rFonts w:ascii="Times New Roman" w:hAnsi="Times New Roman" w:eastAsia="黑体"/>
          <w:b/>
          <w:sz w:val="28"/>
        </w:rPr>
        <w:t>1.5 本章参考文献</w:t>
      </w:r>
    </w:p>
    <w:p>
      <w:pPr>
        <w:spacing w:line="360" w:lineRule="auto" w:after="0"/>
        <w:ind w:firstLine="420"/>
      </w:pPr>
      <w:r>
        <w:rPr>
          <w:rFonts w:ascii="Times New Roman" w:hAnsi="Times New Roman" w:eastAsia="宋体"/>
          <w:sz w:val="24"/>
        </w:rPr>
        <w:t>本章引用文献：[1]、[2]、[3]、[4]、[5]、[6]、[7]、[8]、[9]、[10]、[11]、[12]、[13]、[14]、[15]、[16]、[17]、[18]。</w:t>
      </w:r>
    </w:p>
    <w:p>
      <w:r>
        <w:br w:type="page"/>
      </w:r>
    </w:p>
    <w:p>
      <w:pPr>
        <w:pStyle w:val="1"/>
        <w:spacing w:line="360" w:lineRule="auto" w:before="240" w:after="120"/>
        <w:jc w:val="center"/>
      </w:pPr>
      <w:r>
        <w:rPr>
          <w:rFonts w:ascii="Times New Roman" w:hAnsi="Times New Roman" w:eastAsia="黑体"/>
          <w:b/>
          <w:sz w:val="32"/>
        </w:rPr>
        <w:t>第二章 相关技术与理论基础</w:t>
      </w:r>
    </w:p>
    <w:p>
      <w:pPr>
        <w:pStyle w:val="2"/>
        <w:spacing w:line="360" w:lineRule="auto" w:before="120" w:after="120"/>
        <w:jc w:val="left"/>
      </w:pPr>
      <w:r>
        <w:rPr>
          <w:rFonts w:ascii="Times New Roman" w:hAnsi="Times New Roman" w:eastAsia="黑体"/>
          <w:b/>
          <w:sz w:val="28"/>
        </w:rPr>
        <w:t>2.1 CAE 后处理数据模型</w:t>
      </w:r>
    </w:p>
    <w:p>
      <w:pPr>
        <w:spacing w:line="360" w:lineRule="auto" w:after="0"/>
        <w:ind w:firstLine="420"/>
      </w:pPr>
      <w:r>
        <w:rPr>
          <w:rFonts w:ascii="Times New Roman" w:hAnsi="Times New Roman" w:eastAsia="宋体"/>
          <w:sz w:val="24"/>
        </w:rPr>
        <w:t>CAE 后处理数据通常由网格和字段两部分组成。网格描述工程对象的空间离散结构，字段描述物理量在离散对象上的分布。在有限元和工程仿真结果中，网格一般由节点坐标和单元连接关系构成，字段则定义在节点或单元上，用于表示位移、温度、压力、应力等物理量。</w:t>
      </w:r>
    </w:p>
    <w:p>
      <w:pPr>
        <w:spacing w:line="360" w:lineRule="auto" w:after="0"/>
        <w:ind w:firstLine="420"/>
      </w:pPr>
      <w:r>
        <w:rPr>
          <w:rFonts w:ascii="Times New Roman" w:hAnsi="Times New Roman" w:eastAsia="宋体"/>
          <w:sz w:val="24"/>
        </w:rPr>
        <w:t>设网格点集合为</w:t>
      </w:r>
    </w:p>
    <w:p>
      <w:pPr>
        <w:spacing w:line="240" w:lineRule="auto" w:before="80" w:after="80"/>
        <w:ind w:firstLine="0"/>
        <w:jc w:val="center"/>
      </w:pPr>
      <m:oMath>
        <m:r>
          <m:t>P</m:t>
        </m:r>
        <m:r>
          <m:t>=</m:t>
        </m:r>
        <m:r>
          <m:t>{</m:t>
        </m:r>
        <m:sSub>
          <m:e>
            <m:r>
              <m:t>p</m:t>
            </m:r>
          </m:e>
          <m:sub>
            <m:r>
              <m:t>i</m:t>
            </m:r>
          </m:sub>
        </m:sSub>
        <m:r>
          <m:t>|</m:t>
        </m:r>
        <m:r>
          <m:t>i</m:t>
        </m:r>
        <m:r>
          <m:t>=</m:t>
        </m:r>
        <m:r>
          <m:t>1</m:t>
        </m:r>
        <m:r>
          <m:t>,</m:t>
        </m:r>
        <m:r>
          <m:t>2</m:t>
        </m:r>
        <m:r>
          <m:t>,</m:t>
        </m:r>
        <m:r>
          <m:t>.</m:t>
        </m:r>
        <m:r>
          <m:t>.</m:t>
        </m:r>
        <m:r>
          <m:t>.</m:t>
        </m:r>
        <m:r>
          <m:t>,</m:t>
        </m:r>
        <m:sSub>
          <m:e>
            <m:r>
              <m:t>n</m:t>
            </m:r>
          </m:e>
          <m:sub>
            <m:r>
              <m:t>p</m:t>
            </m:r>
          </m:sub>
        </m:sSub>
        <m:r>
          <m:t>}</m:t>
        </m:r>
      </m:oMath>
    </w:p>
    <w:p>
      <w:pPr>
        <w:spacing w:line="360" w:lineRule="auto" w:after="0"/>
        <w:ind w:firstLine="420"/>
      </w:pPr>
      <w:r>
        <w:rPr>
          <w:rFonts w:ascii="Times New Roman" w:hAnsi="Times New Roman" w:eastAsia="宋体"/>
          <w:sz w:val="24"/>
        </w:rPr>
        <w:t>单元集合为</w:t>
      </w:r>
    </w:p>
    <w:p>
      <w:pPr>
        <w:spacing w:line="240" w:lineRule="auto" w:before="80" w:after="80"/>
        <w:ind w:firstLine="0"/>
        <w:jc w:val="center"/>
      </w:pPr>
      <m:oMath>
        <m:r>
          <m:t>C</m:t>
        </m:r>
        <m:r>
          <m:t>=</m:t>
        </m:r>
        <m:r>
          <m:t>{</m:t>
        </m:r>
        <m:sSub>
          <m:e>
            <m:r>
              <m:t>c</m:t>
            </m:r>
          </m:e>
          <m:sub>
            <m:r>
              <m:t>e</m:t>
            </m:r>
          </m:sub>
        </m:sSub>
        <m:r>
          <m:t>|</m:t>
        </m:r>
        <m:r>
          <m:t>e</m:t>
        </m:r>
        <m:r>
          <m:t>=</m:t>
        </m:r>
        <m:r>
          <m:t>1</m:t>
        </m:r>
        <m:r>
          <m:t>,</m:t>
        </m:r>
        <m:r>
          <m:t>2</m:t>
        </m:r>
        <m:r>
          <m:t>,</m:t>
        </m:r>
        <m:r>
          <m:t>.</m:t>
        </m:r>
        <m:r>
          <m:t>.</m:t>
        </m:r>
        <m:r>
          <m:t>.</m:t>
        </m:r>
        <m:r>
          <m:t>,</m:t>
        </m:r>
        <m:sSub>
          <m:e>
            <m:r>
              <m:t>n</m:t>
            </m:r>
          </m:e>
          <m:sub>
            <m:r>
              <m:t>c</m:t>
            </m:r>
          </m:sub>
        </m:sSub>
        <m:r>
          <m:t>}</m:t>
        </m:r>
      </m:oMath>
    </w:p>
    <w:p>
      <w:pPr>
        <w:spacing w:line="360" w:lineRule="auto" w:after="0"/>
        <w:ind w:firstLine="420"/>
      </w:pPr>
      <w:r>
        <w:rPr>
          <w:rFonts w:ascii="Times New Roman" w:hAnsi="Times New Roman" w:eastAsia="宋体"/>
          <w:sz w:val="24"/>
        </w:rPr>
        <w:t>其中，</w:t>
      </w:r>
      <m:oMath>
        <m:sSub>
          <m:e>
            <m:r>
              <m:t>p</m:t>
            </m:r>
          </m:e>
          <m:sub>
            <m:r>
              <m:t>i</m:t>
            </m:r>
          </m:sub>
        </m:sSub>
        <m:r>
          <m:t>=</m:t>
        </m:r>
        <m:r>
          <m:t>(</m:t>
        </m:r>
        <m:sSub>
          <m:e>
            <m:r>
              <m:t>x</m:t>
            </m:r>
          </m:e>
          <m:sub>
            <m:r>
              <m:t>i</m:t>
            </m:r>
          </m:sub>
        </m:sSub>
        <m:r>
          <m:t>,</m:t>
        </m:r>
        <m:sSub>
          <m:e>
            <m:r>
              <m:t>y</m:t>
            </m:r>
          </m:e>
          <m:sub>
            <m:r>
              <m:t>i</m:t>
            </m:r>
          </m:sub>
        </m:sSub>
        <m:r>
          <m:t>,</m:t>
        </m:r>
        <m:sSub>
          <m:e>
            <m:r>
              <m:t>z</m:t>
            </m:r>
          </m:e>
          <m:sub>
            <m:r>
              <m:t>i</m:t>
            </m:r>
          </m:sub>
        </m:sSub>
        <m:r>
          <m:t>)</m:t>
        </m:r>
      </m:oMath>
      <w:r>
        <w:rPr>
          <w:rFonts w:ascii="Times New Roman" w:hAnsi="Times New Roman" w:eastAsia="宋体"/>
          <w:sz w:val="24"/>
        </w:rPr>
        <w:t xml:space="preserve"> 表示第 </w:t>
      </w:r>
      <m:oMath>
        <m:r>
          <m:t>i</m:t>
        </m:r>
      </m:oMath>
      <w:r>
        <w:rPr>
          <w:rFonts w:ascii="Times New Roman" w:hAnsi="Times New Roman" w:eastAsia="宋体"/>
          <w:sz w:val="24"/>
        </w:rPr>
        <w:t xml:space="preserve"> 个点的空间坐标，</w:t>
      </w:r>
      <m:oMath>
        <m:sSub>
          <m:e>
            <m:r>
              <m:t>c</m:t>
            </m:r>
          </m:e>
          <m:sub>
            <m:r>
              <m:t>e</m:t>
            </m:r>
          </m:sub>
        </m:sSub>
        <m:r>
          <m:t>=</m:t>
        </m:r>
        <m:r>
          <m:t>(</m:t>
        </m:r>
        <m:sSub>
          <m:e>
            <m:r>
              <m:t>i</m:t>
            </m:r>
          </m:e>
          <m:sub>
            <m:r>
              <m:t>1</m:t>
            </m:r>
          </m:sub>
        </m:sSub>
        <m:r>
          <m:t>,</m:t>
        </m:r>
        <m:sSub>
          <m:e>
            <m:r>
              <m:t>i</m:t>
            </m:r>
          </m:e>
          <m:sub>
            <m:r>
              <m:t>2</m:t>
            </m:r>
          </m:sub>
        </m:sSub>
        <m:r>
          <m:t>,</m:t>
        </m:r>
        <m:r>
          <m:t>.</m:t>
        </m:r>
        <m:r>
          <m:t>.</m:t>
        </m:r>
        <m:r>
          <m:t>.</m:t>
        </m:r>
        <m:r>
          <m:t>,</m:t>
        </m:r>
        <m:sSub>
          <m:e>
            <m:r>
              <m:t>i</m:t>
            </m:r>
          </m:e>
          <m:sub>
            <m:sSub>
              <m:e>
                <m:r>
                  <m:t>n</m:t>
                </m:r>
              </m:e>
              <m:sub>
                <m:r>
                  <m:t>e</m:t>
                </m:r>
              </m:sub>
            </m:sSub>
          </m:sub>
        </m:sSub>
        <m:r>
          <m:t>)</m:t>
        </m:r>
      </m:oMath>
      <w:r>
        <w:rPr>
          <w:rFonts w:ascii="Times New Roman" w:hAnsi="Times New Roman" w:eastAsia="宋体"/>
          <w:sz w:val="24"/>
        </w:rPr>
        <w:t xml:space="preserve"> 表示第 </w:t>
      </w:r>
      <m:oMath>
        <m:r>
          <m:t>e</m:t>
        </m:r>
      </m:oMath>
      <w:r>
        <w:rPr>
          <w:rFonts w:ascii="Times New Roman" w:hAnsi="Times New Roman" w:eastAsia="宋体"/>
          <w:sz w:val="24"/>
        </w:rPr>
        <w:t xml:space="preserve"> 个单元的节点索引序列，</w:t>
      </w:r>
      <m:oMath>
        <m:sSub>
          <m:e>
            <m:r>
              <m:t>n</m:t>
            </m:r>
          </m:e>
          <m:sub>
            <m:r>
              <m:t>e</m:t>
            </m:r>
          </m:sub>
        </m:sSub>
      </m:oMath>
      <w:r>
        <w:rPr>
          <w:rFonts w:ascii="Times New Roman" w:hAnsi="Times New Roman" w:eastAsia="宋体"/>
          <w:sz w:val="24"/>
        </w:rPr>
        <w:t xml:space="preserve"> 表示该单元包含的节点数。该记法与有限元中常用的节点坐标和单元连接描述一致[12]。</w:t>
      </w:r>
    </w:p>
    <w:p>
      <w:pPr>
        <w:spacing w:line="360" w:lineRule="auto" w:after="0"/>
        <w:ind w:firstLine="420"/>
      </w:pPr>
      <w:r>
        <w:rPr>
          <w:rFonts w:ascii="Times New Roman" w:hAnsi="Times New Roman" w:eastAsia="宋体"/>
          <w:sz w:val="24"/>
        </w:rPr>
        <w:t>根据拓扑组织方式，CAE 网格可分为结构化网格和非结构化网格。结构化网格具有明确的逻辑维度和索引顺序，点或单元之间的邻接关系可以通过维度和索引推导。非结构化网格通过显式单元连接描述拓扑关系，能够表达复杂几何和局部加密网格，但邻域构建和梯度恢复相应更复杂。因此，二者在邻域访问和梯度计算中需要区别处理。</w:t>
      </w:r>
    </w:p>
    <w:p>
      <w:pPr>
        <w:spacing w:line="360" w:lineRule="auto" w:after="0"/>
        <w:ind w:firstLine="420"/>
      </w:pPr>
      <w:r>
        <w:rPr>
          <w:rFonts w:ascii="Times New Roman" w:hAnsi="Times New Roman" w:eastAsia="宋体"/>
          <w:sz w:val="24"/>
        </w:rPr>
        <w:t>点数据和单元数据是后处理字段中需要区分的两类数据。点数据定义在网格节点上，常用于表示节点位移、节点温度、节点压力等场量；单元数据定义在单元上，常用于表示单元平均应力、单元积分结果或单元级状态量。设点字段为</w:t>
      </w:r>
    </w:p>
    <w:p>
      <w:pPr>
        <w:spacing w:line="240" w:lineRule="auto" w:before="80" w:after="80"/>
        <w:ind w:firstLine="0"/>
        <w:jc w:val="center"/>
      </w:pPr>
      <m:oMath>
        <m:sSub>
          <m:e>
            <m:r>
              <m:t>U</m:t>
            </m:r>
          </m:e>
          <m:sub>
            <m:r>
              <m:t>p</m:t>
            </m:r>
          </m:sub>
        </m:sSub>
        <m:r>
          <m:t>∈</m:t>
        </m:r>
        <m:sSup>
          <m:e>
            <m:r>
              <m:t>R</m:t>
            </m:r>
          </m:e>
          <m:sup>
            <m:sSub>
              <m:e>
                <m:r>
                  <m:t>n</m:t>
                </m:r>
              </m:e>
              <m:sub>
                <m:r>
                  <m:t>p</m:t>
                </m:r>
              </m:sub>
            </m:sSub>
            <m:r>
              <m:t>×</m:t>
            </m:r>
            <m:r>
              <m:t>m</m:t>
            </m:r>
          </m:sup>
        </m:sSup>
      </m:oMath>
    </w:p>
    <w:p>
      <w:pPr>
        <w:spacing w:line="360" w:lineRule="auto" w:after="0"/>
        <w:ind w:firstLine="420"/>
      </w:pPr>
      <w:r>
        <w:rPr>
          <w:rFonts w:ascii="Times New Roman" w:hAnsi="Times New Roman" w:eastAsia="宋体"/>
          <w:sz w:val="24"/>
        </w:rPr>
        <w:t>单元字段为</w:t>
      </w:r>
    </w:p>
    <w:p>
      <w:pPr>
        <w:spacing w:line="240" w:lineRule="auto" w:before="80" w:after="80"/>
        <w:ind w:firstLine="0"/>
        <w:jc w:val="center"/>
      </w:pPr>
      <m:oMath>
        <m:sSub>
          <m:e>
            <m:r>
              <m:t>U</m:t>
            </m:r>
          </m:e>
          <m:sub>
            <m:r>
              <m:t>c</m:t>
            </m:r>
          </m:sub>
        </m:sSub>
        <m:r>
          <m:t>∈</m:t>
        </m:r>
        <m:sSup>
          <m:e>
            <m:r>
              <m:t>R</m:t>
            </m:r>
          </m:e>
          <m:sup>
            <m:sSub>
              <m:e>
                <m:r>
                  <m:t>n</m:t>
                </m:r>
              </m:e>
              <m:sub>
                <m:r>
                  <m:t>c</m:t>
                </m:r>
              </m:sub>
            </m:sSub>
            <m:r>
              <m:t>×</m:t>
            </m:r>
            <m:r>
              <m:t>m</m:t>
            </m:r>
          </m:sup>
        </m:sSup>
      </m:oMath>
    </w:p>
    <w:p>
      <w:pPr>
        <w:spacing w:line="360" w:lineRule="auto" w:after="0"/>
        <w:ind w:firstLine="420"/>
      </w:pPr>
      <w:r>
        <w:rPr>
          <w:rFonts w:ascii="Times New Roman" w:hAnsi="Times New Roman" w:eastAsia="宋体"/>
          <w:sz w:val="24"/>
        </w:rPr>
        <w:t>其中，</w:t>
      </w:r>
      <m:oMath>
        <m:r>
          <m:t>m</m:t>
        </m:r>
      </m:oMath>
      <w:r>
        <w:rPr>
          <w:rFonts w:ascii="Times New Roman" w:hAnsi="Times New Roman" w:eastAsia="宋体"/>
          <w:sz w:val="24"/>
        </w:rPr>
        <w:t xml:space="preserve"> 为字段分量数。点字段和单元字段不仅数组长度不同，其物理含义和采样位置也不同。若在梯度计算或数据优化中忽略这一差异，可能导致结果虽然具有数值形式，却难以给出合理的物理解释。</w:t>
      </w:r>
    </w:p>
    <w:p>
      <w:pPr>
        <w:spacing w:line="360" w:lineRule="auto" w:after="0"/>
        <w:ind w:firstLine="420"/>
      </w:pPr>
      <w:r>
        <w:rPr>
          <w:rFonts w:ascii="Times New Roman" w:hAnsi="Times New Roman" w:eastAsia="宋体"/>
          <w:sz w:val="24"/>
        </w:rPr>
        <w:t>除几何坐标、单元连接和字段数组之外，拓扑邻接关系也是后处理计算中经常使用的基础信息。对于结构化网格，相邻点或相邻单元通常可由逻辑索引直接推导；对于非结构化网格，相邻关系一般需要根据单元连接以及共享点、共享边、共享面等关系构建。拓扑邻接关系本身不改变原始字段含义，但会影响梯度恢复、平滑处理和局部特征分析的取样范围。</w:t>
      </w:r>
    </w:p>
    <w:p>
      <w:pPr>
        <w:pStyle w:val="2"/>
        <w:spacing w:line="360" w:lineRule="auto" w:before="120" w:after="120"/>
        <w:jc w:val="left"/>
      </w:pPr>
      <w:r>
        <w:rPr>
          <w:rFonts w:ascii="Times New Roman" w:hAnsi="Times New Roman" w:eastAsia="黑体"/>
          <w:b/>
          <w:sz w:val="28"/>
        </w:rPr>
        <w:t>2.2 VTK、ParaView 与 Qt 相关技术</w:t>
      </w:r>
    </w:p>
    <w:p>
      <w:pPr>
        <w:spacing w:line="360" w:lineRule="auto" w:after="0"/>
        <w:ind w:firstLine="420"/>
      </w:pPr>
      <w:r>
        <w:rPr>
          <w:rFonts w:ascii="Times New Roman" w:hAnsi="Times New Roman" w:eastAsia="宋体"/>
          <w:sz w:val="24"/>
        </w:rPr>
        <w:t>VTK 是科学可视化领域常用的开源工具库，提供数据结构、数据读写、过滤器和渲染支持[4]。ParaView 基于 VTK 构建交互式可视化环境，常用于科学计算和工程仿真结果观察。ParaView 文档将 VTK 数据集概括为 mesh 和 attributes 的组合，其中 mesh 包含 points 和 cells，attributes 可以作为点数据、单元数据等形式附着在数据集上[3]。这种数据组织方式能够表达 CAE 后处理中的节点、单元和字段信息，使 VTK 适合作为数据读写、结果导出和可视化观察的基础工具。</w:t>
      </w:r>
    </w:p>
    <w:p>
      <w:pPr>
        <w:spacing w:line="360" w:lineRule="auto" w:after="0"/>
        <w:ind w:firstLine="420"/>
      </w:pPr>
      <w:r>
        <w:rPr>
          <w:rFonts w:ascii="Times New Roman" w:hAnsi="Times New Roman" w:eastAsia="宋体"/>
          <w:sz w:val="24"/>
        </w:rPr>
        <w:t>在本文系统中，VTK 主要用于数据输入输出和结果对照。输入阶段，VTK 用于读取已有网格数据和字段数据；输出阶段，计算结果可保存为 VTK 文件，并在 ParaView 中进行观察。在梯度计算方面，VTK 中的 vtkGradientFilter 可用于估计数据集字段梯度，其输出字段的关联方式与输入字段保持一致[19]，体现了 VTK 在字段派生计算方面的支持能力。</w:t>
      </w:r>
    </w:p>
    <w:p>
      <w:pPr>
        <w:spacing w:line="360" w:lineRule="auto" w:after="0"/>
        <w:ind w:firstLine="420"/>
      </w:pPr>
      <w:r>
        <w:rPr>
          <w:rFonts w:ascii="Times New Roman" w:hAnsi="Times New Roman" w:eastAsia="宋体"/>
          <w:sz w:val="24"/>
        </w:rPr>
        <w:t>Qt 是常用的跨平台图形界面框架，提供窗口、控件、事件响应和文件交互等能力[20]。在本文的桌面程序中，Qt 主要用于基本界面交互，例如数据选择、参数输入、计算触发和结果导出。由于本文研究重点是 CAE 数据预处理方法，Qt 作为界面支撑技术使用。</w:t>
      </w:r>
    </w:p>
    <w:p>
      <w:pPr>
        <w:pStyle w:val="2"/>
        <w:spacing w:line="360" w:lineRule="auto" w:before="120" w:after="120"/>
        <w:jc w:val="left"/>
      </w:pPr>
      <w:r>
        <w:rPr>
          <w:rFonts w:ascii="Times New Roman" w:hAnsi="Times New Roman" w:eastAsia="黑体"/>
          <w:b/>
          <w:sz w:val="28"/>
        </w:rPr>
        <w:t>2.3 OpenGL Compute Shader 与 GPU 并行计算</w:t>
      </w:r>
    </w:p>
    <w:p>
      <w:pPr>
        <w:spacing w:line="360" w:lineRule="auto" w:after="0"/>
        <w:ind w:firstLine="420"/>
      </w:pPr>
      <w:r>
        <w:rPr>
          <w:rFonts w:ascii="Times New Roman" w:hAnsi="Times New Roman" w:eastAsia="宋体"/>
          <w:sz w:val="24"/>
        </w:rPr>
        <w:t>OpenGL 最初主要用于图形渲染。随着可编程管线发展，OpenGL 逐渐具备执行通用并行计算任务的能力。Compute Shader 是 OpenGL 中专门用于通用计算的着色器阶段，不依赖顶点、片元等传统渲染图元，而是通过工作组和线程编号组织并行任务[8]。</w:t>
      </w:r>
    </w:p>
    <w:p>
      <w:pPr>
        <w:spacing w:line="360" w:lineRule="auto" w:after="0"/>
        <w:ind w:firstLine="420"/>
      </w:pPr>
      <w:r>
        <w:rPr>
          <w:rFonts w:ascii="Times New Roman" w:hAnsi="Times New Roman" w:eastAsia="宋体"/>
          <w:sz w:val="24"/>
        </w:rPr>
        <w:t xml:space="preserve">OpenGL Compute Shader 的并行执行模型由工作组和组内局部线程组成。每个线程可以通过全局调用编号定位其处理对象。设第 </w:t>
      </w:r>
      <m:oMath>
        <m:r>
          <m:t>g</m:t>
        </m:r>
      </m:oMath>
      <w:r>
        <w:rPr>
          <w:rFonts w:ascii="Times New Roman" w:hAnsi="Times New Roman" w:eastAsia="宋体"/>
          <w:sz w:val="24"/>
        </w:rPr>
        <w:t xml:space="preserve"> 个全局线程处理第 </w:t>
      </w:r>
      <m:oMath>
        <m:r>
          <m:t>i</m:t>
        </m:r>
      </m:oMath>
      <w:r>
        <w:rPr>
          <w:rFonts w:ascii="Times New Roman" w:hAnsi="Times New Roman" w:eastAsia="宋体"/>
          <w:sz w:val="24"/>
        </w:rPr>
        <w:t xml:space="preserve"> 个采样对象，则可写为</w:t>
      </w:r>
    </w:p>
    <w:p>
      <w:pPr>
        <w:spacing w:line="240" w:lineRule="auto" w:before="80" w:after="80"/>
        <w:ind w:firstLine="0"/>
        <w:jc w:val="center"/>
      </w:pPr>
      <m:oMath>
        <m:r>
          <m:t>i</m:t>
        </m:r>
        <m:r>
          <m:t>=</m:t>
        </m:r>
        <m:r>
          <m:t>g</m:t>
        </m:r>
      </m:oMath>
    </w:p>
    <w:p>
      <w:pPr>
        <w:spacing w:line="360" w:lineRule="auto" w:after="0"/>
        <w:ind w:firstLine="420"/>
      </w:pPr>
      <w:r>
        <w:rPr>
          <w:rFonts w:ascii="Times New Roman" w:hAnsi="Times New Roman" w:eastAsia="宋体"/>
          <w:sz w:val="24"/>
        </w:rPr>
        <w:t>其中，</w:t>
      </w:r>
      <m:oMath>
        <m:r>
          <m:t>g</m:t>
        </m:r>
      </m:oMath>
      <w:r>
        <w:rPr>
          <w:rFonts w:ascii="Times New Roman" w:hAnsi="Times New Roman" w:eastAsia="宋体"/>
          <w:sz w:val="24"/>
        </w:rPr>
        <w:t xml:space="preserve"> 对应 Compute Shader 中的全局调用编号 </w:t>
      </w:r>
      <w:r>
        <w:rPr>
          <w:rFonts w:ascii="Consolas" w:hAnsi="Consolas" w:eastAsia="Consolas"/>
          <w:sz w:val="24"/>
        </w:rPr>
        <w:t>gl_GlobalInvocationID.x</w:t>
      </w:r>
      <w:r>
        <w:rPr>
          <w:rFonts w:ascii="Times New Roman" w:hAnsi="Times New Roman" w:eastAsia="宋体"/>
          <w:sz w:val="24"/>
        </w:rPr>
        <w:t>。</w:t>
      </w:r>
    </w:p>
    <w:p>
      <w:pPr>
        <w:spacing w:line="360" w:lineRule="auto" w:after="0"/>
        <w:ind w:firstLine="420"/>
      </w:pPr>
      <w:r>
        <w:rPr>
          <w:rFonts w:ascii="Times New Roman" w:hAnsi="Times New Roman" w:eastAsia="宋体"/>
          <w:sz w:val="24"/>
        </w:rPr>
        <w:t xml:space="preserve">对于结构化网格，若线性索引为 </w:t>
      </w:r>
      <m:oMath>
        <m:r>
          <m:t>i</m:t>
        </m:r>
      </m:oMath>
      <w:r>
        <w:rPr>
          <w:rFonts w:ascii="Times New Roman" w:hAnsi="Times New Roman" w:eastAsia="宋体"/>
          <w:sz w:val="24"/>
        </w:rPr>
        <w:t xml:space="preserve">，网格维度为 </w:t>
      </w:r>
      <m:oMath>
        <m:r>
          <m:t>(</m:t>
        </m:r>
        <m:sSub>
          <m:e>
            <m:r>
              <m:t>n</m:t>
            </m:r>
          </m:e>
          <m:sub>
            <m:r>
              <m:t>x</m:t>
            </m:r>
          </m:sub>
        </m:sSub>
        <m:r>
          <m:t>,</m:t>
        </m:r>
        <m:sSub>
          <m:e>
            <m:r>
              <m:t>n</m:t>
            </m:r>
          </m:e>
          <m:sub>
            <m:r>
              <m:t>y</m:t>
            </m:r>
          </m:sub>
        </m:sSub>
        <m:r>
          <m:t>,</m:t>
        </m:r>
        <m:sSub>
          <m:e>
            <m:r>
              <m:t>n</m:t>
            </m:r>
          </m:e>
          <m:sub>
            <m:r>
              <m:t>z</m:t>
            </m:r>
          </m:sub>
        </m:sSub>
        <m:r>
          <m:t>)</m:t>
        </m:r>
      </m:oMath>
      <w:r>
        <w:rPr>
          <w:rFonts w:ascii="Times New Roman" w:hAnsi="Times New Roman" w:eastAsia="宋体"/>
          <w:sz w:val="24"/>
        </w:rPr>
        <w:t>，则三维逻辑索引可由下式恢复：</w:t>
      </w:r>
    </w:p>
    <w:p>
      <w:pPr>
        <w:spacing w:line="240" w:lineRule="auto" w:before="80" w:after="80"/>
        <w:ind w:firstLine="0"/>
        <w:jc w:val="center"/>
      </w:pPr>
      <m:oMath>
        <m:sSub>
          <m:e>
            <m:r>
              <m:t>i</m:t>
            </m:r>
          </m:e>
          <m:sub>
            <m:r>
              <m:t>x</m:t>
            </m:r>
          </m:sub>
        </m:sSub>
        <m:r>
          <m:t>=</m:t>
        </m:r>
        <m:r>
          <m:t>i</m:t>
        </m:r>
        <m:r>
          <m:t> </m:t>
        </m:r>
        <m:r>
          <m:t>m</m:t>
        </m:r>
        <m:r>
          <m:t>o</m:t>
        </m:r>
        <m:r>
          <m:t>d</m:t>
        </m:r>
        <m:r>
          <m:t> </m:t>
        </m:r>
        <m:sSub>
          <m:e>
            <m:r>
              <m:t>n</m:t>
            </m:r>
          </m:e>
          <m:sub>
            <m:r>
              <m:t>x</m:t>
            </m:r>
          </m:sub>
        </m:sSub>
      </m:oMath>
    </w:p>
    <w:p>
      <w:pPr>
        <w:spacing w:line="240" w:lineRule="auto" w:before="80" w:after="80"/>
        <w:ind w:firstLine="0"/>
        <w:jc w:val="center"/>
      </w:pPr>
      <m:oMath>
        <m:sSub>
          <m:e>
            <m:r>
              <m:t>i</m:t>
            </m:r>
          </m:e>
          <m:sub>
            <m:r>
              <m:t>y</m:t>
            </m:r>
          </m:sub>
        </m:sSub>
        <m:r>
          <m:t>=</m:t>
        </m:r>
        <m:r>
          <m:t>f</m:t>
        </m:r>
        <m:r>
          <m:t>l</m:t>
        </m:r>
        <m:r>
          <m:t>o</m:t>
        </m:r>
        <m:r>
          <m:t>o</m:t>
        </m:r>
        <m:r>
          <m:t>r</m:t>
        </m:r>
        <m:r>
          <m:t>(</m:t>
        </m:r>
        <m:r>
          <m:t>i</m:t>
        </m:r>
        <m:r>
          <m:t>/</m:t>
        </m:r>
        <m:sSub>
          <m:e>
            <m:r>
              <m:t>n</m:t>
            </m:r>
          </m:e>
          <m:sub>
            <m:r>
              <m:t>x</m:t>
            </m:r>
          </m:sub>
        </m:sSub>
        <m:r>
          <m:t>)</m:t>
        </m:r>
        <m:r>
          <m:t> </m:t>
        </m:r>
        <m:r>
          <m:t>m</m:t>
        </m:r>
        <m:r>
          <m:t>o</m:t>
        </m:r>
        <m:r>
          <m:t>d</m:t>
        </m:r>
        <m:r>
          <m:t> </m:t>
        </m:r>
        <m:sSub>
          <m:e>
            <m:r>
              <m:t>n</m:t>
            </m:r>
          </m:e>
          <m:sub>
            <m:r>
              <m:t>y</m:t>
            </m:r>
          </m:sub>
        </m:sSub>
      </m:oMath>
    </w:p>
    <w:p>
      <w:pPr>
        <w:spacing w:line="240" w:lineRule="auto" w:before="80" w:after="80"/>
        <w:ind w:firstLine="0"/>
        <w:jc w:val="center"/>
      </w:pPr>
      <m:oMath>
        <m:sSub>
          <m:e>
            <m:r>
              <m:t>i</m:t>
            </m:r>
          </m:e>
          <m:sub>
            <m:r>
              <m:t>z</m:t>
            </m:r>
          </m:sub>
        </m:sSub>
        <m:r>
          <m:t>=</m:t>
        </m:r>
        <m:r>
          <m:t>f</m:t>
        </m:r>
        <m:r>
          <m:t>l</m:t>
        </m:r>
        <m:r>
          <m:t>o</m:t>
        </m:r>
        <m:r>
          <m:t>o</m:t>
        </m:r>
        <m:r>
          <m:t>r</m:t>
        </m:r>
        <m:r>
          <m:t>(</m:t>
        </m:r>
        <m:r>
          <m:t>i</m:t>
        </m:r>
        <m:r>
          <m:t>/</m:t>
        </m:r>
        <m:r>
          <m:t>(</m:t>
        </m:r>
        <m:sSub>
          <m:e>
            <m:r>
              <m:t>n</m:t>
            </m:r>
          </m:e>
          <m:sub>
            <m:r>
              <m:t>x</m:t>
            </m:r>
          </m:sub>
        </m:sSub>
        <m:sSub>
          <m:e>
            <m:r>
              <m:t>n</m:t>
            </m:r>
          </m:e>
          <m:sub>
            <m:r>
              <m:t>y</m:t>
            </m:r>
          </m:sub>
        </m:sSub>
        <m:r>
          <m:t>)</m:t>
        </m:r>
        <m:r>
          <m:t>)</m:t>
        </m:r>
      </m:oMath>
    </w:p>
    <w:p>
      <w:pPr>
        <w:spacing w:line="360" w:lineRule="auto" w:after="0"/>
        <w:ind w:firstLine="420"/>
      </w:pPr>
      <w:r>
        <w:rPr>
          <w:rFonts w:ascii="Times New Roman" w:hAnsi="Times New Roman" w:eastAsia="宋体"/>
          <w:sz w:val="24"/>
        </w:rPr>
        <w:t>这种映射使线程能够根据自身编号定位一个点或单元，并进一步访问其相邻样本。对于非结构化网格，线程通常处理一个点或一个单元，并通过邻域索引或单元连接访问局部数据。</w:t>
      </w:r>
    </w:p>
    <w:p>
      <w:pPr>
        <w:spacing w:line="360" w:lineRule="auto" w:after="0"/>
        <w:ind w:firstLine="420"/>
      </w:pPr>
      <w:r>
        <w:rPr>
          <w:rFonts w:ascii="Times New Roman" w:hAnsi="Times New Roman" w:eastAsia="宋体"/>
          <w:sz w:val="24"/>
        </w:rPr>
        <w:t>Shader Storage Buffer Object（SSBO）是 OpenGL 中用于在着色器端读写缓冲区的重要机制。与传统 uniform buffer 相比，SSBO 更适合存储较大规模结构化数据，并支持着色器端读写[9]。CAE 数据中的点坐标、字段值、单元连接和输出结果都可以组织为连续数组后传入 GPU，从而适应 Compute Shader 的数组访问方式。</w:t>
      </w:r>
    </w:p>
    <w:p>
      <w:pPr>
        <w:spacing w:line="360" w:lineRule="auto" w:after="0"/>
        <w:ind w:firstLine="420"/>
      </w:pPr>
      <w:r>
        <w:rPr>
          <w:rFonts w:ascii="Times New Roman" w:hAnsi="Times New Roman" w:eastAsia="宋体"/>
          <w:sz w:val="24"/>
        </w:rPr>
        <w:t>从数据处理方式看，GPU 并行计算适合处理大量采样对象上的重复计算任务。CAE 后处理数据通常包含较多节点、单元和字段值。当相关计算能够拆分为多个相对独立的线程任务时，GPU 的并行吞吐能力有助于降低核心计算环节的时间成本。同时，GPU 并行实现还需要合理设计数据布局、缓冲区组织、内存访问和结果写回方式，以充分发挥并行硬件的优势。</w:t>
      </w:r>
    </w:p>
    <w:p>
      <w:pPr>
        <w:pStyle w:val="2"/>
        <w:spacing w:line="360" w:lineRule="auto" w:before="120" w:after="120"/>
        <w:jc w:val="left"/>
      </w:pPr>
      <w:r>
        <w:rPr>
          <w:rFonts w:ascii="Times New Roman" w:hAnsi="Times New Roman" w:eastAsia="黑体"/>
          <w:b/>
          <w:sz w:val="28"/>
        </w:rPr>
        <w:t>2.4 结构化网格梯度计算理论</w:t>
      </w:r>
    </w:p>
    <w:p>
      <w:pPr>
        <w:spacing w:line="360" w:lineRule="auto" w:after="0"/>
        <w:ind w:firstLine="420"/>
      </w:pPr>
      <w:r>
        <w:rPr>
          <w:rFonts w:ascii="Times New Roman" w:hAnsi="Times New Roman" w:eastAsia="宋体"/>
          <w:sz w:val="24"/>
        </w:rPr>
        <w:t xml:space="preserve">结构化网格具有明确逻辑索引，适合基于有限差分法估计字段导数。对于均匀直角网格，可直接使用 </w:t>
      </w:r>
      <m:oMath>
        <m:r>
          <m:t>Δ</m:t>
        </m:r>
        <m:r>
          <m:t>x</m:t>
        </m:r>
        <m:r>
          <m:t>,</m:t>
        </m:r>
        <m:r>
          <m:t>Δ</m:t>
        </m:r>
        <m:r>
          <m:t>y</m:t>
        </m:r>
        <m:r>
          <m:t>,</m:t>
        </m:r>
        <m:r>
          <m:t>Δ</m:t>
        </m:r>
        <m:r>
          <m:t>z</m:t>
        </m:r>
      </m:oMath>
      <w:r>
        <w:rPr>
          <w:rFonts w:ascii="Times New Roman" w:hAnsi="Times New Roman" w:eastAsia="宋体"/>
          <w:sz w:val="24"/>
        </w:rPr>
        <w:t xml:space="preserve"> 作为物理方向步长；但在更一般的结构化网格或曲线网格中，逻辑坐标和物理坐标之间可能存在映射关系。此时不宜将逻辑方向差分直接等同于物理空间梯度，而应通过链式法则和 Jacobian 完成坐标变换[10][11]。</w:t>
      </w:r>
    </w:p>
    <w:p>
      <w:pPr>
        <w:spacing w:line="360" w:lineRule="auto" w:after="0"/>
        <w:ind w:firstLine="420"/>
      </w:pPr>
      <w:r>
        <w:rPr>
          <w:rFonts w:ascii="Times New Roman" w:hAnsi="Times New Roman" w:eastAsia="宋体"/>
          <w:sz w:val="24"/>
        </w:rPr>
        <w:t xml:space="preserve">设逻辑坐标为 </w:t>
      </w:r>
      <m:oMath>
        <m:r>
          <m:t>ξ</m:t>
        </m:r>
        <m:r>
          <m:t>=</m:t>
        </m:r>
        <m:r>
          <m:t>(</m:t>
        </m:r>
        <m:r>
          <m:t>ξ</m:t>
        </m:r>
        <m:r>
          <m:t>,</m:t>
        </m:r>
        <m:r>
          <m:t>η</m:t>
        </m:r>
        <m:r>
          <m:t>,</m:t>
        </m:r>
        <m:r>
          <m:t>ζ</m:t>
        </m:r>
        <m:r>
          <m:t>)</m:t>
        </m:r>
      </m:oMath>
      <w:r>
        <w:rPr>
          <w:rFonts w:ascii="Times New Roman" w:hAnsi="Times New Roman" w:eastAsia="宋体"/>
          <w:sz w:val="24"/>
        </w:rPr>
        <w:t xml:space="preserve">，物理坐标为 </w:t>
      </w:r>
      <m:oMath>
        <m:r>
          <m:t>x</m:t>
        </m:r>
        <m:r>
          <m:t>=</m:t>
        </m:r>
        <m:r>
          <m:t>x</m:t>
        </m:r>
        <m:r>
          <m:t>(</m:t>
        </m:r>
        <m:r>
          <m:t>ξ</m:t>
        </m:r>
        <m:r>
          <m:t>)</m:t>
        </m:r>
      </m:oMath>
      <w:r>
        <w:rPr>
          <w:rFonts w:ascii="Times New Roman" w:hAnsi="Times New Roman" w:eastAsia="宋体"/>
          <w:sz w:val="24"/>
        </w:rPr>
        <w:t xml:space="preserve">。对于标量场 </w:t>
      </w:r>
      <m:oMath>
        <m:r>
          <m:t>u</m:t>
        </m:r>
      </m:oMath>
      <w:r>
        <w:rPr>
          <w:rFonts w:ascii="Times New Roman" w:hAnsi="Times New Roman" w:eastAsia="宋体"/>
          <w:sz w:val="24"/>
        </w:rPr>
        <w:t>，参数空间梯度可写为</w:t>
      </w:r>
    </w:p>
    <w:p>
      <w:pPr>
        <w:spacing w:line="240" w:lineRule="auto" w:before="80" w:after="80"/>
        <w:ind w:firstLine="0"/>
        <w:jc w:val="center"/>
      </w:pPr>
      <m:oMath>
        <m:sSub>
          <m:e>
            <m:r>
              <m:t>∇</m:t>
            </m:r>
          </m:e>
          <m:sub>
            <m:r>
              <m:t>ξ</m:t>
            </m:r>
          </m:sub>
        </m:sSub>
        <m:r>
          <m:t>u</m:t>
        </m:r>
        <m:r>
          <m:t>=</m:t>
        </m:r>
        <m:r>
          <m:t>(</m:t>
        </m:r>
        <m:sSub>
          <m:e>
            <m:r>
              <m:t>u</m:t>
            </m:r>
          </m:e>
          <m:sub>
            <m:r>
              <m:t>ξ</m:t>
            </m:r>
          </m:sub>
        </m:sSub>
        <m:r>
          <m:t>,</m:t>
        </m:r>
        <m:sSub>
          <m:e>
            <m:r>
              <m:t>u</m:t>
            </m:r>
          </m:e>
          <m:sub>
            <m:r>
              <m:t>η</m:t>
            </m:r>
          </m:sub>
        </m:sSub>
        <m:r>
          <m:t>,</m:t>
        </m:r>
        <m:sSub>
          <m:e>
            <m:r>
              <m:t>u</m:t>
            </m:r>
          </m:e>
          <m:sub>
            <m:r>
              <m:t>ζ</m:t>
            </m:r>
          </m:sub>
        </m:sSub>
        <m:r>
          <m:t>)</m:t>
        </m:r>
      </m:oMath>
    </w:p>
    <w:p>
      <w:pPr>
        <w:spacing w:line="360" w:lineRule="auto" w:after="0"/>
        <w:ind w:firstLine="420"/>
      </w:pPr>
      <w:r>
        <w:rPr>
          <w:rFonts w:ascii="Times New Roman" w:hAnsi="Times New Roman" w:eastAsia="宋体"/>
          <w:sz w:val="24"/>
        </w:rPr>
        <w:t>内部点处可使用中心差分，例如</w:t>
      </w:r>
    </w:p>
    <w:p>
      <w:pPr>
        <w:spacing w:line="240" w:lineRule="auto" w:before="80" w:after="80"/>
        <w:ind w:firstLine="0"/>
        <w:jc w:val="center"/>
      </w:pPr>
      <m:oMath>
        <m:sSub>
          <m:e>
            <m:r>
              <m:t>u</m:t>
            </m:r>
          </m:e>
          <m:sub>
            <m:r>
              <m:t>ξ</m:t>
            </m:r>
          </m:sub>
        </m:sSub>
        <m:r>
          <m:t>(</m:t>
        </m:r>
        <m:r>
          <m:t>i</m:t>
        </m:r>
        <m:r>
          <m:t>,</m:t>
        </m:r>
        <m:r>
          <m:t>j</m:t>
        </m:r>
        <m:r>
          <m:t>,</m:t>
        </m:r>
        <m:r>
          <m:t>k</m:t>
        </m:r>
        <m:r>
          <m:t>)</m:t>
        </m:r>
        <m:r>
          <m:t>≈</m:t>
        </m:r>
        <m:f>
          <m:num>
            <m:sSub>
              <m:e>
                <m:r>
                  <m:t>u</m:t>
                </m:r>
              </m:e>
              <m:sub>
                <m:r>
                  <m:t>i</m:t>
                </m:r>
                <m:r>
                  <m:t>+</m:t>
                </m:r>
                <m:r>
                  <m:t>1</m:t>
                </m:r>
                <m:r>
                  <m:t>,</m:t>
                </m:r>
                <m:r>
                  <m:t>j</m:t>
                </m:r>
                <m:r>
                  <m:t>,</m:t>
                </m:r>
                <m:r>
                  <m:t>k</m:t>
                </m:r>
              </m:sub>
            </m:sSub>
            <m:r>
              <m:t>−</m:t>
            </m:r>
            <m:sSub>
              <m:e>
                <m:r>
                  <m:t>u</m:t>
                </m:r>
              </m:e>
              <m:sub>
                <m:r>
                  <m:t>i</m:t>
                </m:r>
                <m:r>
                  <m:t>−</m:t>
                </m:r>
                <m:r>
                  <m:t>1</m:t>
                </m:r>
                <m:r>
                  <m:t>,</m:t>
                </m:r>
                <m:r>
                  <m:t>j</m:t>
                </m:r>
                <m:r>
                  <m:t>,</m:t>
                </m:r>
                <m:r>
                  <m:t>k</m:t>
                </m:r>
              </m:sub>
            </m:sSub>
          </m:num>
          <m:den>
            <m:r>
              <m:t>2</m:t>
            </m:r>
          </m:den>
        </m:f>
      </m:oMath>
    </w:p>
    <w:p>
      <w:pPr>
        <w:spacing w:line="240" w:lineRule="auto" w:before="80" w:after="80"/>
        <w:ind w:firstLine="0"/>
        <w:jc w:val="center"/>
      </w:pPr>
      <m:oMath>
        <m:sSub>
          <m:e>
            <m:r>
              <m:t>u</m:t>
            </m:r>
          </m:e>
          <m:sub>
            <m:r>
              <m:t>η</m:t>
            </m:r>
          </m:sub>
        </m:sSub>
        <m:r>
          <m:t>(</m:t>
        </m:r>
        <m:r>
          <m:t>i</m:t>
        </m:r>
        <m:r>
          <m:t>,</m:t>
        </m:r>
        <m:r>
          <m:t>j</m:t>
        </m:r>
        <m:r>
          <m:t>,</m:t>
        </m:r>
        <m:r>
          <m:t>k</m:t>
        </m:r>
        <m:r>
          <m:t>)</m:t>
        </m:r>
        <m:r>
          <m:t>≈</m:t>
        </m:r>
        <m:f>
          <m:num>
            <m:sSub>
              <m:e>
                <m:r>
                  <m:t>u</m:t>
                </m:r>
              </m:e>
              <m:sub>
                <m:r>
                  <m:t>i</m:t>
                </m:r>
                <m:r>
                  <m:t>,</m:t>
                </m:r>
                <m:r>
                  <m:t>j</m:t>
                </m:r>
                <m:r>
                  <m:t>+</m:t>
                </m:r>
                <m:r>
                  <m:t>1</m:t>
                </m:r>
                <m:r>
                  <m:t>,</m:t>
                </m:r>
                <m:r>
                  <m:t>k</m:t>
                </m:r>
              </m:sub>
            </m:sSub>
            <m:r>
              <m:t>−</m:t>
            </m:r>
            <m:sSub>
              <m:e>
                <m:r>
                  <m:t>u</m:t>
                </m:r>
              </m:e>
              <m:sub>
                <m:r>
                  <m:t>i</m:t>
                </m:r>
                <m:r>
                  <m:t>,</m:t>
                </m:r>
                <m:r>
                  <m:t>j</m:t>
                </m:r>
                <m:r>
                  <m:t>−</m:t>
                </m:r>
                <m:r>
                  <m:t>1</m:t>
                </m:r>
                <m:r>
                  <m:t>,</m:t>
                </m:r>
                <m:r>
                  <m:t>k</m:t>
                </m:r>
              </m:sub>
            </m:sSub>
          </m:num>
          <m:den>
            <m:r>
              <m:t>2</m:t>
            </m:r>
          </m:den>
        </m:f>
      </m:oMath>
    </w:p>
    <w:p>
      <w:pPr>
        <w:spacing w:line="240" w:lineRule="auto" w:before="80" w:after="80"/>
        <w:ind w:firstLine="0"/>
        <w:jc w:val="center"/>
      </w:pPr>
      <m:oMath>
        <m:sSub>
          <m:e>
            <m:r>
              <m:t>u</m:t>
            </m:r>
          </m:e>
          <m:sub>
            <m:r>
              <m:t>ζ</m:t>
            </m:r>
          </m:sub>
        </m:sSub>
        <m:r>
          <m:t>(</m:t>
        </m:r>
        <m:r>
          <m:t>i</m:t>
        </m:r>
        <m:r>
          <m:t>,</m:t>
        </m:r>
        <m:r>
          <m:t>j</m:t>
        </m:r>
        <m:r>
          <m:t>,</m:t>
        </m:r>
        <m:r>
          <m:t>k</m:t>
        </m:r>
        <m:r>
          <m:t>)</m:t>
        </m:r>
        <m:r>
          <m:t>≈</m:t>
        </m:r>
        <m:f>
          <m:num>
            <m:sSub>
              <m:e>
                <m:r>
                  <m:t>u</m:t>
                </m:r>
              </m:e>
              <m:sub>
                <m:r>
                  <m:t>i</m:t>
                </m:r>
                <m:r>
                  <m:t>,</m:t>
                </m:r>
                <m:r>
                  <m:t>j</m:t>
                </m:r>
                <m:r>
                  <m:t>,</m:t>
                </m:r>
                <m:r>
                  <m:t>k</m:t>
                </m:r>
                <m:r>
                  <m:t>+</m:t>
                </m:r>
                <m:r>
                  <m:t>1</m:t>
                </m:r>
              </m:sub>
            </m:sSub>
            <m:r>
              <m:t>−</m:t>
            </m:r>
            <m:sSub>
              <m:e>
                <m:r>
                  <m:t>u</m:t>
                </m:r>
              </m:e>
              <m:sub>
                <m:r>
                  <m:t>i</m:t>
                </m:r>
                <m:r>
                  <m:t>,</m:t>
                </m:r>
                <m:r>
                  <m:t>j</m:t>
                </m:r>
                <m:r>
                  <m:t>,</m:t>
                </m:r>
                <m:r>
                  <m:t>k</m:t>
                </m:r>
                <m:r>
                  <m:t>−</m:t>
                </m:r>
                <m:r>
                  <m:t>1</m:t>
                </m:r>
              </m:sub>
            </m:sSub>
          </m:num>
          <m:den>
            <m:r>
              <m:t>2</m:t>
            </m:r>
          </m:den>
        </m:f>
      </m:oMath>
    </w:p>
    <w:p>
      <w:pPr>
        <w:spacing w:line="360" w:lineRule="auto" w:after="0"/>
        <w:ind w:firstLine="420"/>
      </w:pPr>
      <w:r>
        <w:rPr>
          <w:rFonts w:ascii="Times New Roman" w:hAnsi="Times New Roman" w:eastAsia="宋体"/>
          <w:sz w:val="24"/>
        </w:rPr>
        <w:t xml:space="preserve">边界位置缺少一侧邻点时可使用单边差分。以左边界 </w:t>
      </w:r>
      <m:oMath>
        <m:r>
          <m:t>i</m:t>
        </m:r>
        <m:r>
          <m:t>=</m:t>
        </m:r>
        <m:r>
          <m:t>0</m:t>
        </m:r>
      </m:oMath>
      <w:r>
        <w:rPr>
          <w:rFonts w:ascii="Times New Roman" w:hAnsi="Times New Roman" w:eastAsia="宋体"/>
          <w:sz w:val="24"/>
        </w:rPr>
        <w:t xml:space="preserve"> 为例，有</w:t>
      </w:r>
    </w:p>
    <w:p>
      <w:pPr>
        <w:spacing w:line="240" w:lineRule="auto" w:before="80" w:after="80"/>
        <w:ind w:firstLine="0"/>
        <w:jc w:val="center"/>
      </w:pPr>
      <m:oMath>
        <m:sSub>
          <m:e>
            <m:r>
              <m:t>u</m:t>
            </m:r>
          </m:e>
          <m:sub>
            <m:r>
              <m:t>ξ</m:t>
            </m:r>
          </m:sub>
        </m:sSub>
        <m:r>
          <m:t>(</m:t>
        </m:r>
        <m:r>
          <m:t>0</m:t>
        </m:r>
        <m:r>
          <m:t>,</m:t>
        </m:r>
        <m:r>
          <m:t>j</m:t>
        </m:r>
        <m:r>
          <m:t>,</m:t>
        </m:r>
        <m:r>
          <m:t>k</m:t>
        </m:r>
        <m:r>
          <m:t>)</m:t>
        </m:r>
        <m:r>
          <m:t>≈</m:t>
        </m:r>
        <m:sSub>
          <m:e>
            <m:r>
              <m:t>u</m:t>
            </m:r>
          </m:e>
          <m:sub>
            <m:r>
              <m:t>1</m:t>
            </m:r>
            <m:r>
              <m:t>,</m:t>
            </m:r>
            <m:r>
              <m:t>j</m:t>
            </m:r>
            <m:r>
              <m:t>,</m:t>
            </m:r>
            <m:r>
              <m:t>k</m:t>
            </m:r>
          </m:sub>
        </m:sSub>
        <m:r>
          <m:t>−</m:t>
        </m:r>
        <m:sSub>
          <m:e>
            <m:r>
              <m:t>u</m:t>
            </m:r>
          </m:e>
          <m:sub>
            <m:r>
              <m:t>0</m:t>
            </m:r>
            <m:r>
              <m:t>,</m:t>
            </m:r>
            <m:r>
              <m:t>j</m:t>
            </m:r>
            <m:r>
              <m:t>,</m:t>
            </m:r>
            <m:r>
              <m:t>k</m:t>
            </m:r>
          </m:sub>
        </m:sSub>
      </m:oMath>
    </w:p>
    <w:p>
      <w:pPr>
        <w:spacing w:line="360" w:lineRule="auto" w:after="0"/>
        <w:ind w:firstLine="420"/>
      </w:pPr>
      <w:r>
        <w:rPr>
          <w:rFonts w:ascii="Times New Roman" w:hAnsi="Times New Roman" w:eastAsia="宋体"/>
          <w:sz w:val="24"/>
        </w:rPr>
        <w:t xml:space="preserve">设 </w:t>
      </w:r>
      <m:oMath>
        <m:r>
          <m:t>J</m:t>
        </m:r>
      </m:oMath>
      <w:r>
        <w:rPr>
          <w:rFonts w:ascii="Times New Roman" w:hAnsi="Times New Roman" w:eastAsia="宋体"/>
          <w:sz w:val="24"/>
        </w:rPr>
        <w:t xml:space="preserve"> 为从逻辑坐标到物理坐标的 Jacobian 矩阵，即</w:t>
      </w:r>
    </w:p>
    <w:p>
      <w:pPr>
        <w:spacing w:line="240" w:lineRule="auto" w:before="80" w:after="80"/>
        <w:ind w:firstLine="0"/>
        <w:jc w:val="center"/>
      </w:pPr>
      <m:oMath>
        <m:r>
          <m:t>J</m:t>
        </m:r>
        <m:r>
          <m:t>=</m:t>
        </m:r>
        <m:f>
          <m:num>
            <m:r>
              <m:t>∂</m:t>
            </m:r>
            <m:r>
              <m:t>x</m:t>
            </m:r>
          </m:num>
          <m:den>
            <m:r>
              <m:t>∂</m:t>
            </m:r>
            <m:r>
              <m:t>ξ</m:t>
            </m:r>
          </m:den>
        </m:f>
      </m:oMath>
    </w:p>
    <w:p>
      <w:pPr>
        <w:spacing w:line="360" w:lineRule="auto" w:after="0"/>
        <w:ind w:firstLine="420"/>
      </w:pPr>
      <w:r>
        <w:rPr>
          <w:rFonts w:ascii="Times New Roman" w:hAnsi="Times New Roman" w:eastAsia="宋体"/>
          <w:sz w:val="24"/>
        </w:rPr>
        <w:t>根据链式法则，有</w:t>
      </w:r>
    </w:p>
    <w:p>
      <w:pPr>
        <w:spacing w:line="240" w:lineRule="auto" w:before="80" w:after="80"/>
        <w:ind w:firstLine="0"/>
        <w:jc w:val="center"/>
      </w:pPr>
      <m:oMath>
        <m:sSub>
          <m:e>
            <m:r>
              <m:t>∇</m:t>
            </m:r>
          </m:e>
          <m:sub>
            <m:r>
              <m:t>ξ</m:t>
            </m:r>
          </m:sub>
        </m:sSub>
        <m:r>
          <m:t>u</m:t>
        </m:r>
        <m:r>
          <m:t>=</m:t>
        </m:r>
        <m:sSup>
          <m:e>
            <m:r>
              <m:t>J</m:t>
            </m:r>
          </m:e>
          <m:sup>
            <m:r>
              <m:t>T</m:t>
            </m:r>
          </m:sup>
        </m:sSup>
        <m:sSub>
          <m:e>
            <m:r>
              <m:t>∇</m:t>
            </m:r>
          </m:e>
          <m:sub>
            <m:r>
              <m:t>x</m:t>
            </m:r>
          </m:sub>
        </m:sSub>
        <m:r>
          <m:t>u</m:t>
        </m:r>
      </m:oMath>
    </w:p>
    <w:p>
      <w:pPr>
        <w:spacing w:line="360" w:lineRule="auto" w:after="0"/>
        <w:ind w:firstLine="420"/>
      </w:pPr>
      <w:r>
        <w:rPr>
          <w:rFonts w:ascii="Times New Roman" w:hAnsi="Times New Roman" w:eastAsia="宋体"/>
          <w:sz w:val="24"/>
        </w:rPr>
        <w:t>因此物理空间梯度为</w:t>
      </w:r>
    </w:p>
    <w:p>
      <w:pPr>
        <w:spacing w:line="240" w:lineRule="auto" w:before="80" w:after="80"/>
        <w:ind w:firstLine="0"/>
        <w:jc w:val="center"/>
      </w:pPr>
      <m:oMath>
        <m:sSub>
          <m:e>
            <m:r>
              <m:t>∇</m:t>
            </m:r>
          </m:e>
          <m:sub>
            <m:r>
              <m:t>x</m:t>
            </m:r>
          </m:sub>
        </m:sSub>
        <m:r>
          <m:t>u</m:t>
        </m:r>
        <m:r>
          <m:t>=</m:t>
        </m:r>
        <m:sSup>
          <m:e>
            <m:r>
              <m:t>J</m:t>
            </m:r>
          </m:e>
          <m:sup>
            <m:r>
              <m:t>−</m:t>
            </m:r>
            <m:r>
              <m:t>T</m:t>
            </m:r>
          </m:sup>
        </m:sSup>
        <m:sSub>
          <m:e>
            <m:r>
              <m:t>∇</m:t>
            </m:r>
          </m:e>
          <m:sub>
            <m:r>
              <m:t>ξ</m:t>
            </m:r>
          </m:sub>
        </m:sSub>
        <m:r>
          <m:t>u</m:t>
        </m:r>
      </m:oMath>
    </w:p>
    <w:p>
      <w:pPr>
        <w:spacing w:line="360" w:lineRule="auto" w:after="0"/>
        <w:ind w:firstLine="420"/>
      </w:pPr>
      <w:r>
        <w:rPr>
          <w:rFonts w:ascii="Times New Roman" w:hAnsi="Times New Roman" w:eastAsia="宋体"/>
          <w:sz w:val="24"/>
        </w:rPr>
        <w:t xml:space="preserve">若 </w:t>
      </w:r>
      <m:oMath>
        <m:sSup>
          <m:e>
            <m:r>
              <m:t>J</m:t>
            </m:r>
          </m:e>
          <m:sup>
            <m:r>
              <m:t>−</m:t>
            </m:r>
            <m:r>
              <m:t>1</m:t>
            </m:r>
          </m:sup>
        </m:sSup>
      </m:oMath>
      <w:r>
        <w:rPr>
          <w:rFonts w:ascii="Times New Roman" w:hAnsi="Times New Roman" w:eastAsia="宋体"/>
          <w:sz w:val="24"/>
        </w:rPr>
        <w:t xml:space="preserve"> 中各分量记为 </w:t>
      </w:r>
      <m:oMath>
        <m:sSub>
          <m:e>
            <m:r>
              <m:t>ξ</m:t>
            </m:r>
          </m:e>
          <m:sub>
            <m:r>
              <m:t>x</m:t>
            </m:r>
          </m:sub>
        </m:sSub>
        <m:r>
          <m:t>,</m:t>
        </m:r>
        <m:sSub>
          <m:e>
            <m:r>
              <m:t>ξ</m:t>
            </m:r>
          </m:e>
          <m:sub>
            <m:r>
              <m:t>y</m:t>
            </m:r>
          </m:sub>
        </m:sSub>
        <m:r>
          <m:t>,</m:t>
        </m:r>
        <m:sSub>
          <m:e>
            <m:r>
              <m:t>ξ</m:t>
            </m:r>
          </m:e>
          <m:sub>
            <m:r>
              <m:t>z</m:t>
            </m:r>
          </m:sub>
        </m:sSub>
        <m:r>
          <m:t>,</m:t>
        </m:r>
        <m:sSub>
          <m:e>
            <m:r>
              <m:t>η</m:t>
            </m:r>
          </m:e>
          <m:sub>
            <m:r>
              <m:t>x</m:t>
            </m:r>
          </m:sub>
        </m:sSub>
        <m:r>
          <m:t>,</m:t>
        </m:r>
        <m:sSub>
          <m:e>
            <m:r>
              <m:t>η</m:t>
            </m:r>
          </m:e>
          <m:sub>
            <m:r>
              <m:t>y</m:t>
            </m:r>
          </m:sub>
        </m:sSub>
        <m:r>
          <m:t>,</m:t>
        </m:r>
        <m:sSub>
          <m:e>
            <m:r>
              <m:t>η</m:t>
            </m:r>
          </m:e>
          <m:sub>
            <m:r>
              <m:t>z</m:t>
            </m:r>
          </m:sub>
        </m:sSub>
        <m:r>
          <m:t>,</m:t>
        </m:r>
        <m:sSub>
          <m:e>
            <m:r>
              <m:t>ζ</m:t>
            </m:r>
          </m:e>
          <m:sub>
            <m:r>
              <m:t>x</m:t>
            </m:r>
          </m:sub>
        </m:sSub>
        <m:r>
          <m:t>,</m:t>
        </m:r>
        <m:sSub>
          <m:e>
            <m:r>
              <m:t>ζ</m:t>
            </m:r>
          </m:e>
          <m:sub>
            <m:r>
              <m:t>y</m:t>
            </m:r>
          </m:sub>
        </m:sSub>
        <m:r>
          <m:t>,</m:t>
        </m:r>
        <m:sSub>
          <m:e>
            <m:r>
              <m:t>ζ</m:t>
            </m:r>
          </m:e>
          <m:sub>
            <m:r>
              <m:t>z</m:t>
            </m:r>
          </m:sub>
        </m:sSub>
      </m:oMath>
      <w:r>
        <w:rPr>
          <w:rFonts w:ascii="Times New Roman" w:hAnsi="Times New Roman" w:eastAsia="宋体"/>
          <w:sz w:val="24"/>
        </w:rPr>
        <w:t>，则梯度分量可展开为</w:t>
      </w:r>
    </w:p>
    <w:p>
      <w:pPr>
        <w:spacing w:line="240" w:lineRule="auto" w:before="80" w:after="80"/>
        <w:ind w:firstLine="0"/>
        <w:jc w:val="center"/>
      </w:pPr>
      <m:oMath>
        <m:sSub>
          <m:e>
            <m:r>
              <m:t>u</m:t>
            </m:r>
          </m:e>
          <m:sub>
            <m:r>
              <m:t>x</m:t>
            </m:r>
          </m:sub>
        </m:sSub>
        <m:r>
          <m:t>=</m:t>
        </m:r>
        <m:sSub>
          <m:e>
            <m:r>
              <m:t>ξ</m:t>
            </m:r>
          </m:e>
          <m:sub>
            <m:r>
              <m:t>x</m:t>
            </m:r>
          </m:sub>
        </m:sSub>
        <m:sSub>
          <m:e>
            <m:r>
              <m:t>u</m:t>
            </m:r>
          </m:e>
          <m:sub>
            <m:r>
              <m:t>ξ</m:t>
            </m:r>
          </m:sub>
        </m:sSub>
        <m:r>
          <m:t>+</m:t>
        </m:r>
        <m:sSub>
          <m:e>
            <m:r>
              <m:t>η</m:t>
            </m:r>
          </m:e>
          <m:sub>
            <m:r>
              <m:t>x</m:t>
            </m:r>
          </m:sub>
        </m:sSub>
        <m:sSub>
          <m:e>
            <m:r>
              <m:t>u</m:t>
            </m:r>
          </m:e>
          <m:sub>
            <m:r>
              <m:t>η</m:t>
            </m:r>
          </m:sub>
        </m:sSub>
        <m:r>
          <m:t>+</m:t>
        </m:r>
        <m:sSub>
          <m:e>
            <m:r>
              <m:t>ζ</m:t>
            </m:r>
          </m:e>
          <m:sub>
            <m:r>
              <m:t>x</m:t>
            </m:r>
          </m:sub>
        </m:sSub>
        <m:sSub>
          <m:e>
            <m:r>
              <m:t>u</m:t>
            </m:r>
          </m:e>
          <m:sub>
            <m:r>
              <m:t>ζ</m:t>
            </m:r>
          </m:sub>
        </m:sSub>
      </m:oMath>
    </w:p>
    <w:p>
      <w:pPr>
        <w:spacing w:line="240" w:lineRule="auto" w:before="80" w:after="80"/>
        <w:ind w:firstLine="0"/>
        <w:jc w:val="center"/>
      </w:pPr>
      <m:oMath>
        <m:sSub>
          <m:e>
            <m:r>
              <m:t>u</m:t>
            </m:r>
          </m:e>
          <m:sub>
            <m:r>
              <m:t>y</m:t>
            </m:r>
          </m:sub>
        </m:sSub>
        <m:r>
          <m:t>=</m:t>
        </m:r>
        <m:sSub>
          <m:e>
            <m:r>
              <m:t>ξ</m:t>
            </m:r>
          </m:e>
          <m:sub>
            <m:r>
              <m:t>y</m:t>
            </m:r>
          </m:sub>
        </m:sSub>
        <m:sSub>
          <m:e>
            <m:r>
              <m:t>u</m:t>
            </m:r>
          </m:e>
          <m:sub>
            <m:r>
              <m:t>ξ</m:t>
            </m:r>
          </m:sub>
        </m:sSub>
        <m:r>
          <m:t>+</m:t>
        </m:r>
        <m:sSub>
          <m:e>
            <m:r>
              <m:t>η</m:t>
            </m:r>
          </m:e>
          <m:sub>
            <m:r>
              <m:t>y</m:t>
            </m:r>
          </m:sub>
        </m:sSub>
        <m:sSub>
          <m:e>
            <m:r>
              <m:t>u</m:t>
            </m:r>
          </m:e>
          <m:sub>
            <m:r>
              <m:t>η</m:t>
            </m:r>
          </m:sub>
        </m:sSub>
        <m:r>
          <m:t>+</m:t>
        </m:r>
        <m:sSub>
          <m:e>
            <m:r>
              <m:t>ζ</m:t>
            </m:r>
          </m:e>
          <m:sub>
            <m:r>
              <m:t>y</m:t>
            </m:r>
          </m:sub>
        </m:sSub>
        <m:sSub>
          <m:e>
            <m:r>
              <m:t>u</m:t>
            </m:r>
          </m:e>
          <m:sub>
            <m:r>
              <m:t>ζ</m:t>
            </m:r>
          </m:sub>
        </m:sSub>
      </m:oMath>
    </w:p>
    <w:p>
      <w:pPr>
        <w:spacing w:line="240" w:lineRule="auto" w:before="80" w:after="80"/>
        <w:ind w:firstLine="0"/>
        <w:jc w:val="center"/>
      </w:pPr>
      <m:oMath>
        <m:sSub>
          <m:e>
            <m:r>
              <m:t>u</m:t>
            </m:r>
          </m:e>
          <m:sub>
            <m:r>
              <m:t>z</m:t>
            </m:r>
          </m:sub>
        </m:sSub>
        <m:r>
          <m:t>=</m:t>
        </m:r>
        <m:sSub>
          <m:e>
            <m:r>
              <m:t>ξ</m:t>
            </m:r>
          </m:e>
          <m:sub>
            <m:r>
              <m:t>z</m:t>
            </m:r>
          </m:sub>
        </m:sSub>
        <m:sSub>
          <m:e>
            <m:r>
              <m:t>u</m:t>
            </m:r>
          </m:e>
          <m:sub>
            <m:r>
              <m:t>ξ</m:t>
            </m:r>
          </m:sub>
        </m:sSub>
        <m:r>
          <m:t>+</m:t>
        </m:r>
        <m:sSub>
          <m:e>
            <m:r>
              <m:t>η</m:t>
            </m:r>
          </m:e>
          <m:sub>
            <m:r>
              <m:t>z</m:t>
            </m:r>
          </m:sub>
        </m:sSub>
        <m:sSub>
          <m:e>
            <m:r>
              <m:t>u</m:t>
            </m:r>
          </m:e>
          <m:sub>
            <m:r>
              <m:t>η</m:t>
            </m:r>
          </m:sub>
        </m:sSub>
        <m:r>
          <m:t>+</m:t>
        </m:r>
        <m:sSub>
          <m:e>
            <m:r>
              <m:t>ζ</m:t>
            </m:r>
          </m:e>
          <m:sub>
            <m:r>
              <m:t>z</m:t>
            </m:r>
          </m:sub>
        </m:sSub>
        <m:sSub>
          <m:e>
            <m:r>
              <m:t>u</m:t>
            </m:r>
          </m:e>
          <m:sub>
            <m:r>
              <m:t>ζ</m:t>
            </m:r>
          </m:sub>
        </m:sSub>
      </m:oMath>
    </w:p>
    <w:p>
      <w:pPr>
        <w:spacing w:line="360" w:lineRule="auto" w:after="0"/>
        <w:ind w:firstLine="420"/>
      </w:pPr>
      <w:r>
        <w:rPr>
          <w:rFonts w:ascii="Times New Roman" w:hAnsi="Times New Roman" w:eastAsia="宋体"/>
          <w:sz w:val="24"/>
        </w:rPr>
        <w:t>由此可见，结构化网格有限差分并非仅对数组值作差分，还需要完成参数空间导数到物理空间导数的恢复。点数据和单元数据均可借助有限差分思想处理，但二者采样位置不同：点数据以网格节点为采样对象，单元数据以单元中心或单元关联位置为采样对象。</w:t>
      </w:r>
    </w:p>
    <w:p>
      <w:pPr>
        <w:spacing w:line="360" w:lineRule="auto" w:after="0"/>
        <w:ind w:firstLine="420"/>
      </w:pPr>
      <w:r>
        <w:rPr>
          <w:rFonts w:ascii="Times New Roman" w:hAnsi="Times New Roman" w:eastAsia="宋体"/>
          <w:sz w:val="24"/>
        </w:rPr>
        <w:t xml:space="preserve">对于多分量向量场，梯度可理解为每个分量分别对空间方向求导。设向量场为 </w:t>
      </w:r>
      <m:oMath>
        <m:r>
          <m:t>u</m:t>
        </m:r>
        <m:r>
          <m:t>=</m:t>
        </m:r>
        <m:r>
          <m:t>(</m:t>
        </m:r>
        <m:sSub>
          <m:e>
            <m:r>
              <m:t>u</m:t>
            </m:r>
          </m:e>
          <m:sub>
            <m:r>
              <m:t>1</m:t>
            </m:r>
          </m:sub>
        </m:sSub>
        <m:r>
          <m:t>,</m:t>
        </m:r>
        <m:sSub>
          <m:e>
            <m:r>
              <m:t>u</m:t>
            </m:r>
          </m:e>
          <m:sub>
            <m:r>
              <m:t>2</m:t>
            </m:r>
          </m:sub>
        </m:sSub>
        <m:r>
          <m:t>,</m:t>
        </m:r>
        <m:r>
          <m:t>.</m:t>
        </m:r>
        <m:r>
          <m:t>.</m:t>
        </m:r>
        <m:r>
          <m:t>.</m:t>
        </m:r>
        <m:r>
          <m:t>,</m:t>
        </m:r>
        <m:sSub>
          <m:e>
            <m:r>
              <m:t>u</m:t>
            </m:r>
          </m:e>
          <m:sub>
            <m:r>
              <m:t>m</m:t>
            </m:r>
          </m:sub>
        </m:sSub>
        <m:r>
          <m:t>)</m:t>
        </m:r>
      </m:oMath>
      <w:r>
        <w:rPr>
          <w:rFonts w:ascii="Times New Roman" w:hAnsi="Times New Roman" w:eastAsia="宋体"/>
          <w:sz w:val="24"/>
        </w:rPr>
        <w:t>，则其梯度可写为</w:t>
      </w:r>
    </w:p>
    <w:p>
      <w:pPr>
        <w:spacing w:line="240" w:lineRule="auto" w:before="80" w:after="80"/>
        <w:ind w:firstLine="0"/>
        <w:jc w:val="center"/>
      </w:pPr>
      <m:oMath>
        <m:r>
          <m:t>∇</m:t>
        </m:r>
        <m:r>
          <m:t>u</m:t>
        </m:r>
        <m:r>
          <m:t>=</m:t>
        </m:r>
        <m:r>
          <m:t>(</m:t>
        </m:r>
        <m:r>
          <m:t>∇</m:t>
        </m:r>
        <m:sSub>
          <m:e>
            <m:r>
              <m:t>u</m:t>
            </m:r>
          </m:e>
          <m:sub>
            <m:r>
              <m:t>1</m:t>
            </m:r>
          </m:sub>
        </m:sSub>
        <m:r>
          <m:t>,</m:t>
        </m:r>
        <m:r>
          <m:t>∇</m:t>
        </m:r>
        <m:sSub>
          <m:e>
            <m:r>
              <m:t>u</m:t>
            </m:r>
          </m:e>
          <m:sub>
            <m:r>
              <m:t>2</m:t>
            </m:r>
          </m:sub>
        </m:sSub>
        <m:r>
          <m:t>,</m:t>
        </m:r>
        <m:r>
          <m:t>.</m:t>
        </m:r>
        <m:r>
          <m:t>.</m:t>
        </m:r>
        <m:r>
          <m:t>.</m:t>
        </m:r>
        <m:r>
          <m:t>,</m:t>
        </m:r>
        <m:r>
          <m:t>∇</m:t>
        </m:r>
        <m:sSub>
          <m:e>
            <m:r>
              <m:t>u</m:t>
            </m:r>
          </m:e>
          <m:sub>
            <m:r>
              <m:t>m</m:t>
            </m:r>
          </m:sub>
        </m:sSub>
        <m:r>
          <m:t>)</m:t>
        </m:r>
      </m:oMath>
    </w:p>
    <w:p>
      <w:pPr>
        <w:spacing w:line="360" w:lineRule="auto" w:after="0"/>
        <w:ind w:firstLine="420"/>
      </w:pPr>
      <w:r>
        <w:rPr>
          <w:rFonts w:ascii="Times New Roman" w:hAnsi="Times New Roman" w:eastAsia="宋体"/>
          <w:sz w:val="24"/>
        </w:rPr>
        <w:t xml:space="preserve">因此，若输入字段有 </w:t>
      </w:r>
      <m:oMath>
        <m:r>
          <m:t>m</m:t>
        </m:r>
      </m:oMath>
      <w:r>
        <w:rPr>
          <w:rFonts w:ascii="Times New Roman" w:hAnsi="Times New Roman" w:eastAsia="宋体"/>
          <w:sz w:val="24"/>
        </w:rPr>
        <w:t xml:space="preserve"> 个分量，梯度结果通常包含 </w:t>
      </w:r>
      <m:oMath>
        <m:r>
          <m:t>3</m:t>
        </m:r>
        <m:r>
          <m:t>m</m:t>
        </m:r>
      </m:oMath>
      <w:r>
        <w:rPr>
          <w:rFonts w:ascii="Times New Roman" w:hAnsi="Times New Roman" w:eastAsia="宋体"/>
          <w:sz w:val="24"/>
        </w:rPr>
        <w:t xml:space="preserve"> 个分量。</w:t>
      </w:r>
    </w:p>
    <w:p>
      <w:pPr>
        <w:pStyle w:val="2"/>
        <w:spacing w:line="360" w:lineRule="auto" w:before="120" w:after="120"/>
        <w:jc w:val="left"/>
      </w:pPr>
      <w:r>
        <w:rPr>
          <w:rFonts w:ascii="Times New Roman" w:hAnsi="Times New Roman" w:eastAsia="黑体"/>
          <w:b/>
          <w:sz w:val="28"/>
        </w:rPr>
        <w:t>2.5 非结构化网格梯度计算理论</w:t>
      </w:r>
    </w:p>
    <w:p>
      <w:pPr>
        <w:spacing w:line="360" w:lineRule="auto" w:after="0"/>
        <w:ind w:firstLine="420"/>
      </w:pPr>
      <w:r>
        <w:rPr>
          <w:rFonts w:ascii="Times New Roman" w:hAnsi="Times New Roman" w:eastAsia="宋体"/>
          <w:sz w:val="24"/>
        </w:rPr>
        <w:t xml:space="preserve">非结构化网格缺少规则逻辑索引，梯度计算不能直接依赖固定差分模板。有限元理论中，单元内部字段通常由节点值和形函数插值表示[12]。设第 </w:t>
      </w:r>
      <m:oMath>
        <m:r>
          <m:t>e</m:t>
        </m:r>
      </m:oMath>
      <w:r>
        <w:rPr>
          <w:rFonts w:ascii="Times New Roman" w:hAnsi="Times New Roman" w:eastAsia="宋体"/>
          <w:sz w:val="24"/>
        </w:rPr>
        <w:t xml:space="preserve"> 个单元的局部坐标为 </w:t>
      </w:r>
      <m:oMath>
        <m:r>
          <m:t>ξ</m:t>
        </m:r>
      </m:oMath>
      <w:r>
        <w:rPr>
          <w:rFonts w:ascii="Times New Roman" w:hAnsi="Times New Roman" w:eastAsia="宋体"/>
          <w:sz w:val="24"/>
        </w:rPr>
        <w:t xml:space="preserve">，节点数为 </w:t>
      </w:r>
      <m:oMath>
        <m:sSub>
          <m:e>
            <m:r>
              <m:t>n</m:t>
            </m:r>
          </m:e>
          <m:sub>
            <m:r>
              <m:t>e</m:t>
            </m:r>
          </m:sub>
        </m:sSub>
      </m:oMath>
      <w:r>
        <w:rPr>
          <w:rFonts w:ascii="Times New Roman" w:hAnsi="Times New Roman" w:eastAsia="宋体"/>
          <w:sz w:val="24"/>
        </w:rPr>
        <w:t xml:space="preserve">，节点字段值为 </w:t>
      </w:r>
      <m:oMath>
        <m:sSub>
          <m:e>
            <m:r>
              <m:t>u</m:t>
            </m:r>
          </m:e>
          <m:sub>
            <m:r>
              <m:t>a</m:t>
            </m:r>
          </m:sub>
        </m:sSub>
      </m:oMath>
      <w:r>
        <w:rPr>
          <w:rFonts w:ascii="Times New Roman" w:hAnsi="Times New Roman" w:eastAsia="宋体"/>
          <w:sz w:val="24"/>
        </w:rPr>
        <w:t xml:space="preserve">，形函数为 </w:t>
      </w:r>
      <m:oMath>
        <m:sSub>
          <m:e>
            <m:r>
              <m:t>N</m:t>
            </m:r>
          </m:e>
          <m:sub>
            <m:r>
              <m:t>a</m:t>
            </m:r>
          </m:sub>
        </m:sSub>
        <m:r>
          <m:t>(</m:t>
        </m:r>
        <m:r>
          <m:t>ξ</m:t>
        </m:r>
        <m:r>
          <m:t>)</m:t>
        </m:r>
      </m:oMath>
      <w:r>
        <w:rPr>
          <w:rFonts w:ascii="Times New Roman" w:hAnsi="Times New Roman" w:eastAsia="宋体"/>
          <w:sz w:val="24"/>
        </w:rPr>
        <w:t>，则单元内部字段可写为</w:t>
      </w:r>
    </w:p>
    <w:p>
      <w:pPr>
        <w:spacing w:line="240" w:lineRule="auto" w:before="80" w:after="80"/>
        <w:ind w:firstLine="0"/>
        <w:jc w:val="center"/>
      </w:pPr>
      <m:oMath>
        <m:sSup>
          <m:e>
            <m:r>
              <m:t>u</m:t>
            </m:r>
          </m:e>
          <m:sup>
            <m:r>
              <m:t>e</m:t>
            </m:r>
          </m:sup>
        </m:sSup>
        <m:r>
          <m:t>(</m:t>
        </m:r>
        <m:r>
          <m:t>ξ</m:t>
        </m:r>
        <m:r>
          <m:t>)</m:t>
        </m:r>
        <m:r>
          <m:t>=</m:t>
        </m:r>
        <m:sSubSup>
          <m:e>
            <m:r>
              <m:t>∑</m:t>
            </m:r>
          </m:e>
          <m:sub>
            <m:r>
              <m:t>a</m:t>
            </m:r>
            <m:r>
              <m:t>=</m:t>
            </m:r>
            <m:r>
              <m:t>1</m:t>
            </m:r>
          </m:sub>
          <m:sup>
            <m:sSub>
              <m:e>
                <m:r>
                  <m:t>n</m:t>
                </m:r>
              </m:e>
              <m:sub>
                <m:r>
                  <m:t>e</m:t>
                </m:r>
              </m:sub>
            </m:sSub>
          </m:sup>
        </m:sSubSup>
        <m:sSub>
          <m:e>
            <m:r>
              <m:t>N</m:t>
            </m:r>
          </m:e>
          <m:sub>
            <m:r>
              <m:t>a</m:t>
            </m:r>
          </m:sub>
        </m:sSub>
        <m:r>
          <m:t>(</m:t>
        </m:r>
        <m:r>
          <m:t>ξ</m:t>
        </m:r>
        <m:r>
          <m:t>)</m:t>
        </m:r>
        <m:sSub>
          <m:e>
            <m:r>
              <m:t>u</m:t>
            </m:r>
          </m:e>
          <m:sub>
            <m:r>
              <m:t>a</m:t>
            </m:r>
          </m:sub>
        </m:sSub>
      </m:oMath>
    </w:p>
    <w:p>
      <w:pPr>
        <w:spacing w:line="360" w:lineRule="auto" w:after="0"/>
        <w:ind w:firstLine="420"/>
      </w:pPr>
      <w:r>
        <w:rPr>
          <w:rFonts w:ascii="Times New Roman" w:hAnsi="Times New Roman" w:eastAsia="宋体"/>
          <w:sz w:val="24"/>
        </w:rPr>
        <w:t>物理坐标同样由节点坐标插值得到：</w:t>
      </w:r>
    </w:p>
    <w:p>
      <w:pPr>
        <w:spacing w:line="240" w:lineRule="auto" w:before="80" w:after="80"/>
        <w:ind w:firstLine="0"/>
        <w:jc w:val="center"/>
      </w:pPr>
      <m:oMath>
        <m:sSup>
          <m:e>
            <m:r>
              <m:t>x</m:t>
            </m:r>
          </m:e>
          <m:sup>
            <m:r>
              <m:t>e</m:t>
            </m:r>
          </m:sup>
        </m:sSup>
        <m:r>
          <m:t>(</m:t>
        </m:r>
        <m:r>
          <m:t>ξ</m:t>
        </m:r>
        <m:r>
          <m:t>)</m:t>
        </m:r>
        <m:r>
          <m:t>=</m:t>
        </m:r>
        <m:sSubSup>
          <m:e>
            <m:r>
              <m:t>∑</m:t>
            </m:r>
          </m:e>
          <m:sub>
            <m:r>
              <m:t>a</m:t>
            </m:r>
            <m:r>
              <m:t>=</m:t>
            </m:r>
            <m:r>
              <m:t>1</m:t>
            </m:r>
          </m:sub>
          <m:sup>
            <m:sSub>
              <m:e>
                <m:r>
                  <m:t>n</m:t>
                </m:r>
              </m:e>
              <m:sub>
                <m:r>
                  <m:t>e</m:t>
                </m:r>
              </m:sub>
            </m:sSub>
          </m:sup>
        </m:sSubSup>
        <m:sSub>
          <m:e>
            <m:r>
              <m:t>N</m:t>
            </m:r>
          </m:e>
          <m:sub>
            <m:r>
              <m:t>a</m:t>
            </m:r>
          </m:sub>
        </m:sSub>
        <m:r>
          <m:t>(</m:t>
        </m:r>
        <m:r>
          <m:t>ξ</m:t>
        </m:r>
        <m:r>
          <m:t>)</m:t>
        </m:r>
        <m:sSub>
          <m:e>
            <m:r>
              <m:t>x</m:t>
            </m:r>
          </m:e>
          <m:sub>
            <m:r>
              <m:t>a</m:t>
            </m:r>
          </m:sub>
        </m:sSub>
      </m:oMath>
    </w:p>
    <w:p>
      <w:pPr>
        <w:spacing w:line="360" w:lineRule="auto" w:after="0"/>
        <w:ind w:firstLine="420"/>
      </w:pPr>
      <w:r>
        <w:rPr>
          <w:rFonts w:ascii="Times New Roman" w:hAnsi="Times New Roman" w:eastAsia="宋体"/>
          <w:sz w:val="24"/>
        </w:rPr>
        <w:t>对应的 Jacobian 为</w:t>
      </w:r>
    </w:p>
    <w:p>
      <w:pPr>
        <w:spacing w:line="240" w:lineRule="auto" w:before="80" w:after="80"/>
        <w:ind w:firstLine="0"/>
        <w:jc w:val="center"/>
      </w:pPr>
      <m:oMath>
        <m:r>
          <m:t>J</m:t>
        </m:r>
        <m:r>
          <m:t>=</m:t>
        </m:r>
        <m:f>
          <m:num>
            <m:r>
              <m:t>∂</m:t>
            </m:r>
            <m:sSup>
              <m:e>
                <m:r>
                  <m:t>x</m:t>
                </m:r>
              </m:e>
              <m:sup>
                <m:r>
                  <m:t>e</m:t>
                </m:r>
              </m:sup>
            </m:sSup>
          </m:num>
          <m:den>
            <m:r>
              <m:t>∂</m:t>
            </m:r>
            <m:r>
              <m:t>ξ</m:t>
            </m:r>
          </m:den>
        </m:f>
      </m:oMath>
    </w:p>
    <w:p>
      <w:pPr>
        <w:spacing w:line="360" w:lineRule="auto" w:after="0"/>
        <w:ind w:firstLine="420"/>
      </w:pPr>
      <w:r>
        <w:rPr>
          <w:rFonts w:ascii="Times New Roman" w:hAnsi="Times New Roman" w:eastAsia="宋体"/>
          <w:sz w:val="24"/>
        </w:rPr>
        <w:t>形函数物理空间导数由链式法则得到：</w:t>
      </w:r>
    </w:p>
    <w:p>
      <w:pPr>
        <w:spacing w:line="240" w:lineRule="auto" w:before="80" w:after="80"/>
        <w:ind w:firstLine="0"/>
        <w:jc w:val="center"/>
      </w:pPr>
      <m:oMath>
        <m:sSub>
          <m:e>
            <m:r>
              <m:t>∇</m:t>
            </m:r>
          </m:e>
          <m:sub>
            <m:r>
              <m:t>x</m:t>
            </m:r>
          </m:sub>
        </m:sSub>
        <m:sSub>
          <m:e>
            <m:r>
              <m:t>N</m:t>
            </m:r>
          </m:e>
          <m:sub>
            <m:r>
              <m:t>a</m:t>
            </m:r>
          </m:sub>
        </m:sSub>
        <m:r>
          <m:t>=</m:t>
        </m:r>
        <m:sSup>
          <m:e>
            <m:r>
              <m:t>J</m:t>
            </m:r>
          </m:e>
          <m:sup>
            <m:r>
              <m:t>−</m:t>
            </m:r>
            <m:r>
              <m:t>T</m:t>
            </m:r>
          </m:sup>
        </m:sSup>
        <m:sSub>
          <m:e>
            <m:r>
              <m:t>∇</m:t>
            </m:r>
          </m:e>
          <m:sub>
            <m:r>
              <m:t>ξ</m:t>
            </m:r>
          </m:sub>
        </m:sSub>
        <m:sSub>
          <m:e>
            <m:r>
              <m:t>N</m:t>
            </m:r>
          </m:e>
          <m:sub>
            <m:r>
              <m:t>a</m:t>
            </m:r>
          </m:sub>
        </m:sSub>
      </m:oMath>
    </w:p>
    <w:p>
      <w:pPr>
        <w:spacing w:line="360" w:lineRule="auto" w:after="0"/>
        <w:ind w:firstLine="420"/>
      </w:pPr>
      <w:r>
        <w:rPr>
          <w:rFonts w:ascii="Times New Roman" w:hAnsi="Times New Roman" w:eastAsia="宋体"/>
          <w:sz w:val="24"/>
        </w:rPr>
        <w:t>因此单元内字段梯度为</w:t>
      </w:r>
    </w:p>
    <w:p>
      <w:pPr>
        <w:spacing w:line="240" w:lineRule="auto" w:before="80" w:after="80"/>
        <w:ind w:firstLine="0"/>
        <w:jc w:val="center"/>
      </w:pPr>
      <m:oMath>
        <m:sSub>
          <m:e>
            <m:r>
              <m:t>∇</m:t>
            </m:r>
          </m:e>
          <m:sub>
            <m:r>
              <m:t>x</m:t>
            </m:r>
          </m:sub>
        </m:sSub>
        <m:sSup>
          <m:e>
            <m:r>
              <m:t>u</m:t>
            </m:r>
          </m:e>
          <m:sup>
            <m:r>
              <m:t>e</m:t>
            </m:r>
          </m:sup>
        </m:sSup>
        <m:r>
          <m:t>=</m:t>
        </m:r>
        <m:sSubSup>
          <m:e>
            <m:r>
              <m:t>∑</m:t>
            </m:r>
          </m:e>
          <m:sub>
            <m:r>
              <m:t>a</m:t>
            </m:r>
            <m:r>
              <m:t>=</m:t>
            </m:r>
            <m:r>
              <m:t>1</m:t>
            </m:r>
          </m:sub>
          <m:sup>
            <m:sSub>
              <m:e>
                <m:r>
                  <m:t>n</m:t>
                </m:r>
              </m:e>
              <m:sub>
                <m:r>
                  <m:t>e</m:t>
                </m:r>
              </m:sub>
            </m:sSub>
          </m:sup>
        </m:sSubSup>
        <m:sSub>
          <m:e>
            <m:r>
              <m:t>u</m:t>
            </m:r>
          </m:e>
          <m:sub>
            <m:r>
              <m:t>a</m:t>
            </m:r>
          </m:sub>
        </m:sSub>
        <m:sSub>
          <m:e>
            <m:r>
              <m:t>∇</m:t>
            </m:r>
          </m:e>
          <m:sub>
            <m:r>
              <m:t>x</m:t>
            </m:r>
          </m:sub>
        </m:sSub>
        <m:sSub>
          <m:e>
            <m:r>
              <m:t>N</m:t>
            </m:r>
          </m:e>
          <m:sub>
            <m:r>
              <m:t>a</m:t>
            </m:r>
          </m:sub>
        </m:sSub>
      </m:oMath>
    </w:p>
    <w:p>
      <w:pPr>
        <w:spacing w:line="360" w:lineRule="auto" w:after="0"/>
        <w:ind w:firstLine="420"/>
      </w:pPr>
      <w:r>
        <w:rPr>
          <w:rFonts w:ascii="Times New Roman" w:hAnsi="Times New Roman" w:eastAsia="宋体"/>
          <w:sz w:val="24"/>
        </w:rPr>
        <w:t>上述公式构成了非结构化网格梯度恢复的理论基础。与结构化网格相比，非结构化网格更依赖单元类型、节点连接顺序和局部几何映射。不同单元的形函数不同，Jacobian 的构造方式也不同，但基本过程均为先在参考单元中描述形函数导数，再通过几何映射恢复物理空间导数。</w:t>
      </w:r>
    </w:p>
    <w:p>
      <w:pPr>
        <w:spacing w:line="360" w:lineRule="auto" w:after="0"/>
        <w:ind w:firstLine="420"/>
      </w:pPr>
      <w:r>
        <w:rPr>
          <w:rFonts w:ascii="Times New Roman" w:hAnsi="Times New Roman" w:eastAsia="宋体"/>
          <w:sz w:val="24"/>
        </w:rPr>
        <w:t>点数据和单元数据在非结构化网格中的处理含义不同。点数据已有节点值，可直接进入形函数插值框架；单元数据定义在单元上，不能直接等同于节点值。若对单元数据使用形函数导数公式，需要先明确场量恢复或重构方式。因此，非结构化网格梯度计算不仅取决于单元形函数，也取决于字段关联方式和场量重构策略。</w:t>
      </w:r>
    </w:p>
    <w:p>
      <w:pPr>
        <w:pStyle w:val="2"/>
        <w:spacing w:line="360" w:lineRule="auto" w:before="120" w:after="120"/>
        <w:jc w:val="left"/>
      </w:pPr>
      <w:r>
        <w:rPr>
          <w:rFonts w:ascii="Times New Roman" w:hAnsi="Times New Roman" w:eastAsia="黑体"/>
          <w:b/>
          <w:sz w:val="28"/>
        </w:rPr>
        <w:t>2.6 数据优化相关理论</w:t>
      </w:r>
    </w:p>
    <w:p>
      <w:pPr>
        <w:spacing w:line="360" w:lineRule="auto" w:after="0"/>
        <w:ind w:firstLine="420"/>
      </w:pPr>
      <w:r>
        <w:rPr>
          <w:rFonts w:ascii="Times New Roman" w:hAnsi="Times New Roman" w:eastAsia="宋体"/>
          <w:sz w:val="24"/>
        </w:rPr>
        <w:t>本文的数据优化问题面向后处理结果中的局部随机高频波动。该问题可借鉴保边平滑思想：在降低局部扰动的同时，降低主要边缘和真实物理变化被过度平滑的风险。双边滤波是典型的保边平滑方法，其基本思想是同时考虑空间距离和值域差异，使相邻且数值相近的样本获得较大权重，而空间较远或数值差异较大的样本获得较小权重[14]。</w:t>
      </w:r>
    </w:p>
    <w:p>
      <w:pPr>
        <w:spacing w:line="360" w:lineRule="auto" w:after="0"/>
        <w:ind w:firstLine="420"/>
      </w:pPr>
      <w:r>
        <w:rPr>
          <w:rFonts w:ascii="Times New Roman" w:hAnsi="Times New Roman" w:eastAsia="宋体"/>
          <w:sz w:val="24"/>
        </w:rPr>
        <w:t xml:space="preserve">设第 </w:t>
      </w:r>
      <m:oMath>
        <m:r>
          <m:t>i</m:t>
        </m:r>
      </m:oMath>
      <w:r>
        <w:rPr>
          <w:rFonts w:ascii="Times New Roman" w:hAnsi="Times New Roman" w:eastAsia="宋体"/>
          <w:sz w:val="24"/>
        </w:rPr>
        <w:t xml:space="preserve"> 个采样对象坐标为 </w:t>
      </w:r>
      <m:oMath>
        <m:sSub>
          <m:e>
            <m:r>
              <m:t>x</m:t>
            </m:r>
          </m:e>
          <m:sub>
            <m:r>
              <m:t>i</m:t>
            </m:r>
          </m:sub>
        </m:sSub>
      </m:oMath>
      <w:r>
        <w:rPr>
          <w:rFonts w:ascii="Times New Roman" w:hAnsi="Times New Roman" w:eastAsia="宋体"/>
          <w:sz w:val="24"/>
        </w:rPr>
        <w:t xml:space="preserve">，字段值为 </w:t>
      </w:r>
      <m:oMath>
        <m:sSub>
          <m:e>
            <m:r>
              <m:t>u</m:t>
            </m:r>
          </m:e>
          <m:sub>
            <m:r>
              <m:t>i</m:t>
            </m:r>
          </m:sub>
        </m:sSub>
      </m:oMath>
      <w:r>
        <w:rPr>
          <w:rFonts w:ascii="Times New Roman" w:hAnsi="Times New Roman" w:eastAsia="宋体"/>
          <w:sz w:val="24"/>
        </w:rPr>
        <w:t xml:space="preserve">，邻域为 </w:t>
      </w:r>
      <m:oMath>
        <m:r>
          <m:t>N</m:t>
        </m:r>
        <m:r>
          <m:t>(</m:t>
        </m:r>
        <m:r>
          <m:t>i</m:t>
        </m:r>
        <m:r>
          <m:t>)</m:t>
        </m:r>
      </m:oMath>
      <w:r>
        <w:rPr>
          <w:rFonts w:ascii="Times New Roman" w:hAnsi="Times New Roman" w:eastAsia="宋体"/>
          <w:sz w:val="24"/>
        </w:rPr>
        <w:t>，则图双边滤波可写为</w:t>
      </w:r>
    </w:p>
    <w:p>
      <w:pPr>
        <w:spacing w:line="240" w:lineRule="auto" w:before="80" w:after="80"/>
        <w:ind w:firstLine="0"/>
        <w:jc w:val="center"/>
      </w:pPr>
      <m:oMath>
        <m:sSub>
          <m:e>
            <m:acc>
              <m:accPr>
                <m:chr m:val="~"/>
              </m:accPr>
              <m:e>
                <m:r>
                  <m:t>u</m:t>
                </m:r>
              </m:e>
            </m:acc>
          </m:e>
          <m:sub>
            <m:r>
              <m:t>i</m:t>
            </m:r>
          </m:sub>
        </m:sSub>
        <m:r>
          <m:t>=</m:t>
        </m:r>
        <m:f>
          <m:num>
            <m:sSub>
              <m:e>
                <m:r>
                  <m:t>∑</m:t>
                </m:r>
              </m:e>
              <m:sub>
                <m:r>
                  <m:t>j</m:t>
                </m:r>
                <m:r>
                  <m:t>∈</m:t>
                </m:r>
                <m:r>
                  <m:t>N</m:t>
                </m:r>
                <m:r>
                  <m:t>(</m:t>
                </m:r>
                <m:r>
                  <m:t>i</m:t>
                </m:r>
                <m:r>
                  <m:t>)</m:t>
                </m:r>
              </m:sub>
            </m:sSub>
            <m:sSub>
              <m:e>
                <m:r>
                  <m:t>w</m:t>
                </m:r>
              </m:e>
              <m:sub>
                <m:r>
                  <m:t>i</m:t>
                </m:r>
                <m:r>
                  <m:t>j</m:t>
                </m:r>
              </m:sub>
            </m:sSub>
            <m:sSub>
              <m:e>
                <m:r>
                  <m:t>u</m:t>
                </m:r>
              </m:e>
              <m:sub>
                <m:r>
                  <m:t>j</m:t>
                </m:r>
              </m:sub>
            </m:sSub>
          </m:num>
          <m:den>
            <m:sSub>
              <m:e>
                <m:r>
                  <m:t>∑</m:t>
                </m:r>
              </m:e>
              <m:sub>
                <m:r>
                  <m:t>j</m:t>
                </m:r>
                <m:r>
                  <m:t>∈</m:t>
                </m:r>
                <m:r>
                  <m:t>N</m:t>
                </m:r>
                <m:r>
                  <m:t>(</m:t>
                </m:r>
                <m:r>
                  <m:t>i</m:t>
                </m:r>
                <m:r>
                  <m:t>)</m:t>
                </m:r>
              </m:sub>
            </m:sSub>
            <m:sSub>
              <m:e>
                <m:r>
                  <m:t>w</m:t>
                </m:r>
              </m:e>
              <m:sub>
                <m:r>
                  <m:t>i</m:t>
                </m:r>
                <m:r>
                  <m:t>j</m:t>
                </m:r>
              </m:sub>
            </m:sSub>
          </m:den>
        </m:f>
      </m:oMath>
    </w:p>
    <w:p>
      <w:pPr>
        <w:spacing w:line="360" w:lineRule="auto" w:after="0"/>
        <w:ind w:firstLine="420"/>
      </w:pPr>
      <w:r>
        <w:rPr>
          <w:rFonts w:ascii="Times New Roman" w:hAnsi="Times New Roman" w:eastAsia="宋体"/>
          <w:sz w:val="24"/>
        </w:rPr>
        <w:t>权重由空间项和值域项相乘得到：</w:t>
      </w:r>
    </w:p>
    <w:p>
      <w:pPr>
        <w:spacing w:line="240" w:lineRule="auto" w:before="80" w:after="80"/>
        <w:ind w:firstLine="0"/>
        <w:jc w:val="center"/>
      </w:pPr>
      <m:oMath>
        <m:sSub>
          <m:e>
            <m:r>
              <m:t>w</m:t>
            </m:r>
          </m:e>
          <m:sub>
            <m:r>
              <m:t>i</m:t>
            </m:r>
            <m:r>
              <m:t>j</m:t>
            </m:r>
          </m:sub>
        </m:sSub>
        <m:r>
          <m:t>=</m:t>
        </m:r>
        <m:r>
          <m:t>exp</m:t>
        </m:r>
        <m:r>
          <m:t>(</m:t>
        </m:r>
        <m:r>
          <m:t>−</m:t>
        </m:r>
        <m:f>
          <m:num>
            <m:r>
              <m:t>|</m:t>
            </m:r>
            <m:r>
              <m:t>|</m:t>
            </m:r>
            <m:sSub>
              <m:e>
                <m:r>
                  <m:t>x</m:t>
                </m:r>
              </m:e>
              <m:sub>
                <m:r>
                  <m:t>i</m:t>
                </m:r>
              </m:sub>
            </m:sSub>
            <m:r>
              <m:t>−</m:t>
            </m:r>
            <m:sSub>
              <m:e>
                <m:r>
                  <m:t>x</m:t>
                </m:r>
              </m:e>
              <m:sub>
                <m:r>
                  <m:t>j</m:t>
                </m:r>
              </m:sub>
            </m:sSub>
            <m:r>
              <m:t>|</m:t>
            </m:r>
            <m:sSup>
              <m:e>
                <m:r>
                  <m:t>|</m:t>
                </m:r>
              </m:e>
              <m:sup>
                <m:r>
                  <m:t>2</m:t>
                </m:r>
              </m:sup>
            </m:sSup>
          </m:num>
          <m:den>
            <m:r>
              <m:t>2</m:t>
            </m:r>
            <m:sSubSup>
              <m:e>
                <m:r>
                  <m:t>σ</m:t>
                </m:r>
              </m:e>
              <m:sub>
                <m:r>
                  <m:t>s</m:t>
                </m:r>
              </m:sub>
              <m:sup>
                <m:r>
                  <m:t>2</m:t>
                </m:r>
              </m:sup>
            </m:sSubSup>
          </m:den>
        </m:f>
        <m:r>
          <m:t>)</m:t>
        </m:r>
        <m:r>
          <m:t>exp</m:t>
        </m:r>
        <m:r>
          <m:t>(</m:t>
        </m:r>
        <m:r>
          <m:t>−</m:t>
        </m:r>
        <m:f>
          <m:num>
            <m:r>
              <m:t>(</m:t>
            </m:r>
            <m:sSub>
              <m:e>
                <m:r>
                  <m:t>u</m:t>
                </m:r>
              </m:e>
              <m:sub>
                <m:r>
                  <m:t>i</m:t>
                </m:r>
              </m:sub>
            </m:sSub>
            <m:r>
              <m:t>−</m:t>
            </m:r>
            <m:sSub>
              <m:e>
                <m:r>
                  <m:t>u</m:t>
                </m:r>
              </m:e>
              <m:sub>
                <m:r>
                  <m:t>j</m:t>
                </m:r>
              </m:sub>
            </m:sSub>
            <m:sSup>
              <m:e>
                <m:r>
                  <m:t>)</m:t>
                </m:r>
              </m:e>
              <m:sup>
                <m:r>
                  <m:t>2</m:t>
                </m:r>
              </m:sup>
            </m:sSup>
          </m:num>
          <m:den>
            <m:r>
              <m:t>2</m:t>
            </m:r>
            <m:sSubSup>
              <m:e>
                <m:r>
                  <m:t>σ</m:t>
                </m:r>
              </m:e>
              <m:sub>
                <m:r>
                  <m:t>r</m:t>
                </m:r>
              </m:sub>
              <m:sup>
                <m:r>
                  <m:t>2</m:t>
                </m:r>
              </m:sup>
            </m:sSubSup>
          </m:den>
        </m:f>
        <m:r>
          <m:t>)</m:t>
        </m:r>
      </m:oMath>
    </w:p>
    <w:p>
      <w:pPr>
        <w:spacing w:line="360" w:lineRule="auto" w:after="0"/>
        <w:ind w:firstLine="420"/>
      </w:pPr>
      <w:r>
        <w:rPr>
          <w:rFonts w:ascii="Times New Roman" w:hAnsi="Times New Roman" w:eastAsia="宋体"/>
          <w:sz w:val="24"/>
        </w:rPr>
        <w:t>其中，</w:t>
      </w:r>
      <m:oMath>
        <m:sSub>
          <m:e>
            <m:r>
              <m:t>σ</m:t>
            </m:r>
          </m:e>
          <m:sub>
            <m:r>
              <m:t>s</m:t>
            </m:r>
          </m:sub>
        </m:sSub>
      </m:oMath>
      <w:r>
        <w:rPr>
          <w:rFonts w:ascii="Times New Roman" w:hAnsi="Times New Roman" w:eastAsia="宋体"/>
          <w:sz w:val="24"/>
        </w:rPr>
        <w:t xml:space="preserve"> 控制空间邻域影响范围，</w:t>
      </w:r>
      <m:oMath>
        <m:sSub>
          <m:e>
            <m:r>
              <m:t>σ</m:t>
            </m:r>
          </m:e>
          <m:sub>
            <m:r>
              <m:t>r</m:t>
            </m:r>
          </m:sub>
        </m:sSub>
      </m:oMath>
      <w:r>
        <w:rPr>
          <w:rFonts w:ascii="Times New Roman" w:hAnsi="Times New Roman" w:eastAsia="宋体"/>
          <w:sz w:val="24"/>
        </w:rPr>
        <w:t xml:space="preserve"> 控制字段值差异的抑制强度。若字段在某处存在明显边缘，边缘两侧样本的值域差异较大，权重会相应减小，从而减少跨边缘平滑。Fleishman 等将类似思想用于网格去噪，表明局部邻域滤波可以扩展到离散网格数据处理[15]。国内关于点云双边滤波和点云去噪的研究，也从应用角度体现了基于局部邻域和数值相似性的数据处理方法在离散几何数据中的可行性[16][17][18]。</w:t>
      </w:r>
    </w:p>
    <w:p>
      <w:pPr>
        <w:spacing w:line="360" w:lineRule="auto" w:after="0"/>
        <w:ind w:firstLine="420"/>
      </w:pPr>
      <w:r>
        <w:rPr>
          <w:rFonts w:ascii="Times New Roman" w:hAnsi="Times New Roman" w:eastAsia="宋体"/>
          <w:sz w:val="24"/>
        </w:rPr>
        <w:t xml:space="preserve">为了进一步区分低频趋势和高频细节，可采用多尺度分解与融合思想。Laplacian Pyramid 是经典的多尺度分解方法，可将信号分解为不同尺度的近似层和细节层[21]；保边多尺度分解研究也表明，在细节调节过程中保持边缘结构具有重要意义[22]。借鉴这一思路，令 </w:t>
      </w:r>
      <m:oMath>
        <m:sSub>
          <m:e>
            <m:r>
              <m:t>B</m:t>
            </m:r>
          </m:e>
          <m:sub>
            <m:r>
              <m:t>l</m:t>
            </m:r>
          </m:sub>
        </m:sSub>
      </m:oMath>
      <w:r>
        <w:rPr>
          <w:rFonts w:ascii="Times New Roman" w:hAnsi="Times New Roman" w:eastAsia="宋体"/>
          <w:sz w:val="24"/>
        </w:rPr>
        <w:t xml:space="preserve"> 表示第 </w:t>
      </w:r>
      <m:oMath>
        <m:r>
          <m:t>l</m:t>
        </m:r>
      </m:oMath>
      <w:r>
        <w:rPr>
          <w:rFonts w:ascii="Times New Roman" w:hAnsi="Times New Roman" w:eastAsia="宋体"/>
          <w:sz w:val="24"/>
        </w:rPr>
        <w:t xml:space="preserve"> 层双边平滑操作，初始场为 </w:t>
      </w:r>
      <m:oMath>
        <m:sSup>
          <m:e>
            <m:r>
              <m:t>u</m:t>
            </m:r>
          </m:e>
          <m:sup>
            <m:r>
              <m:t>0</m:t>
            </m:r>
          </m:sup>
        </m:sSup>
        <m:r>
          <m:t>=</m:t>
        </m:r>
        <m:r>
          <m:t>u</m:t>
        </m:r>
      </m:oMath>
      <w:r>
        <w:rPr>
          <w:rFonts w:ascii="Times New Roman" w:hAnsi="Times New Roman" w:eastAsia="宋体"/>
          <w:sz w:val="24"/>
        </w:rPr>
        <w:t>，多尺度平滑序列可写为</w:t>
      </w:r>
    </w:p>
    <w:p>
      <w:pPr>
        <w:spacing w:line="240" w:lineRule="auto" w:before="80" w:after="80"/>
        <w:ind w:firstLine="0"/>
        <w:jc w:val="center"/>
      </w:pPr>
      <m:oMath>
        <m:sSup>
          <m:e>
            <m:r>
              <m:t>u</m:t>
            </m:r>
          </m:e>
          <m:sup>
            <m:r>
              <m:t>l</m:t>
            </m:r>
            <m:r>
              <m:t>+</m:t>
            </m:r>
            <m:r>
              <m:t>1</m:t>
            </m:r>
          </m:sup>
        </m:sSup>
        <m:r>
          <m:t>=</m:t>
        </m:r>
        <m:sSub>
          <m:e>
            <m:r>
              <m:t>B</m:t>
            </m:r>
          </m:e>
          <m:sub>
            <m:r>
              <m:t>l</m:t>
            </m:r>
          </m:sub>
        </m:sSub>
        <m:r>
          <m:t>(</m:t>
        </m:r>
        <m:sSup>
          <m:e>
            <m:r>
              <m:t>u</m:t>
            </m:r>
          </m:e>
          <m:sup>
            <m:r>
              <m:t>l</m:t>
            </m:r>
          </m:sup>
        </m:sSup>
        <m:r>
          <m:t>)</m:t>
        </m:r>
        <m:r>
          <m:t>,</m:t>
        </m:r>
        <m:r>
          <m:t xml:space="preserve"> </m:t>
        </m:r>
        <m:r>
          <m:t>l</m:t>
        </m:r>
        <m:r>
          <m:t>=</m:t>
        </m:r>
        <m:r>
          <m:t>0</m:t>
        </m:r>
        <m:r>
          <m:t>,</m:t>
        </m:r>
        <m:r>
          <m:t>1</m:t>
        </m:r>
        <m:r>
          <m:t>,</m:t>
        </m:r>
        <m:r>
          <m:t>.</m:t>
        </m:r>
        <m:r>
          <m:t>.</m:t>
        </m:r>
        <m:r>
          <m:t>.</m:t>
        </m:r>
        <m:r>
          <m:t>,</m:t>
        </m:r>
        <m:r>
          <m:t>L</m:t>
        </m:r>
        <m:r>
          <m:t>−</m:t>
        </m:r>
        <m:r>
          <m:t>1</m:t>
        </m:r>
      </m:oMath>
    </w:p>
    <w:p>
      <w:pPr>
        <w:spacing w:line="360" w:lineRule="auto" w:after="0"/>
        <w:ind w:firstLine="420"/>
      </w:pPr>
      <w:r>
        <w:rPr>
          <w:rFonts w:ascii="Times New Roman" w:hAnsi="Times New Roman" w:eastAsia="宋体"/>
          <w:sz w:val="24"/>
        </w:rPr>
        <w:t xml:space="preserve">第 </w:t>
      </w:r>
      <m:oMath>
        <m:r>
          <m:t>l</m:t>
        </m:r>
      </m:oMath>
      <w:r>
        <w:rPr>
          <w:rFonts w:ascii="Times New Roman" w:hAnsi="Times New Roman" w:eastAsia="宋体"/>
          <w:sz w:val="24"/>
        </w:rPr>
        <w:t xml:space="preserve"> 层细节为</w:t>
      </w:r>
    </w:p>
    <w:p>
      <w:pPr>
        <w:spacing w:line="240" w:lineRule="auto" w:before="80" w:after="80"/>
        <w:ind w:firstLine="0"/>
        <w:jc w:val="center"/>
      </w:pPr>
      <m:oMath>
        <m:sSup>
          <m:e>
            <m:r>
              <m:t>d</m:t>
            </m:r>
          </m:e>
          <m:sup>
            <m:r>
              <m:t>l</m:t>
            </m:r>
          </m:sup>
        </m:sSup>
        <m:r>
          <m:t>=</m:t>
        </m:r>
        <m:sSup>
          <m:e>
            <m:r>
              <m:t>u</m:t>
            </m:r>
          </m:e>
          <m:sup>
            <m:r>
              <m:t>l</m:t>
            </m:r>
          </m:sup>
        </m:sSup>
        <m:r>
          <m:t>−</m:t>
        </m:r>
        <m:sSup>
          <m:e>
            <m:r>
              <m:t>u</m:t>
            </m:r>
          </m:e>
          <m:sup>
            <m:r>
              <m:t>l</m:t>
            </m:r>
            <m:r>
              <m:t>+</m:t>
            </m:r>
            <m:r>
              <m:t>1</m:t>
            </m:r>
          </m:sup>
        </m:sSup>
      </m:oMath>
    </w:p>
    <w:p>
      <w:pPr>
        <w:spacing w:line="360" w:lineRule="auto" w:after="0"/>
        <w:ind w:firstLine="420"/>
      </w:pPr>
      <w:r>
        <w:rPr>
          <w:rFonts w:ascii="Times New Roman" w:hAnsi="Times New Roman" w:eastAsia="宋体"/>
          <w:sz w:val="24"/>
        </w:rPr>
        <w:t>最终融合结果可写为</w:t>
      </w:r>
    </w:p>
    <w:p>
      <w:pPr>
        <w:spacing w:line="240" w:lineRule="auto" w:before="80" w:after="80"/>
        <w:ind w:firstLine="0"/>
        <w:jc w:val="center"/>
      </w:pPr>
      <m:oMath>
        <m:acc>
          <m:accPr>
            <m:chr m:val="^"/>
          </m:accPr>
          <m:e>
            <m:r>
              <m:t>u</m:t>
            </m:r>
          </m:e>
        </m:acc>
        <m:r>
          <m:t>=</m:t>
        </m:r>
        <m:sSup>
          <m:e>
            <m:r>
              <m:t>u</m:t>
            </m:r>
          </m:e>
          <m:sup>
            <m:r>
              <m:t>L</m:t>
            </m:r>
          </m:sup>
        </m:sSup>
        <m:r>
          <m:t>+</m:t>
        </m:r>
        <m:sSubSup>
          <m:e>
            <m:r>
              <m:t>∑</m:t>
            </m:r>
          </m:e>
          <m:sub>
            <m:r>
              <m:t>l</m:t>
            </m:r>
            <m:r>
              <m:t>=</m:t>
            </m:r>
            <m:r>
              <m:t>0</m:t>
            </m:r>
          </m:sub>
          <m:sup>
            <m:r>
              <m:t>L</m:t>
            </m:r>
            <m:r>
              <m:t>−</m:t>
            </m:r>
            <m:r>
              <m:t>1</m:t>
            </m:r>
          </m:sup>
        </m:sSubSup>
        <m:sSub>
          <m:e>
            <m:r>
              <m:t>α</m:t>
            </m:r>
          </m:e>
          <m:sub>
            <m:r>
              <m:t>l</m:t>
            </m:r>
          </m:sub>
        </m:sSub>
        <m:sSup>
          <m:e>
            <m:r>
              <m:t>d</m:t>
            </m:r>
          </m:e>
          <m:sup>
            <m:r>
              <m:t>l</m:t>
            </m:r>
          </m:sup>
        </m:sSup>
      </m:oMath>
    </w:p>
    <w:p>
      <w:pPr>
        <w:spacing w:line="360" w:lineRule="auto" w:after="0"/>
        <w:ind w:firstLine="420"/>
      </w:pPr>
      <w:r>
        <w:rPr>
          <w:rFonts w:ascii="Times New Roman" w:hAnsi="Times New Roman" w:eastAsia="宋体"/>
          <w:sz w:val="24"/>
        </w:rPr>
        <w:t>其中，</w:t>
      </w:r>
      <m:oMath>
        <m:sSub>
          <m:e>
            <m:r>
              <m:t>α</m:t>
            </m:r>
          </m:e>
          <m:sub>
            <m:r>
              <m:t>l</m:t>
            </m:r>
          </m:sub>
        </m:sSub>
      </m:oMath>
      <w:r>
        <w:rPr>
          <w:rFonts w:ascii="Times New Roman" w:hAnsi="Times New Roman" w:eastAsia="宋体"/>
          <w:sz w:val="24"/>
        </w:rPr>
        <w:t xml:space="preserve"> 为细节层权重。通过调节不同尺度细节的保留程度，可以在抑制局部随机高频扰动和保留主要结构之间取得平衡。对于 CAE 字段数据而言，该方法强调区分主要边缘结构和随机数值波动，避免将所有局部变化统一处理为噪声。</w:t>
      </w:r>
    </w:p>
    <w:p>
      <w:pPr>
        <w:pStyle w:val="2"/>
        <w:spacing w:line="360" w:lineRule="auto" w:before="120" w:after="120"/>
        <w:jc w:val="left"/>
      </w:pPr>
      <w:r>
        <w:rPr>
          <w:rFonts w:ascii="Times New Roman" w:hAnsi="Times New Roman" w:eastAsia="黑体"/>
          <w:b/>
          <w:sz w:val="28"/>
        </w:rPr>
        <w:t>2.7 本章参考文献</w:t>
      </w:r>
    </w:p>
    <w:p>
      <w:pPr>
        <w:spacing w:line="360" w:lineRule="auto" w:after="0"/>
        <w:ind w:firstLine="420"/>
      </w:pPr>
      <w:r>
        <w:rPr>
          <w:rFonts w:ascii="Times New Roman" w:hAnsi="Times New Roman" w:eastAsia="宋体"/>
          <w:sz w:val="24"/>
        </w:rPr>
        <w:t>本章引用文献：[3]、[4]、[7]、[8]、[9]、[10]、[11]、[12]、[13]、[14]、[15]、[16]、[17]、[18]、[19]、[20]、[21]、[22]。</w:t>
      </w:r>
    </w:p>
    <w:p>
      <w:r>
        <w:br w:type="page"/>
      </w:r>
    </w:p>
    <w:p>
      <w:pPr>
        <w:pStyle w:val="1"/>
        <w:spacing w:line="360" w:lineRule="auto" w:before="240" w:after="120"/>
        <w:jc w:val="center"/>
      </w:pPr>
      <w:r>
        <w:rPr>
          <w:rFonts w:ascii="Times New Roman" w:hAnsi="Times New Roman" w:eastAsia="黑体"/>
          <w:b/>
          <w:sz w:val="32"/>
        </w:rPr>
        <w:t>第三章 需求分析与系统设计</w:t>
      </w:r>
    </w:p>
    <w:p>
      <w:pPr>
        <w:pStyle w:val="2"/>
        <w:spacing w:line="360" w:lineRule="auto" w:before="120" w:after="120"/>
        <w:jc w:val="left"/>
      </w:pPr>
      <w:r>
        <w:rPr>
          <w:rFonts w:ascii="Times New Roman" w:hAnsi="Times New Roman" w:eastAsia="黑体"/>
          <w:b/>
          <w:sz w:val="28"/>
        </w:rPr>
        <w:t>3.1 需求分析</w:t>
      </w:r>
    </w:p>
    <w:p>
      <w:pPr>
        <w:spacing w:line="360" w:lineRule="auto" w:after="0"/>
        <w:ind w:firstLine="420"/>
      </w:pPr>
      <w:r>
        <w:rPr>
          <w:rFonts w:ascii="Times New Roman" w:hAnsi="Times New Roman" w:eastAsia="宋体"/>
          <w:sz w:val="24"/>
        </w:rPr>
        <w:t>本文设计的系统面向 CAE 后处理阶段的数据预处理任务，主要完成 VTK 数据读取、统一数据组织、梯度计算、数据优化、结果写回和文件导出。系统以已有 CAE 后处理数据为输入，以带有新增字段的 VTK 数据文件为输出，导出结果可在 ParaView 等工具中继续观察和对照。</w:t>
      </w:r>
    </w:p>
    <w:p>
      <w:pPr>
        <w:spacing w:line="360" w:lineRule="auto" w:after="0"/>
        <w:ind w:firstLine="420"/>
      </w:pPr>
      <w:r>
        <w:rPr>
          <w:rFonts w:ascii="Times New Roman" w:hAnsi="Times New Roman" w:eastAsia="宋体"/>
          <w:sz w:val="24"/>
        </w:rPr>
        <w:t>从处理对象来看，系统需要同时处理结构化网格和非结构化网格，并区分点数据和单元数据。不同网格类型对应不同的邻域访问方式和梯度计算路径，不同字段关联方式则决定结果字段的写回位置。因此，系统需求不仅包括用户操作层面的功能，还包括内部数据关系保存、计算路径选择、结果输出与验证等要求。围绕这一目标，系统需求可分为功能需求和非功能需求两类。</w:t>
      </w:r>
    </w:p>
    <w:p>
      <w:pPr>
        <w:pStyle w:val="3"/>
        <w:spacing w:line="360" w:lineRule="auto" w:before="120" w:after="120"/>
        <w:jc w:val="left"/>
      </w:pPr>
      <w:r>
        <w:rPr>
          <w:rFonts w:ascii="Times New Roman" w:hAnsi="Times New Roman" w:eastAsia="黑体"/>
          <w:b/>
          <w:sz w:val="24"/>
        </w:rPr>
        <w:t>3.1.1 功能需求</w:t>
      </w:r>
    </w:p>
    <w:p>
      <w:pPr>
        <w:spacing w:line="360" w:lineRule="auto" w:after="0"/>
        <w:ind w:firstLine="420"/>
      </w:pPr>
      <w:r>
        <w:rPr>
          <w:rFonts w:ascii="Times New Roman" w:hAnsi="Times New Roman" w:eastAsia="宋体"/>
          <w:sz w:val="24"/>
        </w:rPr>
        <w:t>系统功能需求主要包括数据读取与转换、梯度计算、数据优化、GPU 计算管理和结果导出五类，如表 3-1 所示。</w:t>
      </w:r>
    </w:p>
    <w:tbl>
      <w:tblPr>
        <w:tblStyle w:val="a6"/>
        <w:tblW w:type="auto" w:w="0"/>
        <w:jc w:val="center"/>
        <w:tblLayout w:type="autofit"/>
        <w:tblLook w:firstColumn="1" w:firstRow="1" w:lastColumn="0" w:lastRow="0" w:noHBand="0" w:noVBand="1" w:val="04A0"/>
      </w:tblPr>
      <w:tblGrid>
        <w:gridCol w:w="2929"/>
        <w:gridCol w:w="2929"/>
        <w:gridCol w:w="2929"/>
      </w:tblGrid>
      <w:tr>
        <w:tc>
          <w:tcPr>
            <w:tcW w:type="dxa" w:w="2929"/>
            <w:vAlign w:val="center"/>
          </w:tcPr>
          <w:p>
            <w:pPr>
              <w:spacing w:line="240" w:lineRule="auto"/>
              <w:jc w:val="center"/>
            </w:pPr>
            <w:r>
              <w:rPr>
                <w:rFonts w:ascii="Times New Roman" w:hAnsi="Times New Roman" w:eastAsia="宋体"/>
                <w:b/>
                <w:sz w:val="21"/>
              </w:rPr>
              <w:t>功能需求</w:t>
            </w:r>
          </w:p>
        </w:tc>
        <w:tc>
          <w:tcPr>
            <w:tcW w:type="dxa" w:w="2929"/>
            <w:vAlign w:val="center"/>
          </w:tcPr>
          <w:p>
            <w:pPr>
              <w:spacing w:line="240" w:lineRule="auto"/>
              <w:jc w:val="center"/>
            </w:pPr>
            <w:r>
              <w:rPr>
                <w:rFonts w:ascii="Times New Roman" w:hAnsi="Times New Roman" w:eastAsia="宋体"/>
                <w:b/>
                <w:sz w:val="21"/>
              </w:rPr>
              <w:t>具体说明</w:t>
            </w:r>
          </w:p>
        </w:tc>
        <w:tc>
          <w:tcPr>
            <w:tcW w:type="dxa" w:w="2929"/>
            <w:vAlign w:val="center"/>
          </w:tcPr>
          <w:p>
            <w:pPr>
              <w:spacing w:line="240" w:lineRule="auto"/>
              <w:jc w:val="center"/>
            </w:pPr>
            <w:r>
              <w:rPr>
                <w:rFonts w:ascii="Times New Roman" w:hAnsi="Times New Roman" w:eastAsia="宋体"/>
                <w:b/>
                <w:sz w:val="21"/>
              </w:rPr>
              <w:t>对应模块</w:t>
            </w:r>
          </w:p>
        </w:tc>
      </w:tr>
      <w:tr>
        <w:tc>
          <w:tcPr>
            <w:tcW w:type="dxa" w:w="2929"/>
            <w:vAlign w:val="center"/>
          </w:tcPr>
          <w:p>
            <w:pPr>
              <w:spacing w:line="240" w:lineRule="auto"/>
              <w:jc w:val="center"/>
            </w:pPr>
            <w:r>
              <w:rPr>
                <w:rFonts w:ascii="Times New Roman" w:hAnsi="Times New Roman" w:eastAsia="宋体"/>
                <w:b w:val="0"/>
                <w:sz w:val="21"/>
              </w:rPr>
              <w:t>数据读取与转换</w:t>
            </w:r>
          </w:p>
        </w:tc>
        <w:tc>
          <w:tcPr>
            <w:tcW w:type="dxa" w:w="2929"/>
            <w:vAlign w:val="center"/>
          </w:tcPr>
          <w:p>
            <w:pPr>
              <w:spacing w:line="240" w:lineRule="auto"/>
              <w:jc w:val="center"/>
            </w:pPr>
            <w:r>
              <w:rPr>
                <w:rFonts w:ascii="Times New Roman" w:hAnsi="Times New Roman" w:eastAsia="宋体"/>
                <w:b w:val="0"/>
                <w:sz w:val="21"/>
              </w:rPr>
              <w:t>读取 VTK 数据文件，提取点、单元、字段和网格类型信息</w:t>
            </w:r>
          </w:p>
        </w:tc>
        <w:tc>
          <w:tcPr>
            <w:tcW w:type="dxa" w:w="2929"/>
            <w:vAlign w:val="center"/>
          </w:tcPr>
          <w:p>
            <w:pPr>
              <w:spacing w:line="240" w:lineRule="auto"/>
              <w:jc w:val="center"/>
            </w:pPr>
            <w:r>
              <w:rPr>
                <w:rFonts w:ascii="Times New Roman" w:hAnsi="Times New Roman" w:eastAsia="宋体"/>
                <w:b w:val="0"/>
                <w:sz w:val="21"/>
              </w:rPr>
              <w:t>数据准备模块</w:t>
            </w:r>
          </w:p>
        </w:tc>
      </w:tr>
      <w:tr>
        <w:tc>
          <w:tcPr>
            <w:tcW w:type="dxa" w:w="2929"/>
            <w:vAlign w:val="center"/>
          </w:tcPr>
          <w:p>
            <w:pPr>
              <w:spacing w:line="240" w:lineRule="auto"/>
              <w:jc w:val="center"/>
            </w:pPr>
            <w:r>
              <w:rPr>
                <w:rFonts w:ascii="Times New Roman" w:hAnsi="Times New Roman" w:eastAsia="宋体"/>
                <w:b w:val="0"/>
                <w:sz w:val="21"/>
              </w:rPr>
              <w:t>梯度计算</w:t>
            </w:r>
          </w:p>
        </w:tc>
        <w:tc>
          <w:tcPr>
            <w:tcW w:type="dxa" w:w="2929"/>
            <w:vAlign w:val="center"/>
          </w:tcPr>
          <w:p>
            <w:pPr>
              <w:spacing w:line="240" w:lineRule="auto"/>
              <w:jc w:val="center"/>
            </w:pPr>
            <w:r>
              <w:rPr>
                <w:rFonts w:ascii="Times New Roman" w:hAnsi="Times New Roman" w:eastAsia="宋体"/>
                <w:b w:val="0"/>
                <w:sz w:val="21"/>
              </w:rPr>
              <w:t>对结构化网格采用有限差分法，对非结构化网格采用基于形函数导数的梯度恢复方法</w:t>
            </w:r>
          </w:p>
        </w:tc>
        <w:tc>
          <w:tcPr>
            <w:tcW w:type="dxa" w:w="2929"/>
            <w:vAlign w:val="center"/>
          </w:tcPr>
          <w:p>
            <w:pPr>
              <w:spacing w:line="240" w:lineRule="auto"/>
              <w:jc w:val="center"/>
            </w:pPr>
            <w:r>
              <w:rPr>
                <w:rFonts w:ascii="Times New Roman" w:hAnsi="Times New Roman" w:eastAsia="宋体"/>
                <w:b w:val="0"/>
                <w:sz w:val="21"/>
              </w:rPr>
              <w:t>梯度计算模块</w:t>
            </w:r>
          </w:p>
        </w:tc>
      </w:tr>
      <w:tr>
        <w:tc>
          <w:tcPr>
            <w:tcW w:type="dxa" w:w="2929"/>
            <w:vAlign w:val="center"/>
          </w:tcPr>
          <w:p>
            <w:pPr>
              <w:spacing w:line="240" w:lineRule="auto"/>
              <w:jc w:val="center"/>
            </w:pPr>
            <w:r>
              <w:rPr>
                <w:rFonts w:ascii="Times New Roman" w:hAnsi="Times New Roman" w:eastAsia="宋体"/>
                <w:b w:val="0"/>
                <w:sz w:val="21"/>
              </w:rPr>
              <w:t>数据优化</w:t>
            </w:r>
          </w:p>
        </w:tc>
        <w:tc>
          <w:tcPr>
            <w:tcW w:type="dxa" w:w="2929"/>
            <w:vAlign w:val="center"/>
          </w:tcPr>
          <w:p>
            <w:pPr>
              <w:spacing w:line="240" w:lineRule="auto"/>
              <w:jc w:val="center"/>
            </w:pPr>
            <w:r>
              <w:rPr>
                <w:rFonts w:ascii="Times New Roman" w:hAnsi="Times New Roman" w:eastAsia="宋体"/>
                <w:b w:val="0"/>
                <w:sz w:val="21"/>
              </w:rPr>
              <w:t>对局部随机高频扰动执行保边平滑和多尺度融合</w:t>
            </w:r>
          </w:p>
        </w:tc>
        <w:tc>
          <w:tcPr>
            <w:tcW w:type="dxa" w:w="2929"/>
            <w:vAlign w:val="center"/>
          </w:tcPr>
          <w:p>
            <w:pPr>
              <w:spacing w:line="240" w:lineRule="auto"/>
              <w:jc w:val="center"/>
            </w:pPr>
            <w:r>
              <w:rPr>
                <w:rFonts w:ascii="Times New Roman" w:hAnsi="Times New Roman" w:eastAsia="宋体"/>
                <w:b w:val="0"/>
                <w:sz w:val="21"/>
              </w:rPr>
              <w:t>数据优化模块</w:t>
            </w:r>
          </w:p>
        </w:tc>
      </w:tr>
      <w:tr>
        <w:tc>
          <w:tcPr>
            <w:tcW w:type="dxa" w:w="2929"/>
            <w:vAlign w:val="center"/>
          </w:tcPr>
          <w:p>
            <w:pPr>
              <w:spacing w:line="240" w:lineRule="auto"/>
              <w:jc w:val="center"/>
            </w:pPr>
            <w:r>
              <w:rPr>
                <w:rFonts w:ascii="Times New Roman" w:hAnsi="Times New Roman" w:eastAsia="宋体"/>
                <w:b w:val="0"/>
                <w:sz w:val="21"/>
              </w:rPr>
              <w:t>GPU 计算管理</w:t>
            </w:r>
          </w:p>
        </w:tc>
        <w:tc>
          <w:tcPr>
            <w:tcW w:type="dxa" w:w="2929"/>
            <w:vAlign w:val="center"/>
          </w:tcPr>
          <w:p>
            <w:pPr>
              <w:spacing w:line="240" w:lineRule="auto"/>
              <w:jc w:val="center"/>
            </w:pPr>
            <w:r>
              <w:rPr>
                <w:rFonts w:ascii="Times New Roman" w:hAnsi="Times New Roman" w:eastAsia="宋体"/>
                <w:b w:val="0"/>
                <w:sz w:val="21"/>
              </w:rPr>
              <w:t>创建 OpenGL 上下文，编译计算着色器，管理 SSBO 和计时信息</w:t>
            </w:r>
          </w:p>
        </w:tc>
        <w:tc>
          <w:tcPr>
            <w:tcW w:type="dxa" w:w="2929"/>
            <w:vAlign w:val="center"/>
          </w:tcPr>
          <w:p>
            <w:pPr>
              <w:spacing w:line="240" w:lineRule="auto"/>
              <w:jc w:val="center"/>
            </w:pPr>
            <w:r>
              <w:rPr>
                <w:rFonts w:ascii="Times New Roman" w:hAnsi="Times New Roman" w:eastAsia="宋体"/>
                <w:b w:val="0"/>
                <w:sz w:val="21"/>
              </w:rPr>
              <w:t>OpenGL 计算管理模块</w:t>
            </w:r>
          </w:p>
        </w:tc>
      </w:tr>
      <w:tr>
        <w:tc>
          <w:tcPr>
            <w:tcW w:type="dxa" w:w="2929"/>
            <w:vAlign w:val="center"/>
          </w:tcPr>
          <w:p>
            <w:pPr>
              <w:spacing w:line="240" w:lineRule="auto"/>
              <w:jc w:val="center"/>
            </w:pPr>
            <w:r>
              <w:rPr>
                <w:rFonts w:ascii="Times New Roman" w:hAnsi="Times New Roman" w:eastAsia="宋体"/>
                <w:b w:val="0"/>
                <w:sz w:val="21"/>
              </w:rPr>
              <w:t>结果导出</w:t>
            </w:r>
          </w:p>
        </w:tc>
        <w:tc>
          <w:tcPr>
            <w:tcW w:type="dxa" w:w="2929"/>
            <w:vAlign w:val="center"/>
          </w:tcPr>
          <w:p>
            <w:pPr>
              <w:spacing w:line="240" w:lineRule="auto"/>
              <w:jc w:val="center"/>
            </w:pPr>
            <w:r>
              <w:rPr>
                <w:rFonts w:ascii="Times New Roman" w:hAnsi="Times New Roman" w:eastAsia="宋体"/>
                <w:b w:val="0"/>
                <w:sz w:val="21"/>
              </w:rPr>
              <w:t>将计算结果写回内部字段数组，并导出为 VTK 文件</w:t>
            </w:r>
          </w:p>
        </w:tc>
        <w:tc>
          <w:tcPr>
            <w:tcW w:type="dxa" w:w="2929"/>
            <w:vAlign w:val="center"/>
          </w:tcPr>
          <w:p>
            <w:pPr>
              <w:spacing w:line="240" w:lineRule="auto"/>
              <w:jc w:val="center"/>
            </w:pPr>
            <w:r>
              <w:rPr>
                <w:rFonts w:ascii="Times New Roman" w:hAnsi="Times New Roman" w:eastAsia="宋体"/>
                <w:b w:val="0"/>
                <w:sz w:val="21"/>
              </w:rPr>
              <w:t>数据准备与结果导出模块</w:t>
            </w:r>
          </w:p>
        </w:tc>
      </w:tr>
    </w:tbl>
    <w:p/>
    <w:p>
      <w:pPr>
        <w:spacing w:line="360" w:lineRule="auto" w:after="0"/>
        <w:ind w:firstLine="420"/>
      </w:pPr>
      <w:r>
        <w:rPr>
          <w:rFonts w:ascii="Times New Roman" w:hAnsi="Times New Roman" w:eastAsia="宋体"/>
          <w:sz w:val="24"/>
        </w:rPr>
        <w:t>数据读取与转换为后续计算提供统一输入。该功能不仅需要读取文件，还需要识别网格类型、提取字段关联方式，并将外部数据转换为内部数据结构。结果导出与数据读取构成输入输出闭环，负责将新增字段重新写回到 VTK 数据集中，使计算结果能够被可视化工具继续读取和显示。</w:t>
      </w:r>
    </w:p>
    <w:p>
      <w:pPr>
        <w:spacing w:line="360" w:lineRule="auto" w:after="0"/>
        <w:ind w:firstLine="420"/>
      </w:pPr>
      <w:r>
        <w:rPr>
          <w:rFonts w:ascii="Times New Roman" w:hAnsi="Times New Roman" w:eastAsia="宋体"/>
          <w:sz w:val="24"/>
        </w:rPr>
        <w:t>梯度计算和数据优化构成系统的核心预处理能力，分别面向场量变化分析和字段质量改善。梯度计算要求系统根据网格类型选择不同数值路径，并根据字段关联方式组织输出；数据优化要求系统构建点邻域或单元邻域，并在邻域图上执行滤波处理。GPU 计算管理为上述核心算子提供并行执行环境，负责封装 OpenGL 上下文、计算着色器和缓冲区管理等底层细节。通过这些功能之间的配合，系统形成从数据输入、预处理计算到结果导出的完整流程。</w:t>
      </w:r>
    </w:p>
    <w:p>
      <w:pPr>
        <w:pStyle w:val="3"/>
        <w:spacing w:line="360" w:lineRule="auto" w:before="120" w:after="120"/>
        <w:jc w:val="left"/>
      </w:pPr>
      <w:r>
        <w:rPr>
          <w:rFonts w:ascii="Times New Roman" w:hAnsi="Times New Roman" w:eastAsia="黑体"/>
          <w:b/>
          <w:sz w:val="24"/>
        </w:rPr>
        <w:t>3.1.2 非功能需求</w:t>
      </w:r>
    </w:p>
    <w:p>
      <w:pPr>
        <w:spacing w:line="360" w:lineRule="auto" w:after="0"/>
        <w:ind w:firstLine="420"/>
      </w:pPr>
      <w:r>
        <w:rPr>
          <w:rFonts w:ascii="Times New Roman" w:hAnsi="Times New Roman" w:eastAsia="宋体"/>
          <w:sz w:val="24"/>
        </w:rPr>
        <w:t>除功能需求外，系统还需要满足相应的非功能需求。结合 CAE 后处理数据预处理任务的特点，本文主要从性能、可复现性和可扩展性三个方面进行分析。</w:t>
      </w:r>
    </w:p>
    <w:p>
      <w:pPr>
        <w:spacing w:line="360" w:lineRule="auto" w:after="0"/>
        <w:ind w:firstLine="420"/>
      </w:pPr>
      <w:r>
        <w:rPr>
          <w:rFonts w:ascii="Times New Roman" w:hAnsi="Times New Roman" w:eastAsia="宋体"/>
          <w:sz w:val="24"/>
        </w:rPr>
        <w:t>#### 3.1.2.1 性能需求</w:t>
      </w:r>
    </w:p>
    <w:p>
      <w:pPr>
        <w:spacing w:line="360" w:lineRule="auto" w:after="0"/>
        <w:ind w:firstLine="420"/>
      </w:pPr>
      <w:r>
        <w:rPr>
          <w:rFonts w:ascii="Times New Roman" w:hAnsi="Times New Roman" w:eastAsia="宋体"/>
          <w:sz w:val="24"/>
        </w:rPr>
        <w:t>CAE 后处理数据通常包含较多节点、单元和字段值。梯度计算和滤波计算需要在大量采样对象上重复执行，若完全依赖 CPU 侧串行处理，会增加批量实验和交互操作中的时间成本。因此，系统核心计算应优先在 GPU 端并行执行，并记录系统总耗时和 GPU 计算耗时。</w:t>
      </w:r>
    </w:p>
    <w:p>
      <w:pPr>
        <w:spacing w:line="360" w:lineRule="auto" w:after="0"/>
        <w:ind w:firstLine="420"/>
      </w:pPr>
      <w:r>
        <w:rPr>
          <w:rFonts w:ascii="Times New Roman" w:hAnsi="Times New Roman" w:eastAsia="宋体"/>
          <w:sz w:val="24"/>
        </w:rPr>
        <w:t>从计算特征来看，梯度计算和邻域滤波都包含大量局部重复操作，适合映射为多个相互独立的并行任务。系统需要将点坐标、单元连接、字段值和邻域关系整理为 GPU 可访问的连续数组，使计算着色器能够按照采样对象编号读取输入并写回结果。</w:t>
      </w:r>
    </w:p>
    <w:p>
      <w:pPr>
        <w:spacing w:line="360" w:lineRule="auto" w:after="0"/>
        <w:ind w:firstLine="420"/>
      </w:pPr>
      <w:r>
        <w:rPr>
          <w:rFonts w:ascii="Times New Roman" w:hAnsi="Times New Roman" w:eastAsia="宋体"/>
          <w:sz w:val="24"/>
        </w:rPr>
        <w:t>性能评价以统一实验环境、统一数据集和可记录时间指标为基础。系统需要在相同输入数据和相同参数条件下形成可复核的时间记录，用于分析当前实现的计算效率，并为后续性能优化提供依据。</w:t>
      </w:r>
    </w:p>
    <w:p>
      <w:pPr>
        <w:spacing w:line="360" w:lineRule="auto" w:after="0"/>
        <w:ind w:firstLine="420"/>
      </w:pPr>
      <w:r>
        <w:rPr>
          <w:rFonts w:ascii="Times New Roman" w:hAnsi="Times New Roman" w:eastAsia="宋体"/>
          <w:sz w:val="24"/>
        </w:rPr>
        <w:t>#### 3.1.2.2 可复现性需求</w:t>
      </w:r>
    </w:p>
    <w:p>
      <w:pPr>
        <w:spacing w:line="360" w:lineRule="auto" w:after="0"/>
        <w:ind w:firstLine="420"/>
      </w:pPr>
      <w:r>
        <w:rPr>
          <w:rFonts w:ascii="Times New Roman" w:hAnsi="Times New Roman" w:eastAsia="宋体"/>
          <w:sz w:val="24"/>
        </w:rPr>
        <w:t>可复现性要求系统在相同输入数据、相同参数和相同运行环境下得到一致结果。为满足这一要求，系统应保存实验所需的输入数据、参数配置、计算结果和统计指标。本文实验所需的 VTK 数据文件和 CSV 结果文件均保存在项目目录中，便于对实验过程和实验结果进行复核。</w:t>
      </w:r>
    </w:p>
    <w:p>
      <w:pPr>
        <w:spacing w:line="360" w:lineRule="auto" w:after="0"/>
        <w:ind w:firstLine="420"/>
      </w:pPr>
      <w:r>
        <w:rPr>
          <w:rFonts w:ascii="Times New Roman" w:hAnsi="Times New Roman" w:eastAsia="宋体"/>
          <w:sz w:val="24"/>
        </w:rPr>
        <w:t>在结果验证方面，系统需要支持解析场实验、VTK 一致性对比、时间性能测试和数据优化实验。解析场实验用于检查算法正确性，VTK 对照可采用 vtkGradientFilter 作为工程参考[19]，时间记录用于评价计算效率，数据优化实验用于评价字段平滑效果。</w:t>
      </w:r>
    </w:p>
    <w:p>
      <w:pPr>
        <w:spacing w:line="360" w:lineRule="auto" w:after="0"/>
        <w:ind w:firstLine="420"/>
      </w:pPr>
      <w:r>
        <w:rPr>
          <w:rFonts w:ascii="Times New Roman" w:hAnsi="Times New Roman" w:eastAsia="宋体"/>
          <w:sz w:val="24"/>
        </w:rPr>
        <w:t>可复现性还要求结果字段具有可追踪来源。系统在写回结果时需要保存字段名称、字段分量数、字段关联方式和计算耗时等信息，使导出后的数据能够与输入字段、算法类型和实验记录对应起来，从而保证实验表格、输出文件和程序运行结果之间保持一致。</w:t>
      </w:r>
    </w:p>
    <w:p>
      <w:pPr>
        <w:spacing w:line="360" w:lineRule="auto" w:after="0"/>
        <w:ind w:firstLine="420"/>
      </w:pPr>
      <w:r>
        <w:rPr>
          <w:rFonts w:ascii="Times New Roman" w:hAnsi="Times New Roman" w:eastAsia="宋体"/>
          <w:sz w:val="24"/>
        </w:rPr>
        <w:t>#### 3.1.2.3 可扩展性需求</w:t>
      </w:r>
    </w:p>
    <w:p>
      <w:pPr>
        <w:spacing w:line="360" w:lineRule="auto" w:after="0"/>
        <w:ind w:firstLine="420"/>
      </w:pPr>
      <w:r>
        <w:rPr>
          <w:rFonts w:ascii="Times New Roman" w:hAnsi="Times New Roman" w:eastAsia="宋体"/>
          <w:sz w:val="24"/>
        </w:rPr>
        <w:t>可扩展性要求系统在增加数据来源、单元类型或算法策略时，能够复用已有数据组织和计算框架。系统通过统一内部数据对象隔离外部 VTK 数据格式，通过梯度计算模块和数据优化模块区分不同算法路径，通过 OpenGL 计算管理模块统一处理计算上下文和缓冲区资源。</w:t>
      </w:r>
    </w:p>
    <w:p>
      <w:pPr>
        <w:spacing w:line="360" w:lineRule="auto" w:after="0"/>
        <w:ind w:firstLine="420"/>
      </w:pPr>
      <w:r>
        <w:rPr>
          <w:rFonts w:ascii="Times New Roman" w:hAnsi="Times New Roman" w:eastAsia="宋体"/>
          <w:sz w:val="24"/>
        </w:rPr>
        <w:t>在数据来源方面，系统可扩展更多 VTK 数据集类型或其他可转换的数据格式；在算法方面，系统可增加新的梯度恢复方法、单元类型处理方式或滤波策略；在交互方式方面，系统也可在现有界面基础上扩展更多参数设置和结果显示功能。统一的数据结构和模块划分能够降低后续扩展对既有功能的影响。</w:t>
      </w:r>
    </w:p>
    <w:p>
      <w:pPr>
        <w:pStyle w:val="2"/>
        <w:spacing w:line="360" w:lineRule="auto" w:before="120" w:after="120"/>
        <w:jc w:val="left"/>
      </w:pPr>
      <w:r>
        <w:rPr>
          <w:rFonts w:ascii="Times New Roman" w:hAnsi="Times New Roman" w:eastAsia="黑体"/>
          <w:b/>
          <w:sz w:val="28"/>
        </w:rPr>
        <w:t>3.2 系统设计</w:t>
      </w:r>
    </w:p>
    <w:p>
      <w:pPr>
        <w:pStyle w:val="3"/>
        <w:spacing w:line="360" w:lineRule="auto" w:before="120" w:after="120"/>
        <w:jc w:val="left"/>
      </w:pPr>
      <w:r>
        <w:rPr>
          <w:rFonts w:ascii="Times New Roman" w:hAnsi="Times New Roman" w:eastAsia="黑体"/>
          <w:b/>
          <w:sz w:val="24"/>
        </w:rPr>
        <w:t>3.2.1 系统总体结构与技术栈</w:t>
      </w:r>
    </w:p>
    <w:p>
      <w:pPr>
        <w:spacing w:line="360" w:lineRule="auto" w:after="0"/>
        <w:ind w:firstLine="420"/>
      </w:pPr>
      <w:r>
        <w:rPr>
          <w:rFonts w:ascii="Times New Roman" w:hAnsi="Times New Roman" w:eastAsia="宋体"/>
          <w:sz w:val="24"/>
        </w:rPr>
        <w:t xml:space="preserve">系统采用分层结构组织，整体可分为界面层、核心功能层和数据层。界面层负责文件选择、字段选择、参数输入、计算触发和运行信息展示；核心功能层负责数据转换、流程调度、梯度计算、数据优化、OpenGL 计算管理和结果导出；数据层负责保存外部 VTK 数据、内部 </w:t>
      </w:r>
      <w:r>
        <w:rPr>
          <w:rFonts w:ascii="Consolas" w:hAnsi="Consolas" w:eastAsia="Consolas"/>
          <w:sz w:val="24"/>
        </w:rPr>
        <w:t>DataObject</w:t>
      </w:r>
      <w:r>
        <w:rPr>
          <w:rFonts w:ascii="Times New Roman" w:hAnsi="Times New Roman" w:eastAsia="宋体"/>
          <w:sz w:val="24"/>
        </w:rPr>
        <w:t>、字段数组、网格拓扑和邻域结构。三层之间的关系如表 3-2 所示。</w:t>
      </w:r>
    </w:p>
    <w:tbl>
      <w:tblPr>
        <w:tblStyle w:val="a6"/>
        <w:tblW w:type="auto" w:w="0"/>
        <w:jc w:val="center"/>
        <w:tblLayout w:type="autofit"/>
        <w:tblLook w:firstColumn="1" w:firstRow="1" w:lastColumn="0" w:lastRow="0" w:noHBand="0" w:noVBand="1" w:val="04A0"/>
      </w:tblPr>
      <w:tblGrid>
        <w:gridCol w:w="2929"/>
        <w:gridCol w:w="2929"/>
        <w:gridCol w:w="2929"/>
      </w:tblGrid>
      <w:tr>
        <w:tc>
          <w:tcPr>
            <w:tcW w:type="dxa" w:w="2929"/>
            <w:vAlign w:val="center"/>
          </w:tcPr>
          <w:p>
            <w:pPr>
              <w:spacing w:line="240" w:lineRule="auto"/>
              <w:jc w:val="center"/>
            </w:pPr>
            <w:r>
              <w:rPr>
                <w:rFonts w:ascii="Times New Roman" w:hAnsi="Times New Roman" w:eastAsia="宋体"/>
                <w:b/>
                <w:sz w:val="21"/>
              </w:rPr>
              <w:t>层次</w:t>
            </w:r>
          </w:p>
        </w:tc>
        <w:tc>
          <w:tcPr>
            <w:tcW w:type="dxa" w:w="2929"/>
            <w:vAlign w:val="center"/>
          </w:tcPr>
          <w:p>
            <w:pPr>
              <w:spacing w:line="240" w:lineRule="auto"/>
              <w:jc w:val="center"/>
            </w:pPr>
            <w:r>
              <w:rPr>
                <w:rFonts w:ascii="Times New Roman" w:hAnsi="Times New Roman" w:eastAsia="宋体"/>
                <w:b/>
                <w:sz w:val="21"/>
              </w:rPr>
              <w:t>主要组成</w:t>
            </w:r>
          </w:p>
        </w:tc>
        <w:tc>
          <w:tcPr>
            <w:tcW w:type="dxa" w:w="2929"/>
            <w:vAlign w:val="center"/>
          </w:tcPr>
          <w:p>
            <w:pPr>
              <w:spacing w:line="240" w:lineRule="auto"/>
              <w:jc w:val="center"/>
            </w:pPr>
            <w:r>
              <w:rPr>
                <w:rFonts w:ascii="Times New Roman" w:hAnsi="Times New Roman" w:eastAsia="宋体"/>
                <w:b/>
                <w:sz w:val="21"/>
              </w:rPr>
              <w:t>职责</w:t>
            </w:r>
          </w:p>
        </w:tc>
      </w:tr>
      <w:tr>
        <w:tc>
          <w:tcPr>
            <w:tcW w:type="dxa" w:w="2929"/>
            <w:vAlign w:val="center"/>
          </w:tcPr>
          <w:p>
            <w:pPr>
              <w:spacing w:line="240" w:lineRule="auto"/>
              <w:jc w:val="center"/>
            </w:pPr>
            <w:r>
              <w:rPr>
                <w:rFonts w:ascii="Times New Roman" w:hAnsi="Times New Roman" w:eastAsia="宋体"/>
                <w:b w:val="0"/>
                <w:sz w:val="21"/>
              </w:rPr>
              <w:t>界面层</w:t>
            </w:r>
          </w:p>
        </w:tc>
        <w:tc>
          <w:tcPr>
            <w:tcW w:type="dxa" w:w="2929"/>
            <w:vAlign w:val="center"/>
          </w:tcPr>
          <w:p>
            <w:pPr>
              <w:spacing w:line="240" w:lineRule="auto"/>
              <w:jc w:val="center"/>
            </w:pPr>
            <w:r>
              <w:rPr>
                <w:rFonts w:ascii="Times New Roman" w:hAnsi="Times New Roman" w:eastAsia="宋体"/>
                <w:b w:val="0"/>
                <w:sz w:val="21"/>
              </w:rPr>
              <w:t>Qt GUI</w:t>
            </w:r>
          </w:p>
        </w:tc>
        <w:tc>
          <w:tcPr>
            <w:tcW w:type="dxa" w:w="2929"/>
            <w:vAlign w:val="center"/>
          </w:tcPr>
          <w:p>
            <w:pPr>
              <w:spacing w:line="240" w:lineRule="auto"/>
              <w:jc w:val="center"/>
            </w:pPr>
            <w:r>
              <w:rPr>
                <w:rFonts w:ascii="Times New Roman" w:hAnsi="Times New Roman" w:eastAsia="宋体"/>
                <w:b w:val="0"/>
                <w:sz w:val="21"/>
              </w:rPr>
              <w:t>提供数据加载、字段选择、参数设置、计算触发和结果导出入口</w:t>
            </w:r>
          </w:p>
        </w:tc>
      </w:tr>
      <w:tr>
        <w:tc>
          <w:tcPr>
            <w:tcW w:type="dxa" w:w="2929"/>
            <w:vAlign w:val="center"/>
          </w:tcPr>
          <w:p>
            <w:pPr>
              <w:spacing w:line="240" w:lineRule="auto"/>
              <w:jc w:val="center"/>
            </w:pPr>
            <w:r>
              <w:rPr>
                <w:rFonts w:ascii="Times New Roman" w:hAnsi="Times New Roman" w:eastAsia="宋体"/>
                <w:b w:val="0"/>
                <w:sz w:val="21"/>
              </w:rPr>
              <w:t>核心功能层</w:t>
            </w:r>
          </w:p>
        </w:tc>
        <w:tc>
          <w:tcPr>
            <w:tcW w:type="dxa" w:w="2929"/>
            <w:vAlign w:val="center"/>
          </w:tcPr>
          <w:p>
            <w:pPr>
              <w:spacing w:line="240" w:lineRule="auto"/>
              <w:jc w:val="center"/>
            </w:pPr>
            <w:r>
              <w:rPr>
                <w:rFonts w:ascii="Consolas" w:hAnsi="Consolas" w:eastAsia="Consolas"/>
                <w:b w:val="0"/>
                <w:sz w:val="21"/>
              </w:rPr>
              <w:t>CAEProcessingFacade</w:t>
            </w:r>
            <w:r>
              <w:rPr>
                <w:rFonts w:ascii="Times New Roman" w:hAnsi="Times New Roman" w:eastAsia="宋体"/>
                <w:b w:val="0"/>
                <w:sz w:val="21"/>
              </w:rPr>
              <w:t>、</w:t>
            </w:r>
            <w:r>
              <w:rPr>
                <w:rFonts w:ascii="Consolas" w:hAnsi="Consolas" w:eastAsia="Consolas"/>
                <w:b w:val="0"/>
                <w:sz w:val="21"/>
              </w:rPr>
              <w:t>VTKDataConverter</w:t>
            </w:r>
            <w:r>
              <w:rPr>
                <w:rFonts w:ascii="Times New Roman" w:hAnsi="Times New Roman" w:eastAsia="宋体"/>
                <w:b w:val="0"/>
                <w:sz w:val="21"/>
              </w:rPr>
              <w:t>、</w:t>
            </w:r>
            <w:r>
              <w:rPr>
                <w:rFonts w:ascii="Consolas" w:hAnsi="Consolas" w:eastAsia="Consolas"/>
                <w:b w:val="0"/>
                <w:sz w:val="21"/>
              </w:rPr>
              <w:t>GLGradientEngine</w:t>
            </w:r>
            <w:r>
              <w:rPr>
                <w:rFonts w:ascii="Times New Roman" w:hAnsi="Times New Roman" w:eastAsia="宋体"/>
                <w:b w:val="0"/>
                <w:sz w:val="21"/>
              </w:rPr>
              <w:t>、</w:t>
            </w:r>
            <w:r>
              <w:rPr>
                <w:rFonts w:ascii="Consolas" w:hAnsi="Consolas" w:eastAsia="Consolas"/>
                <w:b w:val="0"/>
                <w:sz w:val="21"/>
              </w:rPr>
              <w:t>GLFilterEngine</w:t>
            </w:r>
            <w:r>
              <w:rPr>
                <w:rFonts w:ascii="Times New Roman" w:hAnsi="Times New Roman" w:eastAsia="宋体"/>
                <w:b w:val="0"/>
                <w:sz w:val="21"/>
              </w:rPr>
              <w:t>、</w:t>
            </w:r>
            <w:r>
              <w:rPr>
                <w:rFonts w:ascii="Consolas" w:hAnsi="Consolas" w:eastAsia="Consolas"/>
                <w:b w:val="0"/>
                <w:sz w:val="21"/>
              </w:rPr>
              <w:t>OpenGLManager</w:t>
            </w:r>
          </w:p>
        </w:tc>
        <w:tc>
          <w:tcPr>
            <w:tcW w:type="dxa" w:w="2929"/>
            <w:vAlign w:val="center"/>
          </w:tcPr>
          <w:p>
            <w:pPr>
              <w:spacing w:line="240" w:lineRule="auto"/>
              <w:jc w:val="center"/>
            </w:pPr>
            <w:r>
              <w:rPr>
                <w:rFonts w:ascii="Times New Roman" w:hAnsi="Times New Roman" w:eastAsia="宋体"/>
                <w:b w:val="0"/>
                <w:sz w:val="21"/>
              </w:rPr>
              <w:t>组织系统流程，完成数据转换、核心计算、GPU 管理和结果写回</w:t>
            </w:r>
          </w:p>
        </w:tc>
      </w:tr>
      <w:tr>
        <w:tc>
          <w:tcPr>
            <w:tcW w:type="dxa" w:w="2929"/>
            <w:vAlign w:val="center"/>
          </w:tcPr>
          <w:p>
            <w:pPr>
              <w:spacing w:line="240" w:lineRule="auto"/>
              <w:jc w:val="center"/>
            </w:pPr>
            <w:r>
              <w:rPr>
                <w:rFonts w:ascii="Times New Roman" w:hAnsi="Times New Roman" w:eastAsia="宋体"/>
                <w:b w:val="0"/>
                <w:sz w:val="21"/>
              </w:rPr>
              <w:t>数据层</w:t>
            </w:r>
          </w:p>
        </w:tc>
        <w:tc>
          <w:tcPr>
            <w:tcW w:type="dxa" w:w="2929"/>
            <w:vAlign w:val="center"/>
          </w:tcPr>
          <w:p>
            <w:pPr>
              <w:spacing w:line="240" w:lineRule="auto"/>
              <w:jc w:val="center"/>
            </w:pPr>
            <w:r>
              <w:rPr>
                <w:rFonts w:ascii="Times New Roman" w:hAnsi="Times New Roman" w:eastAsia="宋体"/>
                <w:b w:val="0"/>
                <w:sz w:val="21"/>
              </w:rPr>
              <w:t>VTK 数据集、</w:t>
            </w:r>
            <w:r>
              <w:rPr>
                <w:rFonts w:ascii="Consolas" w:hAnsi="Consolas" w:eastAsia="Consolas"/>
                <w:b w:val="0"/>
                <w:sz w:val="21"/>
              </w:rPr>
              <w:t>DataObject</w:t>
            </w:r>
            <w:r>
              <w:rPr>
                <w:rFonts w:ascii="Times New Roman" w:hAnsi="Times New Roman" w:eastAsia="宋体"/>
                <w:b w:val="0"/>
                <w:sz w:val="21"/>
              </w:rPr>
              <w:t>、</w:t>
            </w:r>
            <w:r>
              <w:rPr>
                <w:rFonts w:ascii="Consolas" w:hAnsi="Consolas" w:eastAsia="Consolas"/>
                <w:b w:val="0"/>
                <w:sz w:val="21"/>
              </w:rPr>
              <w:t>DataArray</w:t>
            </w:r>
            <w:r>
              <w:rPr>
                <w:rFonts w:ascii="Times New Roman" w:hAnsi="Times New Roman" w:eastAsia="宋体"/>
                <w:b w:val="0"/>
                <w:sz w:val="21"/>
              </w:rPr>
              <w:t>、邻域数组、结果字段</w:t>
            </w:r>
          </w:p>
        </w:tc>
        <w:tc>
          <w:tcPr>
            <w:tcW w:type="dxa" w:w="2929"/>
            <w:vAlign w:val="center"/>
          </w:tcPr>
          <w:p>
            <w:pPr>
              <w:spacing w:line="240" w:lineRule="auto"/>
              <w:jc w:val="center"/>
            </w:pPr>
            <w:r>
              <w:rPr>
                <w:rFonts w:ascii="Times New Roman" w:hAnsi="Times New Roman" w:eastAsia="宋体"/>
                <w:b w:val="0"/>
                <w:sz w:val="21"/>
              </w:rPr>
              <w:t>保存网格、字段、拓扑邻域和计算结果</w:t>
            </w:r>
          </w:p>
        </w:tc>
      </w:tr>
    </w:tbl>
    <w:p/>
    <w:p>
      <w:pPr>
        <w:spacing w:line="360" w:lineRule="auto" w:after="0"/>
        <w:ind w:firstLine="420"/>
      </w:pPr>
      <w:r>
        <w:rPr>
          <w:rFonts w:ascii="Times New Roman" w:hAnsi="Times New Roman" w:eastAsia="宋体"/>
          <w:sz w:val="24"/>
        </w:rPr>
        <w:t>系统开发技术栈如表 3-3 所示。</w:t>
      </w:r>
    </w:p>
    <w:tbl>
      <w:tblPr>
        <w:tblStyle w:val="a6"/>
        <w:tblW w:type="auto" w:w="0"/>
        <w:jc w:val="center"/>
        <w:tblLayout w:type="autofit"/>
        <w:tblLook w:firstColumn="1" w:firstRow="1" w:lastColumn="0" w:lastRow="0" w:noHBand="0" w:noVBand="1" w:val="04A0"/>
      </w:tblPr>
      <w:tblGrid>
        <w:gridCol w:w="4394"/>
        <w:gridCol w:w="4394"/>
      </w:tblGrid>
      <w:tr>
        <w:tc>
          <w:tcPr>
            <w:tcW w:type="dxa" w:w="4394"/>
            <w:vAlign w:val="center"/>
          </w:tcPr>
          <w:p>
            <w:pPr>
              <w:spacing w:line="240" w:lineRule="auto"/>
              <w:jc w:val="center"/>
            </w:pPr>
            <w:r>
              <w:rPr>
                <w:rFonts w:ascii="Times New Roman" w:hAnsi="Times New Roman" w:eastAsia="宋体"/>
                <w:b/>
                <w:sz w:val="21"/>
              </w:rPr>
              <w:t>技术或工具</w:t>
            </w:r>
          </w:p>
        </w:tc>
        <w:tc>
          <w:tcPr>
            <w:tcW w:type="dxa" w:w="4394"/>
            <w:vAlign w:val="center"/>
          </w:tcPr>
          <w:p>
            <w:pPr>
              <w:spacing w:line="240" w:lineRule="auto"/>
              <w:jc w:val="center"/>
            </w:pPr>
            <w:r>
              <w:rPr>
                <w:rFonts w:ascii="Times New Roman" w:hAnsi="Times New Roman" w:eastAsia="宋体"/>
                <w:b/>
                <w:sz w:val="21"/>
              </w:rPr>
              <w:t>作用</w:t>
            </w:r>
          </w:p>
        </w:tc>
      </w:tr>
      <w:tr>
        <w:tc>
          <w:tcPr>
            <w:tcW w:type="dxa" w:w="4394"/>
            <w:vAlign w:val="center"/>
          </w:tcPr>
          <w:p>
            <w:pPr>
              <w:spacing w:line="240" w:lineRule="auto"/>
              <w:jc w:val="center"/>
            </w:pPr>
            <w:r>
              <w:rPr>
                <w:rFonts w:ascii="Times New Roman" w:hAnsi="Times New Roman" w:eastAsia="宋体"/>
                <w:b w:val="0"/>
                <w:sz w:val="21"/>
              </w:rPr>
              <w:t>C++17</w:t>
            </w:r>
          </w:p>
        </w:tc>
        <w:tc>
          <w:tcPr>
            <w:tcW w:type="dxa" w:w="4394"/>
            <w:vAlign w:val="center"/>
          </w:tcPr>
          <w:p>
            <w:pPr>
              <w:spacing w:line="240" w:lineRule="auto"/>
              <w:jc w:val="center"/>
            </w:pPr>
            <w:r>
              <w:rPr>
                <w:rFonts w:ascii="Times New Roman" w:hAnsi="Times New Roman" w:eastAsia="宋体"/>
                <w:b w:val="0"/>
                <w:sz w:val="21"/>
              </w:rPr>
              <w:t>系统核心逻辑、数据结构和算法模块实现</w:t>
            </w:r>
          </w:p>
        </w:tc>
      </w:tr>
      <w:tr>
        <w:tc>
          <w:tcPr>
            <w:tcW w:type="dxa" w:w="4394"/>
            <w:vAlign w:val="center"/>
          </w:tcPr>
          <w:p>
            <w:pPr>
              <w:spacing w:line="240" w:lineRule="auto"/>
              <w:jc w:val="center"/>
            </w:pPr>
            <w:r>
              <w:rPr>
                <w:rFonts w:ascii="Times New Roman" w:hAnsi="Times New Roman" w:eastAsia="宋体"/>
                <w:b w:val="0"/>
                <w:sz w:val="21"/>
              </w:rPr>
              <w:t>CMake</w:t>
            </w:r>
          </w:p>
        </w:tc>
        <w:tc>
          <w:tcPr>
            <w:tcW w:type="dxa" w:w="4394"/>
            <w:vAlign w:val="center"/>
          </w:tcPr>
          <w:p>
            <w:pPr>
              <w:spacing w:line="240" w:lineRule="auto"/>
              <w:jc w:val="center"/>
            </w:pPr>
            <w:r>
              <w:rPr>
                <w:rFonts w:ascii="Times New Roman" w:hAnsi="Times New Roman" w:eastAsia="宋体"/>
                <w:b w:val="0"/>
                <w:sz w:val="21"/>
              </w:rPr>
              <w:t>工程构建与目标管理</w:t>
            </w:r>
          </w:p>
        </w:tc>
      </w:tr>
      <w:tr>
        <w:tc>
          <w:tcPr>
            <w:tcW w:type="dxa" w:w="4394"/>
            <w:vAlign w:val="center"/>
          </w:tcPr>
          <w:p>
            <w:pPr>
              <w:spacing w:line="240" w:lineRule="auto"/>
              <w:jc w:val="center"/>
            </w:pPr>
            <w:r>
              <w:rPr>
                <w:rFonts w:ascii="Times New Roman" w:hAnsi="Times New Roman" w:eastAsia="宋体"/>
                <w:b w:val="0"/>
                <w:sz w:val="21"/>
              </w:rPr>
              <w:t>VTK</w:t>
            </w:r>
          </w:p>
        </w:tc>
        <w:tc>
          <w:tcPr>
            <w:tcW w:type="dxa" w:w="4394"/>
            <w:vAlign w:val="center"/>
          </w:tcPr>
          <w:p>
            <w:pPr>
              <w:spacing w:line="240" w:lineRule="auto"/>
              <w:jc w:val="center"/>
            </w:pPr>
            <w:r>
              <w:rPr>
                <w:rFonts w:ascii="Times New Roman" w:hAnsi="Times New Roman" w:eastAsia="宋体"/>
                <w:b w:val="0"/>
                <w:sz w:val="21"/>
              </w:rPr>
              <w:t>CAE 数据读取、数据写出和工程结果对照[4]</w:t>
            </w:r>
          </w:p>
        </w:tc>
      </w:tr>
      <w:tr>
        <w:tc>
          <w:tcPr>
            <w:tcW w:type="dxa" w:w="4394"/>
            <w:vAlign w:val="center"/>
          </w:tcPr>
          <w:p>
            <w:pPr>
              <w:spacing w:line="240" w:lineRule="auto"/>
              <w:jc w:val="center"/>
            </w:pPr>
            <w:r>
              <w:rPr>
                <w:rFonts w:ascii="Times New Roman" w:hAnsi="Times New Roman" w:eastAsia="宋体"/>
                <w:b w:val="0"/>
                <w:sz w:val="21"/>
              </w:rPr>
              <w:t>ParaView</w:t>
            </w:r>
          </w:p>
        </w:tc>
        <w:tc>
          <w:tcPr>
            <w:tcW w:type="dxa" w:w="4394"/>
            <w:vAlign w:val="center"/>
          </w:tcPr>
          <w:p>
            <w:pPr>
              <w:spacing w:line="240" w:lineRule="auto"/>
              <w:jc w:val="center"/>
            </w:pPr>
            <w:r>
              <w:rPr>
                <w:rFonts w:ascii="Times New Roman" w:hAnsi="Times New Roman" w:eastAsia="宋体"/>
                <w:b w:val="0"/>
                <w:sz w:val="21"/>
              </w:rPr>
              <w:t>导出结果的可视化观察</w:t>
            </w:r>
          </w:p>
        </w:tc>
      </w:tr>
      <w:tr>
        <w:tc>
          <w:tcPr>
            <w:tcW w:type="dxa" w:w="4394"/>
            <w:vAlign w:val="center"/>
          </w:tcPr>
          <w:p>
            <w:pPr>
              <w:spacing w:line="240" w:lineRule="auto"/>
              <w:jc w:val="center"/>
            </w:pPr>
            <w:r>
              <w:rPr>
                <w:rFonts w:ascii="Times New Roman" w:hAnsi="Times New Roman" w:eastAsia="宋体"/>
                <w:b w:val="0"/>
                <w:sz w:val="21"/>
              </w:rPr>
              <w:t>Qt Widgets</w:t>
            </w:r>
          </w:p>
        </w:tc>
        <w:tc>
          <w:tcPr>
            <w:tcW w:type="dxa" w:w="4394"/>
            <w:vAlign w:val="center"/>
          </w:tcPr>
          <w:p>
            <w:pPr>
              <w:spacing w:line="240" w:lineRule="auto"/>
              <w:jc w:val="center"/>
            </w:pPr>
            <w:r>
              <w:rPr>
                <w:rFonts w:ascii="Times New Roman" w:hAnsi="Times New Roman" w:eastAsia="宋体"/>
                <w:b w:val="0"/>
                <w:sz w:val="21"/>
              </w:rPr>
              <w:t>桌面程序界面和基础交互[20]</w:t>
            </w:r>
          </w:p>
        </w:tc>
      </w:tr>
      <w:tr>
        <w:tc>
          <w:tcPr>
            <w:tcW w:type="dxa" w:w="4394"/>
            <w:vAlign w:val="center"/>
          </w:tcPr>
          <w:p>
            <w:pPr>
              <w:spacing w:line="240" w:lineRule="auto"/>
              <w:jc w:val="center"/>
            </w:pPr>
            <w:r>
              <w:rPr>
                <w:rFonts w:ascii="Times New Roman" w:hAnsi="Times New Roman" w:eastAsia="宋体"/>
                <w:b w:val="0"/>
                <w:sz w:val="21"/>
              </w:rPr>
              <w:t>OpenGL Compute Shader</w:t>
            </w:r>
          </w:p>
        </w:tc>
        <w:tc>
          <w:tcPr>
            <w:tcW w:type="dxa" w:w="4394"/>
            <w:vAlign w:val="center"/>
          </w:tcPr>
          <w:p>
            <w:pPr>
              <w:spacing w:line="240" w:lineRule="auto"/>
              <w:jc w:val="center"/>
            </w:pPr>
            <w:r>
              <w:rPr>
                <w:rFonts w:ascii="Times New Roman" w:hAnsi="Times New Roman" w:eastAsia="宋体"/>
                <w:b w:val="0"/>
                <w:sz w:val="21"/>
              </w:rPr>
              <w:t>GPU 端通用并行计算[8]</w:t>
            </w:r>
          </w:p>
        </w:tc>
      </w:tr>
      <w:tr>
        <w:tc>
          <w:tcPr>
            <w:tcW w:type="dxa" w:w="4394"/>
            <w:vAlign w:val="center"/>
          </w:tcPr>
          <w:p>
            <w:pPr>
              <w:spacing w:line="240" w:lineRule="auto"/>
              <w:jc w:val="center"/>
            </w:pPr>
            <w:r>
              <w:rPr>
                <w:rFonts w:ascii="Times New Roman" w:hAnsi="Times New Roman" w:eastAsia="宋体"/>
                <w:b w:val="0"/>
                <w:sz w:val="21"/>
              </w:rPr>
              <w:t>SSBO</w:t>
            </w:r>
          </w:p>
        </w:tc>
        <w:tc>
          <w:tcPr>
            <w:tcW w:type="dxa" w:w="4394"/>
            <w:vAlign w:val="center"/>
          </w:tcPr>
          <w:p>
            <w:pPr>
              <w:spacing w:line="240" w:lineRule="auto"/>
              <w:jc w:val="center"/>
            </w:pPr>
            <w:r>
              <w:rPr>
                <w:rFonts w:ascii="Times New Roman" w:hAnsi="Times New Roman" w:eastAsia="宋体"/>
                <w:b w:val="0"/>
                <w:sz w:val="21"/>
              </w:rPr>
              <w:t>GPU 端结构化数据读写[9]</w:t>
            </w:r>
          </w:p>
        </w:tc>
      </w:tr>
      <w:tr>
        <w:tc>
          <w:tcPr>
            <w:tcW w:type="dxa" w:w="4394"/>
            <w:vAlign w:val="center"/>
          </w:tcPr>
          <w:p>
            <w:pPr>
              <w:spacing w:line="240" w:lineRule="auto"/>
              <w:jc w:val="center"/>
            </w:pPr>
            <w:r>
              <w:rPr>
                <w:rFonts w:ascii="Times New Roman" w:hAnsi="Times New Roman" w:eastAsia="宋体"/>
                <w:b w:val="0"/>
                <w:sz w:val="21"/>
              </w:rPr>
              <w:t>GLAD</w:t>
            </w:r>
          </w:p>
        </w:tc>
        <w:tc>
          <w:tcPr>
            <w:tcW w:type="dxa" w:w="4394"/>
            <w:vAlign w:val="center"/>
          </w:tcPr>
          <w:p>
            <w:pPr>
              <w:spacing w:line="240" w:lineRule="auto"/>
              <w:jc w:val="center"/>
            </w:pPr>
            <w:r>
              <w:rPr>
                <w:rFonts w:ascii="Times New Roman" w:hAnsi="Times New Roman" w:eastAsia="宋体"/>
                <w:b w:val="0"/>
                <w:sz w:val="21"/>
              </w:rPr>
              <w:t>OpenGL 函数加载</w:t>
            </w:r>
          </w:p>
        </w:tc>
      </w:tr>
    </w:tbl>
    <w:p/>
    <w:p>
      <w:pPr>
        <w:spacing w:line="360" w:lineRule="auto" w:after="0"/>
        <w:ind w:firstLine="420"/>
      </w:pPr>
      <w:r>
        <w:rPr>
          <w:rFonts w:ascii="Times New Roman" w:hAnsi="Times New Roman" w:eastAsia="宋体"/>
          <w:sz w:val="24"/>
        </w:rPr>
        <w:t>系统整体处理流程为：首先读取 VTK 数据文件并转换为内部数据对象；然后根据网格类型和字段关联方式选择梯度计算或数据优化算法；随后通过 OpenGL Compute Shader 执行 GPU 计算；最后将计算结果写回内部字段数组，并导出为 VTK 文件供后续观察和对照。</w:t>
      </w:r>
    </w:p>
    <w:p>
      <w:pPr>
        <w:pStyle w:val="3"/>
        <w:spacing w:line="360" w:lineRule="auto" w:before="120" w:after="120"/>
        <w:jc w:val="left"/>
      </w:pPr>
      <w:r>
        <w:rPr>
          <w:rFonts w:ascii="Times New Roman" w:hAnsi="Times New Roman" w:eastAsia="黑体"/>
          <w:b/>
          <w:sz w:val="24"/>
        </w:rPr>
        <w:t>3.2.2 系统各模块设计</w:t>
      </w:r>
    </w:p>
    <w:p>
      <w:pPr>
        <w:spacing w:line="360" w:lineRule="auto" w:after="0"/>
        <w:ind w:firstLine="420"/>
      </w:pPr>
      <w:r>
        <w:rPr>
          <w:rFonts w:ascii="Times New Roman" w:hAnsi="Times New Roman" w:eastAsia="宋体"/>
          <w:sz w:val="24"/>
        </w:rPr>
        <w:t>#### 3.2.2.1 数据准备模块</w:t>
      </w:r>
    </w:p>
    <w:p>
      <w:pPr>
        <w:spacing w:line="360" w:lineRule="auto" w:after="0"/>
        <w:ind w:firstLine="420"/>
      </w:pPr>
      <w:r>
        <w:rPr>
          <w:rFonts w:ascii="Times New Roman" w:hAnsi="Times New Roman" w:eastAsia="宋体"/>
          <w:sz w:val="24"/>
        </w:rPr>
        <w:t>数据准备模块负责连接外部 VTK 数据和内部算法数据。该模块读取点坐标、单元连接、单元类型、点数据、单元数据和结构化网格维度，并将其组织为内部扁平数组。对于非结构化网格，数据准备模块还需要构建点-单元关系、点邻域和单元邻域等拓扑信息。</w:t>
      </w:r>
    </w:p>
    <w:p>
      <w:pPr>
        <w:spacing w:line="360" w:lineRule="auto" w:after="0"/>
        <w:ind w:firstLine="420"/>
      </w:pPr>
      <w:r>
        <w:rPr>
          <w:rFonts w:ascii="Times New Roman" w:hAnsi="Times New Roman" w:eastAsia="宋体"/>
          <w:sz w:val="24"/>
        </w:rPr>
        <w:t xml:space="preserve">数据准备模块的典型实现包括 </w:t>
      </w:r>
      <w:r>
        <w:rPr>
          <w:rFonts w:ascii="Consolas" w:hAnsi="Consolas" w:eastAsia="Consolas"/>
          <w:sz w:val="24"/>
        </w:rPr>
        <w:t>VTKDataConverter</w:t>
      </w:r>
      <w:r>
        <w:rPr>
          <w:rFonts w:ascii="Times New Roman" w:hAnsi="Times New Roman" w:eastAsia="宋体"/>
          <w:sz w:val="24"/>
        </w:rPr>
        <w:t xml:space="preserve"> 和 </w:t>
      </w:r>
      <w:r>
        <w:rPr>
          <w:rFonts w:ascii="Consolas" w:hAnsi="Consolas" w:eastAsia="Consolas"/>
          <w:sz w:val="24"/>
        </w:rPr>
        <w:t>DataObject</w:t>
      </w:r>
      <w:r>
        <w:rPr>
          <w:rFonts w:ascii="Times New Roman" w:hAnsi="Times New Roman" w:eastAsia="宋体"/>
          <w:sz w:val="24"/>
        </w:rPr>
        <w:t>。其中，</w:t>
      </w:r>
      <w:r>
        <w:rPr>
          <w:rFonts w:ascii="Consolas" w:hAnsi="Consolas" w:eastAsia="Consolas"/>
          <w:sz w:val="24"/>
        </w:rPr>
        <w:t>VTKDataConverter</w:t>
      </w:r>
      <w:r>
        <w:rPr>
          <w:rFonts w:ascii="Times New Roman" w:hAnsi="Times New Roman" w:eastAsia="宋体"/>
          <w:sz w:val="24"/>
        </w:rPr>
        <w:t xml:space="preserve"> 负责从 VTK 数据集中提取几何、拓扑和字段信息；</w:t>
      </w:r>
      <w:r>
        <w:rPr>
          <w:rFonts w:ascii="Consolas" w:hAnsi="Consolas" w:eastAsia="Consolas"/>
          <w:sz w:val="24"/>
        </w:rPr>
        <w:t>DataObject</w:t>
      </w:r>
      <w:r>
        <w:rPr>
          <w:rFonts w:ascii="Times New Roman" w:hAnsi="Times New Roman" w:eastAsia="宋体"/>
          <w:sz w:val="24"/>
        </w:rPr>
        <w:t xml:space="preserve"> 负责保存转换后的内部数据，为梯度计算、数据优化和结果导出提供统一访问接口。</w:t>
      </w:r>
    </w:p>
    <w:p>
      <w:pPr>
        <w:spacing w:line="360" w:lineRule="auto" w:after="0"/>
        <w:ind w:firstLine="420"/>
      </w:pPr>
      <w:r>
        <w:rPr>
          <w:rFonts w:ascii="Times New Roman" w:hAnsi="Times New Roman" w:eastAsia="宋体"/>
          <w:sz w:val="24"/>
        </w:rPr>
        <w:t xml:space="preserve">该模块的输入为 VTK 数据文件或已经读取的 VTK 数据集，输出为内部 </w:t>
      </w:r>
      <w:r>
        <w:rPr>
          <w:rFonts w:ascii="Consolas" w:hAnsi="Consolas" w:eastAsia="Consolas"/>
          <w:sz w:val="24"/>
        </w:rPr>
        <w:t>DataObject</w:t>
      </w:r>
      <w:r>
        <w:rPr>
          <w:rFonts w:ascii="Times New Roman" w:hAnsi="Times New Roman" w:eastAsia="宋体"/>
          <w:sz w:val="24"/>
        </w:rPr>
        <w:t>。转换过程中需要保留字段名称、字段分量数和字段关联方式，避免点数据与单元数据在后续计算和导出阶段发生混淆。对于结构化网格，数据准备模块重点保存维度信息；对于非结构化网格，数据准备模块重点保存显式单元连接和拓扑邻接关系。</w:t>
      </w:r>
    </w:p>
    <w:p>
      <w:pPr>
        <w:spacing w:line="360" w:lineRule="auto" w:after="0"/>
        <w:ind w:firstLine="420"/>
      </w:pPr>
      <w:r>
        <w:rPr>
          <w:rFonts w:ascii="Times New Roman" w:hAnsi="Times New Roman" w:eastAsia="宋体"/>
          <w:sz w:val="24"/>
        </w:rPr>
        <w:t>#### 3.2.2.2 梯度计算模块</w:t>
      </w:r>
    </w:p>
    <w:p>
      <w:pPr>
        <w:spacing w:line="360" w:lineRule="auto" w:after="0"/>
        <w:ind w:firstLine="420"/>
      </w:pPr>
      <w:r>
        <w:rPr>
          <w:rFonts w:ascii="Times New Roman" w:hAnsi="Times New Roman" w:eastAsia="宋体"/>
          <w:sz w:val="24"/>
        </w:rPr>
        <w:t>梯度计算模块负责根据网格类型和字段关联方式选择算法路径。对于结构化网格，系统采用有限差分法估计字段导数；对于非结构化网格，系统采用基于单元形函数导数的梯度恢复方法，该方法与有限元形函数插值理论相对应[12]。点数据和单元数据具有不同的采样位置和物理含义，因此在两类网格中均需要区分处理。</w:t>
      </w:r>
    </w:p>
    <w:p>
      <w:pPr>
        <w:spacing w:line="360" w:lineRule="auto" w:after="0"/>
        <w:ind w:firstLine="420"/>
      </w:pPr>
      <w:r>
        <w:rPr>
          <w:rFonts w:ascii="Times New Roman" w:hAnsi="Times New Roman" w:eastAsia="宋体"/>
          <w:sz w:val="24"/>
        </w:rPr>
        <w:t xml:space="preserve">梯度计算模块的典型实现包括 </w:t>
      </w:r>
      <w:r>
        <w:rPr>
          <w:rFonts w:ascii="Consolas" w:hAnsi="Consolas" w:eastAsia="Consolas"/>
          <w:sz w:val="24"/>
        </w:rPr>
        <w:t>GLGradientEngine</w:t>
      </w:r>
      <w:r>
        <w:rPr>
          <w:rFonts w:ascii="Times New Roman" w:hAnsi="Times New Roman" w:eastAsia="宋体"/>
          <w:sz w:val="24"/>
        </w:rPr>
        <w:t xml:space="preserve"> 以及系统调度层中的梯度计算接口。该模块接收内部数据对象、字段名称和字段关联方式，输出梯度字段数组，并将计算时间等元数据返回给系统调度层。</w:t>
      </w:r>
    </w:p>
    <w:p>
      <w:pPr>
        <w:spacing w:line="360" w:lineRule="auto" w:after="0"/>
        <w:ind w:firstLine="420"/>
      </w:pPr>
      <w:r>
        <w:rPr>
          <w:rFonts w:ascii="Times New Roman" w:hAnsi="Times New Roman" w:eastAsia="宋体"/>
          <w:sz w:val="24"/>
        </w:rPr>
        <w:t>从模块关系来看，梯度计算模块依赖数据准备模块提供的点坐标、单元连接、字段数组和网格类型信息，也依赖 OpenGL 计算管理模块提供的 GPU 执行环境。计算结束后，梯度结果以新字段形式写回内部数据对象，便于后续导出和实验对照。</w:t>
      </w:r>
    </w:p>
    <w:p>
      <w:pPr>
        <w:spacing w:line="360" w:lineRule="auto" w:after="0"/>
        <w:ind w:firstLine="420"/>
      </w:pPr>
      <w:r>
        <w:rPr>
          <w:rFonts w:ascii="Times New Roman" w:hAnsi="Times New Roman" w:eastAsia="宋体"/>
          <w:sz w:val="24"/>
        </w:rPr>
        <w:t>#### 3.2.2.3 数据优化模块</w:t>
      </w:r>
    </w:p>
    <w:p>
      <w:pPr>
        <w:spacing w:line="360" w:lineRule="auto" w:after="0"/>
        <w:ind w:firstLine="420"/>
      </w:pPr>
      <w:r>
        <w:rPr>
          <w:rFonts w:ascii="Times New Roman" w:hAnsi="Times New Roman" w:eastAsia="宋体"/>
          <w:sz w:val="24"/>
        </w:rPr>
        <w:t>数据优化模块面向后处理结果中的局部随机高频波动，主要执行图双边滤波和多尺度融合。双边滤波通过空间邻近性和数值相似性共同控制平滑权重[14]，相关网格去噪研究也表明该思想可扩展到离散网格数据处理[15]。点数据使用点邻域作为滤波图，单元数据使用单元邻域作为滤波图。结构化网格可根据网格维度生成 6 邻域，非结构化网格则依据拓扑关系构建点邻域和单元邻域，必要时可通过补齐策略保证邻域数量满足计算要求。</w:t>
      </w:r>
    </w:p>
    <w:p>
      <w:pPr>
        <w:spacing w:line="360" w:lineRule="auto" w:after="0"/>
        <w:ind w:firstLine="420"/>
      </w:pPr>
      <w:r>
        <w:rPr>
          <w:rFonts w:ascii="Times New Roman" w:hAnsi="Times New Roman" w:eastAsia="宋体"/>
          <w:sz w:val="24"/>
        </w:rPr>
        <w:t xml:space="preserve">数据优化模块的典型实现为 </w:t>
      </w:r>
      <w:r>
        <w:rPr>
          <w:rFonts w:ascii="Consolas" w:hAnsi="Consolas" w:eastAsia="Consolas"/>
          <w:sz w:val="24"/>
        </w:rPr>
        <w:t>GLFilterEngine</w:t>
      </w:r>
      <w:r>
        <w:rPr>
          <w:rFonts w:ascii="Times New Roman" w:hAnsi="Times New Roman" w:eastAsia="宋体"/>
          <w:sz w:val="24"/>
        </w:rPr>
        <w:t>。该模块接收字段数组、邻域结构和滤波参数，在 GPU 端完成多尺度平滑、细节层提取和融合结果写回。</w:t>
      </w:r>
    </w:p>
    <w:p>
      <w:pPr>
        <w:spacing w:line="360" w:lineRule="auto" w:after="0"/>
        <w:ind w:firstLine="420"/>
      </w:pPr>
      <w:r>
        <w:rPr>
          <w:rFonts w:ascii="Times New Roman" w:hAnsi="Times New Roman" w:eastAsia="宋体"/>
          <w:sz w:val="24"/>
        </w:rPr>
        <w:t>该模块的输入包括待优化字段、字段关联方式、邻域数组和滤波参数，输出为优化后的字段数组。与梯度计算模块相比，数据优化模块对邻域图结构依赖更强：点数据需要点邻域，单元数据需要单元邻域。通过将邻域统一组织为 CSR 形式，结构化网格和非结构化网格可以共用同一套滤波计算接口。</w:t>
      </w:r>
    </w:p>
    <w:p>
      <w:pPr>
        <w:spacing w:line="360" w:lineRule="auto" w:after="0"/>
        <w:ind w:firstLine="420"/>
      </w:pPr>
      <w:r>
        <w:rPr>
          <w:rFonts w:ascii="Times New Roman" w:hAnsi="Times New Roman" w:eastAsia="宋体"/>
          <w:sz w:val="24"/>
        </w:rPr>
        <w:t>#### 3.2.2.4 OpenGL 计算管理模块</w:t>
      </w:r>
    </w:p>
    <w:p>
      <w:pPr>
        <w:spacing w:line="360" w:lineRule="auto" w:after="0"/>
        <w:ind w:firstLine="420"/>
      </w:pPr>
      <w:r>
        <w:rPr>
          <w:rFonts w:ascii="Times New Roman" w:hAnsi="Times New Roman" w:eastAsia="宋体"/>
          <w:sz w:val="24"/>
        </w:rPr>
        <w:t xml:space="preserve">OpenGL 计算管理模块负责 GPU 计算运行环境。其主要功能包括创建和维护 OpenGL 上下文、编译 Compute Shader、创建和绑定 SSBO、调度 </w:t>
      </w:r>
      <w:r>
        <w:rPr>
          <w:rFonts w:ascii="Consolas" w:hAnsi="Consolas" w:eastAsia="Consolas"/>
          <w:sz w:val="24"/>
        </w:rPr>
        <w:t>glDispatchCompute</w:t>
      </w:r>
      <w:r>
        <w:rPr>
          <w:rFonts w:ascii="Times New Roman" w:hAnsi="Times New Roman" w:eastAsia="宋体"/>
          <w:sz w:val="24"/>
        </w:rPr>
        <w:t>、同步 GPU 计算结果以及记录 GPU 端耗时。</w:t>
      </w:r>
    </w:p>
    <w:p>
      <w:pPr>
        <w:spacing w:line="360" w:lineRule="auto" w:after="0"/>
        <w:ind w:firstLine="420"/>
      </w:pPr>
      <w:r>
        <w:rPr>
          <w:rFonts w:ascii="Times New Roman" w:hAnsi="Times New Roman" w:eastAsia="宋体"/>
          <w:sz w:val="24"/>
        </w:rPr>
        <w:t xml:space="preserve">该模块的典型实现包括 </w:t>
      </w:r>
      <w:r>
        <w:rPr>
          <w:rFonts w:ascii="Consolas" w:hAnsi="Consolas" w:eastAsia="Consolas"/>
          <w:sz w:val="24"/>
        </w:rPr>
        <w:t>OpenGLManager</w:t>
      </w:r>
      <w:r>
        <w:rPr>
          <w:rFonts w:ascii="Times New Roman" w:hAnsi="Times New Roman" w:eastAsia="宋体"/>
          <w:sz w:val="24"/>
        </w:rPr>
        <w:t>、</w:t>
      </w:r>
      <w:r>
        <w:rPr>
          <w:rFonts w:ascii="Consolas" w:hAnsi="Consolas" w:eastAsia="Consolas"/>
          <w:sz w:val="24"/>
        </w:rPr>
        <w:t>gl_context_utils</w:t>
      </w:r>
      <w:r>
        <w:rPr>
          <w:rFonts w:ascii="Times New Roman" w:hAnsi="Times New Roman" w:eastAsia="宋体"/>
          <w:sz w:val="24"/>
        </w:rPr>
        <w:t xml:space="preserve"> 以及梯度计算和滤波计算中的缓冲区管理逻辑。通过集中管理 OpenGL 相关资源，系统能够减少算法模块对底层图形接口细节的直接依赖。</w:t>
      </w:r>
    </w:p>
    <w:p>
      <w:pPr>
        <w:spacing w:line="360" w:lineRule="auto" w:after="0"/>
        <w:ind w:firstLine="420"/>
      </w:pPr>
      <w:r>
        <w:rPr>
          <w:rFonts w:ascii="Times New Roman" w:hAnsi="Times New Roman" w:eastAsia="宋体"/>
          <w:sz w:val="24"/>
        </w:rPr>
        <w:t>在计算过程中，CPU 端需要将点坐标、字段值、单元连接、邻域数组和输出数组上传到 GPU 缓冲区，GPU 端计算完成后再将结果读回。OpenGL 计算管理模块为这一过程提供统一资源管理，使梯度计算模块和数据优化模块能够把主要逻辑集中在算法输入、计算调度和结果写回上。</w:t>
      </w:r>
    </w:p>
    <w:p>
      <w:pPr>
        <w:spacing w:line="360" w:lineRule="auto" w:after="0"/>
        <w:ind w:firstLine="420"/>
      </w:pPr>
      <w:r>
        <w:rPr>
          <w:rFonts w:ascii="Times New Roman" w:hAnsi="Times New Roman" w:eastAsia="宋体"/>
          <w:sz w:val="24"/>
        </w:rPr>
        <w:t>#### 3.2.2.5 流程调度模块</w:t>
      </w:r>
    </w:p>
    <w:p>
      <w:pPr>
        <w:spacing w:line="360" w:lineRule="auto" w:after="0"/>
        <w:ind w:firstLine="420"/>
      </w:pPr>
      <w:r>
        <w:rPr>
          <w:rFonts w:ascii="Times New Roman" w:hAnsi="Times New Roman" w:eastAsia="宋体"/>
          <w:sz w:val="24"/>
        </w:rPr>
        <w:t>流程调度模块负责连接数据准备、算法计算、结果写回和导出流程。</w:t>
      </w:r>
      <w:r>
        <w:rPr>
          <w:rFonts w:ascii="Consolas" w:hAnsi="Consolas" w:eastAsia="Consolas"/>
          <w:sz w:val="24"/>
        </w:rPr>
        <w:t>CAEProcessingFacade</w:t>
      </w:r>
      <w:r>
        <w:rPr>
          <w:rFonts w:ascii="Times New Roman" w:hAnsi="Times New Roman" w:eastAsia="宋体"/>
          <w:sz w:val="24"/>
        </w:rPr>
        <w:t xml:space="preserve"> 作为系统统一入口，负责数据集加载、字段查询、计算请求校验、算法调用、结果元数据保存和文件导出。该模块不直接实现具体数值算法，而是负责组织各模块之间的调用关系。</w:t>
      </w:r>
    </w:p>
    <w:p>
      <w:pPr>
        <w:spacing w:line="360" w:lineRule="auto" w:after="0"/>
        <w:ind w:firstLine="420"/>
      </w:pPr>
      <w:r>
        <w:rPr>
          <w:rFonts w:ascii="Times New Roman" w:hAnsi="Times New Roman" w:eastAsia="宋体"/>
          <w:sz w:val="24"/>
        </w:rPr>
        <w:t>流程调度模块的输入来自界面层或实验测试程序，输出包括计算结果元数据、写回后的内部字段和导出的 VTK 文件。该模块能够统一处理数据集编号、字段查询、字段关联方式转换、计算结果命名和耗时记录，使界面操作和批量实验可以复用同一套后端流程。</w:t>
      </w:r>
    </w:p>
    <w:p>
      <w:pPr>
        <w:pStyle w:val="3"/>
        <w:spacing w:line="360" w:lineRule="auto" w:before="120" w:after="120"/>
        <w:jc w:val="left"/>
      </w:pPr>
      <w:r>
        <w:rPr>
          <w:rFonts w:ascii="Times New Roman" w:hAnsi="Times New Roman" w:eastAsia="黑体"/>
          <w:b/>
          <w:sz w:val="24"/>
        </w:rPr>
        <w:t>3.2.3 系统功能流程</w:t>
      </w:r>
    </w:p>
    <w:p>
      <w:pPr>
        <w:spacing w:line="360" w:lineRule="auto" w:after="0"/>
        <w:ind w:firstLine="420"/>
      </w:pPr>
      <w:r>
        <w:rPr>
          <w:rFonts w:ascii="Times New Roman" w:hAnsi="Times New Roman" w:eastAsia="宋体"/>
          <w:sz w:val="24"/>
        </w:rPr>
        <w:t>系统功能流程可分为数据加载、计算执行和结果导出三个阶段。</w:t>
      </w:r>
    </w:p>
    <w:p>
      <w:pPr>
        <w:spacing w:line="360" w:lineRule="auto" w:after="0"/>
        <w:ind w:firstLine="420"/>
      </w:pPr>
      <w:r>
        <w:rPr>
          <w:rFonts w:ascii="Times New Roman" w:hAnsi="Times New Roman" w:eastAsia="宋体"/>
          <w:sz w:val="24"/>
        </w:rPr>
        <w:t xml:space="preserve">数据加载阶段由用户或实验程序指定 VTK 文件路径。系统读取文件后创建数据集记录，并由 </w:t>
      </w:r>
      <w:r>
        <w:rPr>
          <w:rFonts w:ascii="Consolas" w:hAnsi="Consolas" w:eastAsia="Consolas"/>
          <w:sz w:val="24"/>
        </w:rPr>
        <w:t>VTKDataConverter</w:t>
      </w:r>
      <w:r>
        <w:rPr>
          <w:rFonts w:ascii="Times New Roman" w:hAnsi="Times New Roman" w:eastAsia="宋体"/>
          <w:sz w:val="24"/>
        </w:rPr>
        <w:t xml:space="preserve"> 识别数据集类型，提取点、单元和字段，将外部 VTK 数据转换为内部 </w:t>
      </w:r>
      <w:r>
        <w:rPr>
          <w:rFonts w:ascii="Consolas" w:hAnsi="Consolas" w:eastAsia="Consolas"/>
          <w:sz w:val="24"/>
        </w:rPr>
        <w:t>DataObject</w:t>
      </w:r>
      <w:r>
        <w:rPr>
          <w:rFonts w:ascii="Times New Roman" w:hAnsi="Times New Roman" w:eastAsia="宋体"/>
          <w:sz w:val="24"/>
        </w:rPr>
        <w:t>。对于结构化网格，系统保存网格维度；对于非结构化网格，系统保存单元连接、单元类型、点-单元关系和邻域信息。</w:t>
      </w:r>
    </w:p>
    <w:p>
      <w:pPr>
        <w:spacing w:line="360" w:lineRule="auto" w:after="0"/>
        <w:ind w:firstLine="420"/>
      </w:pPr>
      <w:r>
        <w:rPr>
          <w:rFonts w:ascii="Times New Roman" w:hAnsi="Times New Roman" w:eastAsia="宋体"/>
          <w:sz w:val="24"/>
        </w:rPr>
        <w:t xml:space="preserve">计算执行阶段根据任务类型分为梯度计算和数据优化。执行梯度计算时，系统首先检查数据集是否存在、字段名称是否有效，以及字段关联方式是点数据还是单元数据。若数据集为结构化网格，则进入有限差分路径；若数据集为非结构化网格，则进入形函数导数路径。执行数据优化时，系统根据字段关联方式选择点邻域或单元邻域，并在 GPU 端执行双边滤波和多尺度融合。两类计算完成后，结果均以新字段形式写回 </w:t>
      </w:r>
      <w:r>
        <w:rPr>
          <w:rFonts w:ascii="Consolas" w:hAnsi="Consolas" w:eastAsia="Consolas"/>
          <w:sz w:val="24"/>
        </w:rPr>
        <w:t>dataArrays</w:t>
      </w:r>
      <w:r>
        <w:rPr>
          <w:rFonts w:ascii="Times New Roman" w:hAnsi="Times New Roman" w:eastAsia="宋体"/>
          <w:sz w:val="24"/>
        </w:rPr>
        <w:t>。</w:t>
      </w:r>
    </w:p>
    <w:p>
      <w:pPr>
        <w:spacing w:line="360" w:lineRule="auto" w:after="0"/>
        <w:ind w:firstLine="420"/>
      </w:pPr>
      <w:r>
        <w:rPr>
          <w:rFonts w:ascii="Times New Roman" w:hAnsi="Times New Roman" w:eastAsia="宋体"/>
          <w:sz w:val="24"/>
        </w:rPr>
        <w:t>结果导出阶段将内部数据对象转换回 VTK 数据集，并保存为 VTK 文件。导出的文件可在 ParaView 中查看，也可用于后续实验对照。系统主要功能流程如表 3-4 所示。</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阶段</w:t>
            </w:r>
          </w:p>
        </w:tc>
        <w:tc>
          <w:tcPr>
            <w:tcW w:type="dxa" w:w="2197"/>
            <w:vAlign w:val="center"/>
          </w:tcPr>
          <w:p>
            <w:pPr>
              <w:spacing w:line="240" w:lineRule="auto"/>
              <w:jc w:val="center"/>
            </w:pPr>
            <w:r>
              <w:rPr>
                <w:rFonts w:ascii="Times New Roman" w:hAnsi="Times New Roman" w:eastAsia="宋体"/>
                <w:b/>
                <w:sz w:val="21"/>
              </w:rPr>
              <w:t>输入</w:t>
            </w:r>
          </w:p>
        </w:tc>
        <w:tc>
          <w:tcPr>
            <w:tcW w:type="dxa" w:w="2197"/>
            <w:vAlign w:val="center"/>
          </w:tcPr>
          <w:p>
            <w:pPr>
              <w:spacing w:line="240" w:lineRule="auto"/>
              <w:jc w:val="center"/>
            </w:pPr>
            <w:r>
              <w:rPr>
                <w:rFonts w:ascii="Times New Roman" w:hAnsi="Times New Roman" w:eastAsia="宋体"/>
                <w:b/>
                <w:sz w:val="21"/>
              </w:rPr>
              <w:t>主要处理</w:t>
            </w:r>
          </w:p>
        </w:tc>
        <w:tc>
          <w:tcPr>
            <w:tcW w:type="dxa" w:w="2197"/>
            <w:vAlign w:val="center"/>
          </w:tcPr>
          <w:p>
            <w:pPr>
              <w:spacing w:line="240" w:lineRule="auto"/>
              <w:jc w:val="center"/>
            </w:pPr>
            <w:r>
              <w:rPr>
                <w:rFonts w:ascii="Times New Roman" w:hAnsi="Times New Roman" w:eastAsia="宋体"/>
                <w:b/>
                <w:sz w:val="21"/>
              </w:rPr>
              <w:t>输出</w:t>
            </w:r>
          </w:p>
        </w:tc>
      </w:tr>
      <w:tr>
        <w:tc>
          <w:tcPr>
            <w:tcW w:type="dxa" w:w="2197"/>
            <w:vAlign w:val="center"/>
          </w:tcPr>
          <w:p>
            <w:pPr>
              <w:spacing w:line="240" w:lineRule="auto"/>
              <w:jc w:val="center"/>
            </w:pPr>
            <w:r>
              <w:rPr>
                <w:rFonts w:ascii="Times New Roman" w:hAnsi="Times New Roman" w:eastAsia="宋体"/>
                <w:b w:val="0"/>
                <w:sz w:val="21"/>
              </w:rPr>
              <w:t>数据加载</w:t>
            </w:r>
          </w:p>
        </w:tc>
        <w:tc>
          <w:tcPr>
            <w:tcW w:type="dxa" w:w="2197"/>
            <w:vAlign w:val="center"/>
          </w:tcPr>
          <w:p>
            <w:pPr>
              <w:spacing w:line="240" w:lineRule="auto"/>
              <w:jc w:val="center"/>
            </w:pPr>
            <w:r>
              <w:rPr>
                <w:rFonts w:ascii="Times New Roman" w:hAnsi="Times New Roman" w:eastAsia="宋体"/>
                <w:b w:val="0"/>
                <w:sz w:val="21"/>
              </w:rPr>
              <w:t>VTK 文件路径</w:t>
            </w:r>
          </w:p>
        </w:tc>
        <w:tc>
          <w:tcPr>
            <w:tcW w:type="dxa" w:w="2197"/>
            <w:vAlign w:val="center"/>
          </w:tcPr>
          <w:p>
            <w:pPr>
              <w:spacing w:line="240" w:lineRule="auto"/>
              <w:jc w:val="center"/>
            </w:pPr>
            <w:r>
              <w:rPr>
                <w:rFonts w:ascii="Times New Roman" w:hAnsi="Times New Roman" w:eastAsia="宋体"/>
                <w:b w:val="0"/>
                <w:sz w:val="21"/>
              </w:rPr>
              <w:t xml:space="preserve">读取数据、识别网格类型、转换为 </w:t>
            </w:r>
            <w:r>
              <w:rPr>
                <w:rFonts w:ascii="Consolas" w:hAnsi="Consolas" w:eastAsia="Consolas"/>
                <w:b w:val="0"/>
                <w:sz w:val="21"/>
              </w:rPr>
              <w:t>DataObject</w:t>
            </w:r>
          </w:p>
        </w:tc>
        <w:tc>
          <w:tcPr>
            <w:tcW w:type="dxa" w:w="2197"/>
            <w:vAlign w:val="center"/>
          </w:tcPr>
          <w:p>
            <w:pPr>
              <w:spacing w:line="240" w:lineRule="auto"/>
              <w:jc w:val="center"/>
            </w:pPr>
            <w:r>
              <w:rPr>
                <w:rFonts w:ascii="Times New Roman" w:hAnsi="Times New Roman" w:eastAsia="宋体"/>
                <w:b w:val="0"/>
                <w:sz w:val="21"/>
              </w:rPr>
              <w:t>内部数据对象</w:t>
            </w:r>
          </w:p>
        </w:tc>
      </w:tr>
      <w:tr>
        <w:tc>
          <w:tcPr>
            <w:tcW w:type="dxa" w:w="2197"/>
            <w:vAlign w:val="center"/>
          </w:tcPr>
          <w:p>
            <w:pPr>
              <w:spacing w:line="240" w:lineRule="auto"/>
              <w:jc w:val="center"/>
            </w:pPr>
            <w:r>
              <w:rPr>
                <w:rFonts w:ascii="Times New Roman" w:hAnsi="Times New Roman" w:eastAsia="宋体"/>
                <w:b w:val="0"/>
                <w:sz w:val="21"/>
              </w:rPr>
              <w:t>梯度计算</w:t>
            </w:r>
          </w:p>
        </w:tc>
        <w:tc>
          <w:tcPr>
            <w:tcW w:type="dxa" w:w="2197"/>
            <w:vAlign w:val="center"/>
          </w:tcPr>
          <w:p>
            <w:pPr>
              <w:spacing w:line="240" w:lineRule="auto"/>
              <w:jc w:val="center"/>
            </w:pPr>
            <w:r>
              <w:rPr>
                <w:rFonts w:ascii="Times New Roman" w:hAnsi="Times New Roman" w:eastAsia="宋体"/>
                <w:b w:val="0"/>
                <w:sz w:val="21"/>
              </w:rPr>
              <w:t>数据集、字段名、字段关联方式</w:t>
            </w:r>
          </w:p>
        </w:tc>
        <w:tc>
          <w:tcPr>
            <w:tcW w:type="dxa" w:w="2197"/>
            <w:vAlign w:val="center"/>
          </w:tcPr>
          <w:p>
            <w:pPr>
              <w:spacing w:line="240" w:lineRule="auto"/>
              <w:jc w:val="center"/>
            </w:pPr>
            <w:r>
              <w:rPr>
                <w:rFonts w:ascii="Times New Roman" w:hAnsi="Times New Roman" w:eastAsia="宋体"/>
                <w:b w:val="0"/>
                <w:sz w:val="21"/>
              </w:rPr>
              <w:t>选择有限差分或形函数导数路径，执行 GPU 计算</w:t>
            </w:r>
          </w:p>
        </w:tc>
        <w:tc>
          <w:tcPr>
            <w:tcW w:type="dxa" w:w="2197"/>
            <w:vAlign w:val="center"/>
          </w:tcPr>
          <w:p>
            <w:pPr>
              <w:spacing w:line="240" w:lineRule="auto"/>
              <w:jc w:val="center"/>
            </w:pPr>
            <w:r>
              <w:rPr>
                <w:rFonts w:ascii="Times New Roman" w:hAnsi="Times New Roman" w:eastAsia="宋体"/>
                <w:b w:val="0"/>
                <w:sz w:val="21"/>
              </w:rPr>
              <w:t>梯度字段</w:t>
            </w:r>
          </w:p>
        </w:tc>
      </w:tr>
      <w:tr>
        <w:tc>
          <w:tcPr>
            <w:tcW w:type="dxa" w:w="2197"/>
            <w:vAlign w:val="center"/>
          </w:tcPr>
          <w:p>
            <w:pPr>
              <w:spacing w:line="240" w:lineRule="auto"/>
              <w:jc w:val="center"/>
            </w:pPr>
            <w:r>
              <w:rPr>
                <w:rFonts w:ascii="Times New Roman" w:hAnsi="Times New Roman" w:eastAsia="宋体"/>
                <w:b w:val="0"/>
                <w:sz w:val="21"/>
              </w:rPr>
              <w:t>数据优化</w:t>
            </w:r>
          </w:p>
        </w:tc>
        <w:tc>
          <w:tcPr>
            <w:tcW w:type="dxa" w:w="2197"/>
            <w:vAlign w:val="center"/>
          </w:tcPr>
          <w:p>
            <w:pPr>
              <w:spacing w:line="240" w:lineRule="auto"/>
              <w:jc w:val="center"/>
            </w:pPr>
            <w:r>
              <w:rPr>
                <w:rFonts w:ascii="Times New Roman" w:hAnsi="Times New Roman" w:eastAsia="宋体"/>
                <w:b w:val="0"/>
                <w:sz w:val="21"/>
              </w:rPr>
              <w:t>数据集、字段名、滤波参数</w:t>
            </w:r>
          </w:p>
        </w:tc>
        <w:tc>
          <w:tcPr>
            <w:tcW w:type="dxa" w:w="2197"/>
            <w:vAlign w:val="center"/>
          </w:tcPr>
          <w:p>
            <w:pPr>
              <w:spacing w:line="240" w:lineRule="auto"/>
              <w:jc w:val="center"/>
            </w:pPr>
            <w:r>
              <w:rPr>
                <w:rFonts w:ascii="Times New Roman" w:hAnsi="Times New Roman" w:eastAsia="宋体"/>
                <w:b w:val="0"/>
                <w:sz w:val="21"/>
              </w:rPr>
              <w:t>选择点邻域或单元邻域，执行双边滤波和多尺度融合</w:t>
            </w:r>
          </w:p>
        </w:tc>
        <w:tc>
          <w:tcPr>
            <w:tcW w:type="dxa" w:w="2197"/>
            <w:vAlign w:val="center"/>
          </w:tcPr>
          <w:p>
            <w:pPr>
              <w:spacing w:line="240" w:lineRule="auto"/>
              <w:jc w:val="center"/>
            </w:pPr>
            <w:r>
              <w:rPr>
                <w:rFonts w:ascii="Times New Roman" w:hAnsi="Times New Roman" w:eastAsia="宋体"/>
                <w:b w:val="0"/>
                <w:sz w:val="21"/>
              </w:rPr>
              <w:t>优化字段</w:t>
            </w:r>
          </w:p>
        </w:tc>
      </w:tr>
      <w:tr>
        <w:tc>
          <w:tcPr>
            <w:tcW w:type="dxa" w:w="2197"/>
            <w:vAlign w:val="center"/>
          </w:tcPr>
          <w:p>
            <w:pPr>
              <w:spacing w:line="240" w:lineRule="auto"/>
              <w:jc w:val="center"/>
            </w:pPr>
            <w:r>
              <w:rPr>
                <w:rFonts w:ascii="Times New Roman" w:hAnsi="Times New Roman" w:eastAsia="宋体"/>
                <w:b w:val="0"/>
                <w:sz w:val="21"/>
              </w:rPr>
              <w:t>结果导出</w:t>
            </w:r>
          </w:p>
        </w:tc>
        <w:tc>
          <w:tcPr>
            <w:tcW w:type="dxa" w:w="2197"/>
            <w:vAlign w:val="center"/>
          </w:tcPr>
          <w:p>
            <w:pPr>
              <w:spacing w:line="240" w:lineRule="auto"/>
              <w:jc w:val="center"/>
            </w:pPr>
            <w:r>
              <w:rPr>
                <w:rFonts w:ascii="Times New Roman" w:hAnsi="Times New Roman" w:eastAsia="宋体"/>
                <w:b w:val="0"/>
                <w:sz w:val="21"/>
              </w:rPr>
              <w:t>内部数据对象</w:t>
            </w:r>
          </w:p>
        </w:tc>
        <w:tc>
          <w:tcPr>
            <w:tcW w:type="dxa" w:w="2197"/>
            <w:vAlign w:val="center"/>
          </w:tcPr>
          <w:p>
            <w:pPr>
              <w:spacing w:line="240" w:lineRule="auto"/>
              <w:jc w:val="center"/>
            </w:pPr>
            <w:r>
              <w:rPr>
                <w:rFonts w:ascii="Times New Roman" w:hAnsi="Times New Roman" w:eastAsia="宋体"/>
                <w:b w:val="0"/>
                <w:sz w:val="21"/>
              </w:rPr>
              <w:t>转换为 VTK 数据集并保存文件</w:t>
            </w:r>
          </w:p>
        </w:tc>
        <w:tc>
          <w:tcPr>
            <w:tcW w:type="dxa" w:w="2197"/>
            <w:vAlign w:val="center"/>
          </w:tcPr>
          <w:p>
            <w:pPr>
              <w:spacing w:line="240" w:lineRule="auto"/>
              <w:jc w:val="center"/>
            </w:pPr>
            <w:r>
              <w:rPr>
                <w:rFonts w:ascii="Times New Roman" w:hAnsi="Times New Roman" w:eastAsia="宋体"/>
                <w:b w:val="0"/>
                <w:sz w:val="21"/>
              </w:rPr>
              <w:t>VTK 结果文件</w:t>
            </w:r>
          </w:p>
        </w:tc>
      </w:tr>
    </w:tbl>
    <w:p/>
    <w:p>
      <w:pPr>
        <w:pStyle w:val="3"/>
        <w:spacing w:line="360" w:lineRule="auto" w:before="120" w:after="120"/>
        <w:jc w:val="left"/>
      </w:pPr>
      <w:r>
        <w:rPr>
          <w:rFonts w:ascii="Times New Roman" w:hAnsi="Times New Roman" w:eastAsia="黑体"/>
          <w:b/>
          <w:sz w:val="24"/>
        </w:rPr>
        <w:t>3.2.4 界面设计</w:t>
      </w:r>
    </w:p>
    <w:p>
      <w:pPr>
        <w:spacing w:line="360" w:lineRule="auto" w:after="0"/>
        <w:ind w:firstLine="420"/>
      </w:pPr>
      <w:r>
        <w:rPr>
          <w:rFonts w:ascii="Times New Roman" w:hAnsi="Times New Roman" w:eastAsia="宋体"/>
          <w:sz w:val="24"/>
        </w:rPr>
        <w:t>系统界面提供基础操作入口，主要服务于数据加载、字段选择、参数设置、计算触发和结果导出。界面设计围绕数据预处理流程展开，不参与核心算法计算。</w:t>
      </w:r>
    </w:p>
    <w:p>
      <w:pPr>
        <w:spacing w:line="360" w:lineRule="auto" w:after="0"/>
        <w:ind w:firstLine="420"/>
      </w:pPr>
      <w:r>
        <w:rPr>
          <w:rFonts w:ascii="Times New Roman" w:hAnsi="Times New Roman" w:eastAsia="宋体"/>
          <w:sz w:val="24"/>
        </w:rPr>
        <w:t>界面主要包含数据集列表、数据集摘要、字段关联方式选择、字段选择、梯度计算按钮、数据优化按钮、结果导出按钮和运行日志区域。数据集列表用于管理已加载数据；数据集摘要显示网格类型、点数、单元数和字段信息；字段关联方式和字段选择控件用于确定计算对象；计算按钮触发梯度计算或数据优化；导出按钮用于保存带有新增字段的 VTK 文件；日志区域用于显示加载、计算和导出过程中的运行信息。</w:t>
      </w:r>
    </w:p>
    <w:p>
      <w:pPr>
        <w:spacing w:line="360" w:lineRule="auto" w:after="0"/>
        <w:ind w:firstLine="420"/>
      </w:pPr>
      <w:r>
        <w:rPr>
          <w:rFonts w:ascii="Times New Roman" w:hAnsi="Times New Roman" w:eastAsia="宋体"/>
          <w:sz w:val="24"/>
        </w:rPr>
        <w:t>界面控件与系统功能之间的对应关系如表 3-5 所示。</w:t>
      </w:r>
    </w:p>
    <w:tbl>
      <w:tblPr>
        <w:tblStyle w:val="a6"/>
        <w:tblW w:type="auto" w:w="0"/>
        <w:jc w:val="center"/>
        <w:tblLayout w:type="autofit"/>
        <w:tblLook w:firstColumn="1" w:firstRow="1" w:lastColumn="0" w:lastRow="0" w:noHBand="0" w:noVBand="1" w:val="04A0"/>
      </w:tblPr>
      <w:tblGrid>
        <w:gridCol w:w="4394"/>
        <w:gridCol w:w="4394"/>
      </w:tblGrid>
      <w:tr>
        <w:tc>
          <w:tcPr>
            <w:tcW w:type="dxa" w:w="4394"/>
            <w:vAlign w:val="center"/>
          </w:tcPr>
          <w:p>
            <w:pPr>
              <w:spacing w:line="240" w:lineRule="auto"/>
              <w:jc w:val="center"/>
            </w:pPr>
            <w:r>
              <w:rPr>
                <w:rFonts w:ascii="Times New Roman" w:hAnsi="Times New Roman" w:eastAsia="宋体"/>
                <w:b/>
                <w:sz w:val="21"/>
              </w:rPr>
              <w:t>界面区域</w:t>
            </w:r>
          </w:p>
        </w:tc>
        <w:tc>
          <w:tcPr>
            <w:tcW w:type="dxa" w:w="4394"/>
            <w:vAlign w:val="center"/>
          </w:tcPr>
          <w:p>
            <w:pPr>
              <w:spacing w:line="240" w:lineRule="auto"/>
              <w:jc w:val="center"/>
            </w:pPr>
            <w:r>
              <w:rPr>
                <w:rFonts w:ascii="Times New Roman" w:hAnsi="Times New Roman" w:eastAsia="宋体"/>
                <w:b/>
                <w:sz w:val="21"/>
              </w:rPr>
              <w:t>主要功能</w:t>
            </w:r>
          </w:p>
        </w:tc>
      </w:tr>
      <w:tr>
        <w:tc>
          <w:tcPr>
            <w:tcW w:type="dxa" w:w="4394"/>
            <w:vAlign w:val="center"/>
          </w:tcPr>
          <w:p>
            <w:pPr>
              <w:spacing w:line="240" w:lineRule="auto"/>
              <w:jc w:val="center"/>
            </w:pPr>
            <w:r>
              <w:rPr>
                <w:rFonts w:ascii="Times New Roman" w:hAnsi="Times New Roman" w:eastAsia="宋体"/>
                <w:b w:val="0"/>
                <w:sz w:val="21"/>
              </w:rPr>
              <w:t>数据集列表</w:t>
            </w:r>
          </w:p>
        </w:tc>
        <w:tc>
          <w:tcPr>
            <w:tcW w:type="dxa" w:w="4394"/>
            <w:vAlign w:val="center"/>
          </w:tcPr>
          <w:p>
            <w:pPr>
              <w:spacing w:line="240" w:lineRule="auto"/>
              <w:jc w:val="center"/>
            </w:pPr>
            <w:r>
              <w:rPr>
                <w:rFonts w:ascii="Times New Roman" w:hAnsi="Times New Roman" w:eastAsia="宋体"/>
                <w:b w:val="0"/>
                <w:sz w:val="21"/>
              </w:rPr>
              <w:t>显示已加载数据集，支持选择当前处理对象</w:t>
            </w:r>
          </w:p>
        </w:tc>
      </w:tr>
      <w:tr>
        <w:tc>
          <w:tcPr>
            <w:tcW w:type="dxa" w:w="4394"/>
            <w:vAlign w:val="center"/>
          </w:tcPr>
          <w:p>
            <w:pPr>
              <w:spacing w:line="240" w:lineRule="auto"/>
              <w:jc w:val="center"/>
            </w:pPr>
            <w:r>
              <w:rPr>
                <w:rFonts w:ascii="Times New Roman" w:hAnsi="Times New Roman" w:eastAsia="宋体"/>
                <w:b w:val="0"/>
                <w:sz w:val="21"/>
              </w:rPr>
              <w:t>数据集摘要</w:t>
            </w:r>
          </w:p>
        </w:tc>
        <w:tc>
          <w:tcPr>
            <w:tcW w:type="dxa" w:w="4394"/>
            <w:vAlign w:val="center"/>
          </w:tcPr>
          <w:p>
            <w:pPr>
              <w:spacing w:line="240" w:lineRule="auto"/>
              <w:jc w:val="center"/>
            </w:pPr>
            <w:r>
              <w:rPr>
                <w:rFonts w:ascii="Times New Roman" w:hAnsi="Times New Roman" w:eastAsia="宋体"/>
                <w:b w:val="0"/>
                <w:sz w:val="21"/>
              </w:rPr>
              <w:t>显示网格类型、点数、单元数和字段概况</w:t>
            </w:r>
          </w:p>
        </w:tc>
      </w:tr>
      <w:tr>
        <w:tc>
          <w:tcPr>
            <w:tcW w:type="dxa" w:w="4394"/>
            <w:vAlign w:val="center"/>
          </w:tcPr>
          <w:p>
            <w:pPr>
              <w:spacing w:line="240" w:lineRule="auto"/>
              <w:jc w:val="center"/>
            </w:pPr>
            <w:r>
              <w:rPr>
                <w:rFonts w:ascii="Times New Roman" w:hAnsi="Times New Roman" w:eastAsia="宋体"/>
                <w:b w:val="0"/>
                <w:sz w:val="21"/>
              </w:rPr>
              <w:t>字段选择区域</w:t>
            </w:r>
          </w:p>
        </w:tc>
        <w:tc>
          <w:tcPr>
            <w:tcW w:type="dxa" w:w="4394"/>
            <w:vAlign w:val="center"/>
          </w:tcPr>
          <w:p>
            <w:pPr>
              <w:spacing w:line="240" w:lineRule="auto"/>
              <w:jc w:val="center"/>
            </w:pPr>
            <w:r>
              <w:rPr>
                <w:rFonts w:ascii="Times New Roman" w:hAnsi="Times New Roman" w:eastAsia="宋体"/>
                <w:b w:val="0"/>
                <w:sz w:val="21"/>
              </w:rPr>
              <w:t>选择点数据或单元数据，并选择具体字段</w:t>
            </w:r>
          </w:p>
        </w:tc>
      </w:tr>
      <w:tr>
        <w:tc>
          <w:tcPr>
            <w:tcW w:type="dxa" w:w="4394"/>
            <w:vAlign w:val="center"/>
          </w:tcPr>
          <w:p>
            <w:pPr>
              <w:spacing w:line="240" w:lineRule="auto"/>
              <w:jc w:val="center"/>
            </w:pPr>
            <w:r>
              <w:rPr>
                <w:rFonts w:ascii="Times New Roman" w:hAnsi="Times New Roman" w:eastAsia="宋体"/>
                <w:b w:val="0"/>
                <w:sz w:val="21"/>
              </w:rPr>
              <w:t>操作按钮区域</w:t>
            </w:r>
          </w:p>
        </w:tc>
        <w:tc>
          <w:tcPr>
            <w:tcW w:type="dxa" w:w="4394"/>
            <w:vAlign w:val="center"/>
          </w:tcPr>
          <w:p>
            <w:pPr>
              <w:spacing w:line="240" w:lineRule="auto"/>
              <w:jc w:val="center"/>
            </w:pPr>
            <w:r>
              <w:rPr>
                <w:rFonts w:ascii="Times New Roman" w:hAnsi="Times New Roman" w:eastAsia="宋体"/>
                <w:b w:val="0"/>
                <w:sz w:val="21"/>
              </w:rPr>
              <w:t>触发数据加载、梯度计算、数据优化和结果导出</w:t>
            </w:r>
          </w:p>
        </w:tc>
      </w:tr>
      <w:tr>
        <w:tc>
          <w:tcPr>
            <w:tcW w:type="dxa" w:w="4394"/>
            <w:vAlign w:val="center"/>
          </w:tcPr>
          <w:p>
            <w:pPr>
              <w:spacing w:line="240" w:lineRule="auto"/>
              <w:jc w:val="center"/>
            </w:pPr>
            <w:r>
              <w:rPr>
                <w:rFonts w:ascii="Times New Roman" w:hAnsi="Times New Roman" w:eastAsia="宋体"/>
                <w:b w:val="0"/>
                <w:sz w:val="21"/>
              </w:rPr>
              <w:t>运行日志区域</w:t>
            </w:r>
          </w:p>
        </w:tc>
        <w:tc>
          <w:tcPr>
            <w:tcW w:type="dxa" w:w="4394"/>
            <w:vAlign w:val="center"/>
          </w:tcPr>
          <w:p>
            <w:pPr>
              <w:spacing w:line="240" w:lineRule="auto"/>
              <w:jc w:val="center"/>
            </w:pPr>
            <w:r>
              <w:rPr>
                <w:rFonts w:ascii="Times New Roman" w:hAnsi="Times New Roman" w:eastAsia="宋体"/>
                <w:b w:val="0"/>
                <w:sz w:val="21"/>
              </w:rPr>
              <w:t>显示数据加载、计算执行、耗时记录和导出状态</w:t>
            </w:r>
          </w:p>
        </w:tc>
      </w:tr>
    </w:tbl>
    <w:p/>
    <w:p>
      <w:pPr>
        <w:spacing w:line="360" w:lineRule="auto" w:after="0"/>
        <w:ind w:firstLine="420"/>
      </w:pPr>
      <w:r>
        <w:rPr>
          <w:rFonts w:ascii="Times New Roman" w:hAnsi="Times New Roman" w:eastAsia="宋体"/>
          <w:sz w:val="24"/>
        </w:rPr>
        <w:t>按照上述界面组织方式，用户可依次完成数据加载、字段选择、计算执行和结果导出。系统界面承担交互和调度入口作用，具体数据转换、GPU 计算和结果写回由后端模块完成。</w:t>
      </w:r>
    </w:p>
    <w:p>
      <w:pPr>
        <w:pStyle w:val="3"/>
        <w:spacing w:line="360" w:lineRule="auto" w:before="120" w:after="120"/>
        <w:jc w:val="left"/>
      </w:pPr>
      <w:r>
        <w:rPr>
          <w:rFonts w:ascii="Times New Roman" w:hAnsi="Times New Roman" w:eastAsia="黑体"/>
          <w:b/>
          <w:sz w:val="24"/>
        </w:rPr>
        <w:t>3.2.5 数据结构设计</w:t>
      </w:r>
    </w:p>
    <w:p>
      <w:pPr>
        <w:spacing w:line="360" w:lineRule="auto" w:after="0"/>
        <w:ind w:firstLine="420"/>
      </w:pPr>
      <w:r>
        <w:rPr>
          <w:rFonts w:ascii="Times New Roman" w:hAnsi="Times New Roman" w:eastAsia="宋体"/>
          <w:sz w:val="24"/>
        </w:rPr>
        <w:t>#### 3.2.5.1 统一内部数据对象</w:t>
      </w:r>
    </w:p>
    <w:p>
      <w:pPr>
        <w:spacing w:line="360" w:lineRule="auto" w:after="0"/>
        <w:ind w:firstLine="420"/>
      </w:pPr>
      <w:r>
        <w:rPr>
          <w:rFonts w:ascii="Times New Roman" w:hAnsi="Times New Roman" w:eastAsia="宋体"/>
          <w:sz w:val="24"/>
        </w:rPr>
        <w:t>内部数据对象是算法层依赖的统一数据视图，需要同时满足 CPU 端管理和 GPU 端传输要求。系统采用扁平数组组织方式，将 VTK 对象形式的数据转换为连续数组和偏移数组。</w:t>
      </w:r>
      <w:r>
        <w:rPr>
          <w:rFonts w:ascii="Consolas" w:hAnsi="Consolas" w:eastAsia="Consolas"/>
          <w:sz w:val="24"/>
        </w:rPr>
        <w:t>DataObject</w:t>
      </w:r>
      <w:r>
        <w:rPr>
          <w:rFonts w:ascii="Times New Roman" w:hAnsi="Times New Roman" w:eastAsia="宋体"/>
          <w:sz w:val="24"/>
        </w:rPr>
        <w:t xml:space="preserve"> 的主要数据成员如表 3-6 所示。</w:t>
      </w:r>
    </w:p>
    <w:tbl>
      <w:tblPr>
        <w:tblStyle w:val="a6"/>
        <w:tblW w:type="auto" w:w="0"/>
        <w:jc w:val="center"/>
        <w:tblLayout w:type="autofit"/>
        <w:tblLook w:firstColumn="1" w:firstRow="1" w:lastColumn="0" w:lastRow="0" w:noHBand="0" w:noVBand="1" w:val="04A0"/>
      </w:tblPr>
      <w:tblGrid>
        <w:gridCol w:w="2929"/>
        <w:gridCol w:w="2929"/>
        <w:gridCol w:w="2929"/>
      </w:tblGrid>
      <w:tr>
        <w:tc>
          <w:tcPr>
            <w:tcW w:type="dxa" w:w="2929"/>
            <w:vAlign w:val="center"/>
          </w:tcPr>
          <w:p>
            <w:pPr>
              <w:spacing w:line="240" w:lineRule="auto"/>
              <w:jc w:val="center"/>
            </w:pPr>
            <w:r>
              <w:rPr>
                <w:rFonts w:ascii="Times New Roman" w:hAnsi="Times New Roman" w:eastAsia="宋体"/>
                <w:b/>
                <w:sz w:val="21"/>
              </w:rPr>
              <w:t>数据成员</w:t>
            </w:r>
          </w:p>
        </w:tc>
        <w:tc>
          <w:tcPr>
            <w:tcW w:type="dxa" w:w="2929"/>
            <w:vAlign w:val="center"/>
          </w:tcPr>
          <w:p>
            <w:pPr>
              <w:spacing w:line="240" w:lineRule="auto"/>
              <w:jc w:val="center"/>
            </w:pPr>
            <w:r>
              <w:rPr>
                <w:rFonts w:ascii="Times New Roman" w:hAnsi="Times New Roman" w:eastAsia="宋体"/>
                <w:b/>
                <w:sz w:val="21"/>
              </w:rPr>
              <w:t>含义</w:t>
            </w:r>
          </w:p>
        </w:tc>
        <w:tc>
          <w:tcPr>
            <w:tcW w:type="dxa" w:w="2929"/>
            <w:vAlign w:val="center"/>
          </w:tcPr>
          <w:p>
            <w:pPr>
              <w:spacing w:line="240" w:lineRule="auto"/>
              <w:jc w:val="center"/>
            </w:pPr>
            <w:r>
              <w:rPr>
                <w:rFonts w:ascii="Times New Roman" w:hAnsi="Times New Roman" w:eastAsia="宋体"/>
                <w:b/>
                <w:sz w:val="21"/>
              </w:rPr>
              <w:t>用途</w:t>
            </w:r>
          </w:p>
        </w:tc>
      </w:tr>
      <w:tr>
        <w:tc>
          <w:tcPr>
            <w:tcW w:type="dxa" w:w="2929"/>
            <w:vAlign w:val="center"/>
          </w:tcPr>
          <w:p>
            <w:pPr>
              <w:spacing w:line="240" w:lineRule="auto"/>
              <w:jc w:val="center"/>
            </w:pPr>
            <w:r>
              <w:rPr>
                <w:rFonts w:ascii="Consolas" w:hAnsi="Consolas" w:eastAsia="Consolas"/>
                <w:b w:val="0"/>
                <w:sz w:val="21"/>
              </w:rPr>
              <w:t>points</w:t>
            </w:r>
          </w:p>
        </w:tc>
        <w:tc>
          <w:tcPr>
            <w:tcW w:type="dxa" w:w="2929"/>
            <w:vAlign w:val="center"/>
          </w:tcPr>
          <w:p>
            <w:pPr>
              <w:spacing w:line="240" w:lineRule="auto"/>
              <w:jc w:val="center"/>
            </w:pPr>
            <w:r>
              <w:rPr>
                <w:rFonts w:ascii="Times New Roman" w:hAnsi="Times New Roman" w:eastAsia="宋体"/>
                <w:b w:val="0"/>
                <w:sz w:val="21"/>
              </w:rPr>
              <w:t>点坐标，按三分量连续排列</w:t>
            </w:r>
          </w:p>
        </w:tc>
        <w:tc>
          <w:tcPr>
            <w:tcW w:type="dxa" w:w="2929"/>
            <w:vAlign w:val="center"/>
          </w:tcPr>
          <w:p>
            <w:pPr>
              <w:spacing w:line="240" w:lineRule="auto"/>
              <w:jc w:val="center"/>
            </w:pPr>
            <w:r>
              <w:rPr>
                <w:rFonts w:ascii="Times New Roman" w:hAnsi="Times New Roman" w:eastAsia="宋体"/>
                <w:b w:val="0"/>
                <w:sz w:val="21"/>
              </w:rPr>
              <w:t>点数据计算、几何映射、滤波空间距离</w:t>
            </w:r>
          </w:p>
        </w:tc>
      </w:tr>
      <w:tr>
        <w:tc>
          <w:tcPr>
            <w:tcW w:type="dxa" w:w="2929"/>
            <w:vAlign w:val="center"/>
          </w:tcPr>
          <w:p>
            <w:pPr>
              <w:spacing w:line="240" w:lineRule="auto"/>
              <w:jc w:val="center"/>
            </w:pPr>
            <w:r>
              <w:rPr>
                <w:rFonts w:ascii="Consolas" w:hAnsi="Consolas" w:eastAsia="Consolas"/>
                <w:b w:val="0"/>
                <w:sz w:val="21"/>
              </w:rPr>
              <w:t>cellCenters</w:t>
            </w:r>
          </w:p>
        </w:tc>
        <w:tc>
          <w:tcPr>
            <w:tcW w:type="dxa" w:w="2929"/>
            <w:vAlign w:val="center"/>
          </w:tcPr>
          <w:p>
            <w:pPr>
              <w:spacing w:line="240" w:lineRule="auto"/>
              <w:jc w:val="center"/>
            </w:pPr>
            <w:r>
              <w:rPr>
                <w:rFonts w:ascii="Times New Roman" w:hAnsi="Times New Roman" w:eastAsia="宋体"/>
                <w:b w:val="0"/>
                <w:sz w:val="21"/>
              </w:rPr>
              <w:t>单元中心坐标</w:t>
            </w:r>
          </w:p>
        </w:tc>
        <w:tc>
          <w:tcPr>
            <w:tcW w:type="dxa" w:w="2929"/>
            <w:vAlign w:val="center"/>
          </w:tcPr>
          <w:p>
            <w:pPr>
              <w:spacing w:line="240" w:lineRule="auto"/>
              <w:jc w:val="center"/>
            </w:pPr>
            <w:r>
              <w:rPr>
                <w:rFonts w:ascii="Times New Roman" w:hAnsi="Times New Roman" w:eastAsia="宋体"/>
                <w:b w:val="0"/>
                <w:sz w:val="21"/>
              </w:rPr>
              <w:t>单元数据计算与单元滤波</w:t>
            </w:r>
          </w:p>
        </w:tc>
      </w:tr>
      <w:tr>
        <w:tc>
          <w:tcPr>
            <w:tcW w:type="dxa" w:w="2929"/>
            <w:vAlign w:val="center"/>
          </w:tcPr>
          <w:p>
            <w:pPr>
              <w:spacing w:line="240" w:lineRule="auto"/>
              <w:jc w:val="center"/>
            </w:pPr>
            <w:r>
              <w:rPr>
                <w:rFonts w:ascii="Consolas" w:hAnsi="Consolas" w:eastAsia="Consolas"/>
                <w:b w:val="0"/>
                <w:sz w:val="21"/>
              </w:rPr>
              <w:t>dataArrays</w:t>
            </w:r>
          </w:p>
        </w:tc>
        <w:tc>
          <w:tcPr>
            <w:tcW w:type="dxa" w:w="2929"/>
            <w:vAlign w:val="center"/>
          </w:tcPr>
          <w:p>
            <w:pPr>
              <w:spacing w:line="240" w:lineRule="auto"/>
              <w:jc w:val="center"/>
            </w:pPr>
            <w:r>
              <w:rPr>
                <w:rFonts w:ascii="Times New Roman" w:hAnsi="Times New Roman" w:eastAsia="宋体"/>
                <w:b w:val="0"/>
                <w:sz w:val="21"/>
              </w:rPr>
              <w:t>点数据和单元数据字段数组</w:t>
            </w:r>
          </w:p>
        </w:tc>
        <w:tc>
          <w:tcPr>
            <w:tcW w:type="dxa" w:w="2929"/>
            <w:vAlign w:val="center"/>
          </w:tcPr>
          <w:p>
            <w:pPr>
              <w:spacing w:line="240" w:lineRule="auto"/>
              <w:jc w:val="center"/>
            </w:pPr>
            <w:r>
              <w:rPr>
                <w:rFonts w:ascii="Times New Roman" w:hAnsi="Times New Roman" w:eastAsia="宋体"/>
                <w:b w:val="0"/>
                <w:sz w:val="21"/>
              </w:rPr>
              <w:t>保存原始字段和计算结果</w:t>
            </w:r>
          </w:p>
        </w:tc>
      </w:tr>
      <w:tr>
        <w:tc>
          <w:tcPr>
            <w:tcW w:type="dxa" w:w="2929"/>
            <w:vAlign w:val="center"/>
          </w:tcPr>
          <w:p>
            <w:pPr>
              <w:spacing w:line="240" w:lineRule="auto"/>
              <w:jc w:val="center"/>
            </w:pPr>
            <w:r>
              <w:rPr>
                <w:rFonts w:ascii="Consolas" w:hAnsi="Consolas" w:eastAsia="Consolas"/>
                <w:b w:val="0"/>
                <w:sz w:val="21"/>
              </w:rPr>
              <w:t>cells</w:t>
            </w:r>
            <w:r>
              <w:rPr>
                <w:rFonts w:ascii="Times New Roman" w:hAnsi="Times New Roman" w:eastAsia="宋体"/>
                <w:b w:val="0"/>
                <w:sz w:val="21"/>
              </w:rPr>
              <w:t>、</w:t>
            </w:r>
            <w:r>
              <w:rPr>
                <w:rFonts w:ascii="Consolas" w:hAnsi="Consolas" w:eastAsia="Consolas"/>
                <w:b w:val="0"/>
                <w:sz w:val="21"/>
              </w:rPr>
              <w:t>cellOffsets</w:t>
            </w:r>
          </w:p>
        </w:tc>
        <w:tc>
          <w:tcPr>
            <w:tcW w:type="dxa" w:w="2929"/>
            <w:vAlign w:val="center"/>
          </w:tcPr>
          <w:p>
            <w:pPr>
              <w:spacing w:line="240" w:lineRule="auto"/>
              <w:jc w:val="center"/>
            </w:pPr>
            <w:r>
              <w:rPr>
                <w:rFonts w:ascii="Times New Roman" w:hAnsi="Times New Roman" w:eastAsia="宋体"/>
                <w:b w:val="0"/>
                <w:sz w:val="21"/>
              </w:rPr>
              <w:t>单元连接关系</w:t>
            </w:r>
          </w:p>
        </w:tc>
        <w:tc>
          <w:tcPr>
            <w:tcW w:type="dxa" w:w="2929"/>
            <w:vAlign w:val="center"/>
          </w:tcPr>
          <w:p>
            <w:pPr>
              <w:spacing w:line="240" w:lineRule="auto"/>
              <w:jc w:val="center"/>
            </w:pPr>
            <w:r>
              <w:rPr>
                <w:rFonts w:ascii="Times New Roman" w:hAnsi="Times New Roman" w:eastAsia="宋体"/>
                <w:b w:val="0"/>
                <w:sz w:val="21"/>
              </w:rPr>
              <w:t>非结构化网格梯度计算与拓扑恢复</w:t>
            </w:r>
          </w:p>
        </w:tc>
      </w:tr>
      <w:tr>
        <w:tc>
          <w:tcPr>
            <w:tcW w:type="dxa" w:w="2929"/>
            <w:vAlign w:val="center"/>
          </w:tcPr>
          <w:p>
            <w:pPr>
              <w:spacing w:line="240" w:lineRule="auto"/>
              <w:jc w:val="center"/>
            </w:pPr>
            <w:r>
              <w:rPr>
                <w:rFonts w:ascii="Consolas" w:hAnsi="Consolas" w:eastAsia="Consolas"/>
                <w:b w:val="0"/>
                <w:sz w:val="21"/>
              </w:rPr>
              <w:t>cellTypes</w:t>
            </w:r>
          </w:p>
        </w:tc>
        <w:tc>
          <w:tcPr>
            <w:tcW w:type="dxa" w:w="2929"/>
            <w:vAlign w:val="center"/>
          </w:tcPr>
          <w:p>
            <w:pPr>
              <w:spacing w:line="240" w:lineRule="auto"/>
              <w:jc w:val="center"/>
            </w:pPr>
            <w:r>
              <w:rPr>
                <w:rFonts w:ascii="Times New Roman" w:hAnsi="Times New Roman" w:eastAsia="宋体"/>
                <w:b w:val="0"/>
                <w:sz w:val="21"/>
              </w:rPr>
              <w:t>VTK 单元类型编码</w:t>
            </w:r>
          </w:p>
        </w:tc>
        <w:tc>
          <w:tcPr>
            <w:tcW w:type="dxa" w:w="2929"/>
            <w:vAlign w:val="center"/>
          </w:tcPr>
          <w:p>
            <w:pPr>
              <w:spacing w:line="240" w:lineRule="auto"/>
              <w:jc w:val="center"/>
            </w:pPr>
            <w:r>
              <w:rPr>
                <w:rFonts w:ascii="Times New Roman" w:hAnsi="Times New Roman" w:eastAsia="宋体"/>
                <w:b w:val="0"/>
                <w:sz w:val="21"/>
              </w:rPr>
              <w:t>保留单元类型信息</w:t>
            </w:r>
          </w:p>
        </w:tc>
      </w:tr>
      <w:tr>
        <w:tc>
          <w:tcPr>
            <w:tcW w:type="dxa" w:w="2929"/>
            <w:vAlign w:val="center"/>
          </w:tcPr>
          <w:p>
            <w:pPr>
              <w:spacing w:line="240" w:lineRule="auto"/>
              <w:jc w:val="center"/>
            </w:pPr>
            <w:r>
              <w:rPr>
                <w:rFonts w:ascii="Consolas" w:hAnsi="Consolas" w:eastAsia="Consolas"/>
                <w:b w:val="0"/>
                <w:sz w:val="21"/>
              </w:rPr>
              <w:t>pointNeighbors</w:t>
            </w:r>
            <w:r>
              <w:rPr>
                <w:rFonts w:ascii="Times New Roman" w:hAnsi="Times New Roman" w:eastAsia="宋体"/>
                <w:b w:val="0"/>
                <w:sz w:val="21"/>
              </w:rPr>
              <w:t>、</w:t>
            </w:r>
            <w:r>
              <w:rPr>
                <w:rFonts w:ascii="Consolas" w:hAnsi="Consolas" w:eastAsia="Consolas"/>
                <w:b w:val="0"/>
                <w:sz w:val="21"/>
              </w:rPr>
              <w:t>pointNeighborOffsets</w:t>
            </w:r>
          </w:p>
        </w:tc>
        <w:tc>
          <w:tcPr>
            <w:tcW w:type="dxa" w:w="2929"/>
            <w:vAlign w:val="center"/>
          </w:tcPr>
          <w:p>
            <w:pPr>
              <w:spacing w:line="240" w:lineRule="auto"/>
              <w:jc w:val="center"/>
            </w:pPr>
            <w:r>
              <w:rPr>
                <w:rFonts w:ascii="Times New Roman" w:hAnsi="Times New Roman" w:eastAsia="宋体"/>
                <w:b w:val="0"/>
                <w:sz w:val="21"/>
              </w:rPr>
              <w:t>点邻域 CSR</w:t>
            </w:r>
          </w:p>
        </w:tc>
        <w:tc>
          <w:tcPr>
            <w:tcW w:type="dxa" w:w="2929"/>
            <w:vAlign w:val="center"/>
          </w:tcPr>
          <w:p>
            <w:pPr>
              <w:spacing w:line="240" w:lineRule="auto"/>
              <w:jc w:val="center"/>
            </w:pPr>
            <w:r>
              <w:rPr>
                <w:rFonts w:ascii="Times New Roman" w:hAnsi="Times New Roman" w:eastAsia="宋体"/>
                <w:b w:val="0"/>
                <w:sz w:val="21"/>
              </w:rPr>
              <w:t>点数据优化</w:t>
            </w:r>
          </w:p>
        </w:tc>
      </w:tr>
      <w:tr>
        <w:tc>
          <w:tcPr>
            <w:tcW w:type="dxa" w:w="2929"/>
            <w:vAlign w:val="center"/>
          </w:tcPr>
          <w:p>
            <w:pPr>
              <w:spacing w:line="240" w:lineRule="auto"/>
              <w:jc w:val="center"/>
            </w:pPr>
            <w:r>
              <w:rPr>
                <w:rFonts w:ascii="Consolas" w:hAnsi="Consolas" w:eastAsia="Consolas"/>
                <w:b w:val="0"/>
                <w:sz w:val="21"/>
              </w:rPr>
              <w:t>cellNeighbors</w:t>
            </w:r>
            <w:r>
              <w:rPr>
                <w:rFonts w:ascii="Times New Roman" w:hAnsi="Times New Roman" w:eastAsia="宋体"/>
                <w:b w:val="0"/>
                <w:sz w:val="21"/>
              </w:rPr>
              <w:t>、</w:t>
            </w:r>
            <w:r>
              <w:rPr>
                <w:rFonts w:ascii="Consolas" w:hAnsi="Consolas" w:eastAsia="Consolas"/>
                <w:b w:val="0"/>
                <w:sz w:val="21"/>
              </w:rPr>
              <w:t>cellNeighborsOffsets</w:t>
            </w:r>
          </w:p>
        </w:tc>
        <w:tc>
          <w:tcPr>
            <w:tcW w:type="dxa" w:w="2929"/>
            <w:vAlign w:val="center"/>
          </w:tcPr>
          <w:p>
            <w:pPr>
              <w:spacing w:line="240" w:lineRule="auto"/>
              <w:jc w:val="center"/>
            </w:pPr>
            <w:r>
              <w:rPr>
                <w:rFonts w:ascii="Times New Roman" w:hAnsi="Times New Roman" w:eastAsia="宋体"/>
                <w:b w:val="0"/>
                <w:sz w:val="21"/>
              </w:rPr>
              <w:t>单元邻域 CSR</w:t>
            </w:r>
          </w:p>
        </w:tc>
        <w:tc>
          <w:tcPr>
            <w:tcW w:type="dxa" w:w="2929"/>
            <w:vAlign w:val="center"/>
          </w:tcPr>
          <w:p>
            <w:pPr>
              <w:spacing w:line="240" w:lineRule="auto"/>
              <w:jc w:val="center"/>
            </w:pPr>
            <w:r>
              <w:rPr>
                <w:rFonts w:ascii="Times New Roman" w:hAnsi="Times New Roman" w:eastAsia="宋体"/>
                <w:b w:val="0"/>
                <w:sz w:val="21"/>
              </w:rPr>
              <w:t>单元数据优化</w:t>
            </w:r>
          </w:p>
        </w:tc>
      </w:tr>
      <w:tr>
        <w:tc>
          <w:tcPr>
            <w:tcW w:type="dxa" w:w="2929"/>
            <w:vAlign w:val="center"/>
          </w:tcPr>
          <w:p>
            <w:pPr>
              <w:spacing w:line="240" w:lineRule="auto"/>
              <w:jc w:val="center"/>
            </w:pPr>
            <w:r>
              <w:rPr>
                <w:rFonts w:ascii="Consolas" w:hAnsi="Consolas" w:eastAsia="Consolas"/>
                <w:b w:val="0"/>
                <w:sz w:val="21"/>
              </w:rPr>
              <w:t>pointInCellNeighbors</w:t>
            </w:r>
            <w:r>
              <w:rPr>
                <w:rFonts w:ascii="Times New Roman" w:hAnsi="Times New Roman" w:eastAsia="宋体"/>
                <w:b w:val="0"/>
                <w:sz w:val="21"/>
              </w:rPr>
              <w:t>、</w:t>
            </w:r>
            <w:r>
              <w:rPr>
                <w:rFonts w:ascii="Consolas" w:hAnsi="Consolas" w:eastAsia="Consolas"/>
                <w:b w:val="0"/>
                <w:sz w:val="21"/>
              </w:rPr>
              <w:t>pointInCellNeighborOffsets</w:t>
            </w:r>
          </w:p>
        </w:tc>
        <w:tc>
          <w:tcPr>
            <w:tcW w:type="dxa" w:w="2929"/>
            <w:vAlign w:val="center"/>
          </w:tcPr>
          <w:p>
            <w:pPr>
              <w:spacing w:line="240" w:lineRule="auto"/>
              <w:jc w:val="center"/>
            </w:pPr>
            <w:r>
              <w:rPr>
                <w:rFonts w:ascii="Times New Roman" w:hAnsi="Times New Roman" w:eastAsia="宋体"/>
                <w:b w:val="0"/>
                <w:sz w:val="21"/>
              </w:rPr>
              <w:t>点所属单元关系</w:t>
            </w:r>
          </w:p>
        </w:tc>
        <w:tc>
          <w:tcPr>
            <w:tcW w:type="dxa" w:w="2929"/>
            <w:vAlign w:val="center"/>
          </w:tcPr>
          <w:p>
            <w:pPr>
              <w:spacing w:line="240" w:lineRule="auto"/>
              <w:jc w:val="center"/>
            </w:pPr>
            <w:r>
              <w:rPr>
                <w:rFonts w:ascii="Times New Roman" w:hAnsi="Times New Roman" w:eastAsia="宋体"/>
                <w:b w:val="0"/>
                <w:sz w:val="21"/>
              </w:rPr>
              <w:t>非结构化点数据梯度和单元场提升</w:t>
            </w:r>
          </w:p>
        </w:tc>
      </w:tr>
      <w:tr>
        <w:tc>
          <w:tcPr>
            <w:tcW w:type="dxa" w:w="2929"/>
            <w:vAlign w:val="center"/>
          </w:tcPr>
          <w:p>
            <w:pPr>
              <w:spacing w:line="240" w:lineRule="auto"/>
              <w:jc w:val="center"/>
            </w:pPr>
            <w:r>
              <w:rPr>
                <w:rFonts w:ascii="Consolas" w:hAnsi="Consolas" w:eastAsia="Consolas"/>
                <w:b w:val="0"/>
                <w:sz w:val="21"/>
              </w:rPr>
              <w:t>dimensions</w:t>
            </w:r>
          </w:p>
        </w:tc>
        <w:tc>
          <w:tcPr>
            <w:tcW w:type="dxa" w:w="2929"/>
            <w:vAlign w:val="center"/>
          </w:tcPr>
          <w:p>
            <w:pPr>
              <w:spacing w:line="240" w:lineRule="auto"/>
              <w:jc w:val="center"/>
            </w:pPr>
            <w:r>
              <w:rPr>
                <w:rFonts w:ascii="Times New Roman" w:hAnsi="Times New Roman" w:eastAsia="宋体"/>
                <w:b w:val="0"/>
                <w:sz w:val="21"/>
              </w:rPr>
              <w:t>结构化网格维度</w:t>
            </w:r>
          </w:p>
        </w:tc>
        <w:tc>
          <w:tcPr>
            <w:tcW w:type="dxa" w:w="2929"/>
            <w:vAlign w:val="center"/>
          </w:tcPr>
          <w:p>
            <w:pPr>
              <w:spacing w:line="240" w:lineRule="auto"/>
              <w:jc w:val="center"/>
            </w:pPr>
            <w:r>
              <w:rPr>
                <w:rFonts w:ascii="Times New Roman" w:hAnsi="Times New Roman" w:eastAsia="宋体"/>
                <w:b w:val="0"/>
                <w:sz w:val="21"/>
              </w:rPr>
              <w:t>结构化网格索引恢复与差分计算</w:t>
            </w:r>
          </w:p>
        </w:tc>
      </w:tr>
    </w:tbl>
    <w:p/>
    <w:p>
      <w:pPr>
        <w:spacing w:line="360" w:lineRule="auto" w:after="0"/>
        <w:ind w:firstLine="420"/>
      </w:pPr>
      <w:r>
        <w:rPr>
          <w:rFonts w:ascii="Times New Roman" w:hAnsi="Times New Roman" w:eastAsia="宋体"/>
          <w:sz w:val="24"/>
        </w:rPr>
        <w:t>这种数据结构将 VTK 的对象形式数据转换为算法层可访问的连续数组，使不同算法可以复用同一套基础数据。字段数组保留字段名称、分量数和关联方式，用于支持字段查询、结果追踪和正确导出。对于 GPU 计算而言，连续数组更适合上传到 SSBO 中，有助于降低 GPU 端数据访问复杂度。</w:t>
      </w:r>
    </w:p>
    <w:p>
      <w:pPr>
        <w:spacing w:line="360" w:lineRule="auto" w:after="0"/>
        <w:ind w:firstLine="420"/>
      </w:pPr>
      <w:r>
        <w:rPr>
          <w:rFonts w:ascii="Times New Roman" w:hAnsi="Times New Roman" w:eastAsia="宋体"/>
          <w:sz w:val="24"/>
        </w:rPr>
        <w:t>#### 3.2.5.2 结构化网格数据组织</w:t>
      </w:r>
    </w:p>
    <w:p>
      <w:pPr>
        <w:spacing w:line="360" w:lineRule="auto" w:after="0"/>
        <w:ind w:firstLine="420"/>
      </w:pPr>
      <w:r>
        <w:rPr>
          <w:rFonts w:ascii="Times New Roman" w:hAnsi="Times New Roman" w:eastAsia="宋体"/>
          <w:sz w:val="24"/>
        </w:rPr>
        <w:t xml:space="preserve">结构化网格的关键数据是维度 </w:t>
      </w:r>
      <m:oMath>
        <m:r>
          <m:t>(</m:t>
        </m:r>
        <m:sSub>
          <m:e>
            <m:r>
              <m:t>n</m:t>
            </m:r>
          </m:e>
          <m:sub>
            <m:r>
              <m:t>x</m:t>
            </m:r>
          </m:sub>
        </m:sSub>
        <m:r>
          <m:t>,</m:t>
        </m:r>
        <m:sSub>
          <m:e>
            <m:r>
              <m:t>n</m:t>
            </m:r>
          </m:e>
          <m:sub>
            <m:r>
              <m:t>y</m:t>
            </m:r>
          </m:sub>
        </m:sSub>
        <m:r>
          <m:t>,</m:t>
        </m:r>
        <m:sSub>
          <m:e>
            <m:r>
              <m:t>n</m:t>
            </m:r>
          </m:e>
          <m:sub>
            <m:r>
              <m:t>z</m:t>
            </m:r>
          </m:sub>
        </m:sSub>
        <m:r>
          <m:t>)</m:t>
        </m:r>
      </m:oMath>
      <w:r>
        <w:rPr>
          <w:rFonts w:ascii="Times New Roman" w:hAnsi="Times New Roman" w:eastAsia="宋体"/>
          <w:sz w:val="24"/>
        </w:rPr>
        <w:t>。对于点数据，采样对象数量为</w:t>
      </w:r>
    </w:p>
    <w:p>
      <w:pPr>
        <w:spacing w:line="240" w:lineRule="auto" w:before="80" w:after="80"/>
        <w:ind w:firstLine="0"/>
        <w:jc w:val="center"/>
      </w:pPr>
      <m:oMath>
        <m:sSub>
          <m:e>
            <m:r>
              <m:t>n</m:t>
            </m:r>
          </m:e>
          <m:sub>
            <m:r>
              <m:t>p</m:t>
            </m:r>
          </m:sub>
        </m:sSub>
        <m:r>
          <m:t>=</m:t>
        </m:r>
        <m:sSub>
          <m:e>
            <m:r>
              <m:t>n</m:t>
            </m:r>
          </m:e>
          <m:sub>
            <m:r>
              <m:t>x</m:t>
            </m:r>
          </m:sub>
        </m:sSub>
        <m:sSub>
          <m:e>
            <m:r>
              <m:t>n</m:t>
            </m:r>
          </m:e>
          <m:sub>
            <m:r>
              <m:t>y</m:t>
            </m:r>
          </m:sub>
        </m:sSub>
        <m:sSub>
          <m:e>
            <m:r>
              <m:t>n</m:t>
            </m:r>
          </m:e>
          <m:sub>
            <m:r>
              <m:t>z</m:t>
            </m:r>
          </m:sub>
        </m:sSub>
        <m:r>
          <m:t>.</m:t>
        </m:r>
      </m:oMath>
    </w:p>
    <w:p>
      <w:pPr>
        <w:spacing w:line="360" w:lineRule="auto" w:after="0"/>
        <w:ind w:firstLine="420"/>
      </w:pPr>
      <w:r>
        <w:rPr>
          <w:rFonts w:ascii="Times New Roman" w:hAnsi="Times New Roman" w:eastAsia="宋体"/>
          <w:sz w:val="24"/>
        </w:rPr>
        <w:t>对于结构化体单元，单元数据的采样对象数量为</w:t>
      </w:r>
    </w:p>
    <w:p>
      <w:pPr>
        <w:spacing w:line="240" w:lineRule="auto" w:before="80" w:after="80"/>
        <w:ind w:firstLine="0"/>
        <w:jc w:val="center"/>
      </w:pPr>
      <m:oMath>
        <m:sSub>
          <m:e>
            <m:r>
              <m:t>n</m:t>
            </m:r>
          </m:e>
          <m:sub>
            <m:r>
              <m:t>c</m:t>
            </m:r>
          </m:sub>
        </m:sSub>
        <m:r>
          <m:t>=</m:t>
        </m:r>
        <m:r>
          <m:t>(</m:t>
        </m:r>
        <m:sSub>
          <m:e>
            <m:r>
              <m:t>n</m:t>
            </m:r>
          </m:e>
          <m:sub>
            <m:r>
              <m:t>x</m:t>
            </m:r>
          </m:sub>
        </m:sSub>
        <m:r>
          <m:t>−</m:t>
        </m:r>
        <m:r>
          <m:t>1</m:t>
        </m:r>
        <m:r>
          <m:t>)</m:t>
        </m:r>
        <m:r>
          <m:t>(</m:t>
        </m:r>
        <m:sSub>
          <m:e>
            <m:r>
              <m:t>n</m:t>
            </m:r>
          </m:e>
          <m:sub>
            <m:r>
              <m:t>y</m:t>
            </m:r>
          </m:sub>
        </m:sSub>
        <m:r>
          <m:t>−</m:t>
        </m:r>
        <m:r>
          <m:t>1</m:t>
        </m:r>
        <m:r>
          <m:t>)</m:t>
        </m:r>
        <m:r>
          <m:t>(</m:t>
        </m:r>
        <m:sSub>
          <m:e>
            <m:r>
              <m:t>n</m:t>
            </m:r>
          </m:e>
          <m:sub>
            <m:r>
              <m:t>z</m:t>
            </m:r>
          </m:sub>
        </m:sSub>
        <m:r>
          <m:t>−</m:t>
        </m:r>
        <m:r>
          <m:t>1</m:t>
        </m:r>
        <m:r>
          <m:t>)</m:t>
        </m:r>
        <m:r>
          <m:t>.</m:t>
        </m:r>
      </m:oMath>
    </w:p>
    <w:p>
      <w:pPr>
        <w:spacing w:line="360" w:lineRule="auto" w:after="0"/>
        <w:ind w:firstLine="420"/>
      </w:pPr>
      <w:r>
        <w:rPr>
          <w:rFonts w:ascii="Times New Roman" w:hAnsi="Times New Roman" w:eastAsia="宋体"/>
          <w:sz w:val="24"/>
        </w:rPr>
        <w:t>结构化网格的梯度邻域可由逻辑索引隐式恢复。线性索引与三维逻辑索引之间的映射为</w:t>
      </w:r>
    </w:p>
    <w:p>
      <w:pPr>
        <w:spacing w:line="240" w:lineRule="auto" w:before="80" w:after="80"/>
        <w:ind w:firstLine="0"/>
        <w:jc w:val="center"/>
      </w:pPr>
      <m:oMath>
        <m:r>
          <m:t>i</m:t>
        </m:r>
        <m:r>
          <m:t>=</m:t>
        </m:r>
        <m:sSub>
          <m:e>
            <m:r>
              <m:t>i</m:t>
            </m:r>
          </m:e>
          <m:sub>
            <m:r>
              <m:t>x</m:t>
            </m:r>
          </m:sub>
        </m:sSub>
        <m:r>
          <m:t>+</m:t>
        </m:r>
        <m:sSub>
          <m:e>
            <m:r>
              <m:t>n</m:t>
            </m:r>
          </m:e>
          <m:sub>
            <m:r>
              <m:t>x</m:t>
            </m:r>
          </m:sub>
        </m:sSub>
        <m:r>
          <m:t>(</m:t>
        </m:r>
        <m:sSub>
          <m:e>
            <m:r>
              <m:t>i</m:t>
            </m:r>
          </m:e>
          <m:sub>
            <m:r>
              <m:t>y</m:t>
            </m:r>
          </m:sub>
        </m:sSub>
        <m:r>
          <m:t>+</m:t>
        </m:r>
        <m:sSub>
          <m:e>
            <m:r>
              <m:t>n</m:t>
            </m:r>
          </m:e>
          <m:sub>
            <m:r>
              <m:t>y</m:t>
            </m:r>
          </m:sub>
        </m:sSub>
        <m:sSub>
          <m:e>
            <m:r>
              <m:t>i</m:t>
            </m:r>
          </m:e>
          <m:sub>
            <m:r>
              <m:t>z</m:t>
            </m:r>
          </m:sub>
        </m:sSub>
        <m:r>
          <m:t>)</m:t>
        </m:r>
        <m:r>
          <m:t>.</m:t>
        </m:r>
      </m:oMath>
    </w:p>
    <w:p>
      <w:pPr>
        <w:spacing w:line="360" w:lineRule="auto" w:after="0"/>
        <w:ind w:firstLine="420"/>
      </w:pPr>
      <w:r>
        <w:rPr>
          <w:rFonts w:ascii="Times New Roman" w:hAnsi="Times New Roman" w:eastAsia="宋体"/>
          <w:sz w:val="24"/>
        </w:rPr>
        <w:t>上述索引关系适合有限差分计算。对于数据优化模块，系统可根据网格维度构建 6 邻域 CSR 图，从而与非结构化网格滤波接口保持一致。</w:t>
      </w:r>
    </w:p>
    <w:p>
      <w:pPr>
        <w:spacing w:line="360" w:lineRule="auto" w:after="0"/>
        <w:ind w:firstLine="420"/>
      </w:pPr>
      <w:r>
        <w:rPr>
          <w:rFonts w:ascii="Times New Roman" w:hAnsi="Times New Roman" w:eastAsia="宋体"/>
          <w:sz w:val="24"/>
        </w:rPr>
        <w:t>结构化网格的特点是拓扑关系可由索引隐式表示，因此不需要为梯度计算保存完整邻接表。有限差分计算只需根据当前采样对象的逻辑坐标访问前后相邻点或相邻单元。对于滤波计算，显式构建 6 邻域图有助于统一结构化网格和非结构化网格的数据优化接口。</w:t>
      </w:r>
    </w:p>
    <w:p>
      <w:pPr>
        <w:spacing w:line="360" w:lineRule="auto" w:after="0"/>
        <w:ind w:firstLine="420"/>
      </w:pPr>
      <w:r>
        <w:rPr>
          <w:rFonts w:ascii="Times New Roman" w:hAnsi="Times New Roman" w:eastAsia="宋体"/>
          <w:sz w:val="24"/>
        </w:rPr>
        <w:t>#### 3.2.5.3 非结构化网格数据组织</w:t>
      </w:r>
    </w:p>
    <w:p>
      <w:pPr>
        <w:spacing w:line="360" w:lineRule="auto" w:after="0"/>
        <w:ind w:firstLine="420"/>
      </w:pPr>
      <w:r>
        <w:rPr>
          <w:rFonts w:ascii="Times New Roman" w:hAnsi="Times New Roman" w:eastAsia="宋体"/>
          <w:sz w:val="24"/>
        </w:rPr>
        <w:t xml:space="preserve">非结构化网格通过显式单元连接描述拓扑。每个单元 </w:t>
      </w:r>
      <m:oMath>
        <m:sSub>
          <m:e>
            <m:r>
              <m:t>c</m:t>
            </m:r>
          </m:e>
          <m:sub>
            <m:r>
              <m:t>e</m:t>
            </m:r>
          </m:sub>
        </m:sSub>
      </m:oMath>
      <w:r>
        <w:rPr>
          <w:rFonts w:ascii="Times New Roman" w:hAnsi="Times New Roman" w:eastAsia="宋体"/>
          <w:sz w:val="24"/>
        </w:rPr>
        <w:t xml:space="preserve"> 存储其节点索引序列，</w:t>
      </w:r>
      <w:r>
        <w:rPr>
          <w:rFonts w:ascii="Consolas" w:hAnsi="Consolas" w:eastAsia="Consolas"/>
          <w:sz w:val="24"/>
        </w:rPr>
        <w:t>cellOffsets</w:t>
      </w:r>
      <w:r>
        <w:rPr>
          <w:rFonts w:ascii="Times New Roman" w:hAnsi="Times New Roman" w:eastAsia="宋体"/>
          <w:sz w:val="24"/>
        </w:rPr>
        <w:t xml:space="preserve"> 用于定位不同单元在 </w:t>
      </w:r>
      <w:r>
        <w:rPr>
          <w:rFonts w:ascii="Consolas" w:hAnsi="Consolas" w:eastAsia="Consolas"/>
          <w:sz w:val="24"/>
        </w:rPr>
        <w:t>cells</w:t>
      </w:r>
      <w:r>
        <w:rPr>
          <w:rFonts w:ascii="Times New Roman" w:hAnsi="Times New Roman" w:eastAsia="宋体"/>
          <w:sz w:val="24"/>
        </w:rPr>
        <w:t xml:space="preserve"> 数组中的起止位置。单元类型由 </w:t>
      </w:r>
      <w:r>
        <w:rPr>
          <w:rFonts w:ascii="Consolas" w:hAnsi="Consolas" w:eastAsia="Consolas"/>
          <w:sz w:val="24"/>
        </w:rPr>
        <w:t>cellTypes</w:t>
      </w:r>
      <w:r>
        <w:rPr>
          <w:rFonts w:ascii="Times New Roman" w:hAnsi="Times New Roman" w:eastAsia="宋体"/>
          <w:sz w:val="24"/>
        </w:rPr>
        <w:t xml:space="preserve"> 保存，用于保留原始 VTK 数据中的单元语义。</w:t>
      </w:r>
    </w:p>
    <w:p>
      <w:pPr>
        <w:spacing w:line="360" w:lineRule="auto" w:after="0"/>
        <w:ind w:firstLine="420"/>
      </w:pPr>
      <w:r>
        <w:rPr>
          <w:rFonts w:ascii="Times New Roman" w:hAnsi="Times New Roman" w:eastAsia="宋体"/>
          <w:sz w:val="24"/>
        </w:rPr>
        <w:t xml:space="preserve">非结构化网格还需要构建点-单元关系。对于第 </w:t>
      </w:r>
      <m:oMath>
        <m:r>
          <m:t>i</m:t>
        </m:r>
      </m:oMath>
      <w:r>
        <w:rPr>
          <w:rFonts w:ascii="Times New Roman" w:hAnsi="Times New Roman" w:eastAsia="宋体"/>
          <w:sz w:val="24"/>
        </w:rPr>
        <w:t xml:space="preserve"> 个点，其关联单元集合可写为</w:t>
      </w:r>
    </w:p>
    <w:p>
      <w:pPr>
        <w:spacing w:line="240" w:lineRule="auto" w:before="80" w:after="80"/>
        <w:ind w:firstLine="0"/>
        <w:jc w:val="center"/>
      </w:pPr>
      <m:oMath>
        <m:sSub>
          <m:e>
            <m:r>
              <m:t>C</m:t>
            </m:r>
          </m:e>
          <m:sub>
            <m:r>
              <m:t>i</m:t>
            </m:r>
          </m:sub>
        </m:sSub>
        <m:r>
          <m:t>=</m:t>
        </m:r>
        <m:r>
          <m:t>{</m:t>
        </m:r>
        <m:r>
          <m:t>e</m:t>
        </m:r>
        <m:r>
          <m:t>|</m:t>
        </m:r>
        <m:r>
          <m:t>i</m:t>
        </m:r>
        <m:r>
          <m:t>∈</m:t>
        </m:r>
        <m:sSub>
          <m:e>
            <m:r>
              <m:t>c</m:t>
            </m:r>
          </m:e>
          <m:sub>
            <m:r>
              <m:t>e</m:t>
            </m:r>
          </m:sub>
        </m:sSub>
        <m:r>
          <m:t>}</m:t>
        </m:r>
        <m:r>
          <m:t>.</m:t>
        </m:r>
      </m:oMath>
    </w:p>
    <w:p>
      <w:pPr>
        <w:spacing w:line="360" w:lineRule="auto" w:after="0"/>
        <w:ind w:firstLine="420"/>
      </w:pPr>
      <w:r>
        <w:rPr>
          <w:rFonts w:ascii="Times New Roman" w:hAnsi="Times New Roman" w:eastAsia="宋体"/>
          <w:sz w:val="24"/>
        </w:rPr>
        <w:t>该集合用于非结构化点数据梯度计算，也可为单元场提升提供拓扑依据。点邻域和单元邻域则主要用于数据优化模块。</w:t>
      </w:r>
    </w:p>
    <w:p>
      <w:pPr>
        <w:spacing w:line="360" w:lineRule="auto" w:after="0"/>
        <w:ind w:firstLine="420"/>
      </w:pPr>
      <w:r>
        <w:rPr>
          <w:rFonts w:ascii="Times New Roman" w:hAnsi="Times New Roman" w:eastAsia="宋体"/>
          <w:sz w:val="24"/>
        </w:rPr>
        <w:t>与结构化网格相比，非结构化网格缺少固定逻辑索引，拓扑信息必须由单元连接显式表达。</w:t>
      </w:r>
      <w:r>
        <w:rPr>
          <w:rFonts w:ascii="Consolas" w:hAnsi="Consolas" w:eastAsia="Consolas"/>
          <w:sz w:val="24"/>
        </w:rPr>
        <w:t>cells</w:t>
      </w:r>
      <w:r>
        <w:rPr>
          <w:rFonts w:ascii="Times New Roman" w:hAnsi="Times New Roman" w:eastAsia="宋体"/>
          <w:sz w:val="24"/>
        </w:rPr>
        <w:t xml:space="preserve"> 数组保存所有单元节点编号，</w:t>
      </w:r>
      <w:r>
        <w:rPr>
          <w:rFonts w:ascii="Consolas" w:hAnsi="Consolas" w:eastAsia="Consolas"/>
          <w:sz w:val="24"/>
        </w:rPr>
        <w:t>cellOffsets</w:t>
      </w:r>
      <w:r>
        <w:rPr>
          <w:rFonts w:ascii="Times New Roman" w:hAnsi="Times New Roman" w:eastAsia="宋体"/>
          <w:sz w:val="24"/>
        </w:rPr>
        <w:t xml:space="preserve"> 数组保存每个单元在连接数组中的起止位置，两者配合可以表示不同节点数的单元。该结构既能保留 VTK 网格的拓扑语义，也便于后续计算模块按单元读取局部节点信息。</w:t>
      </w:r>
    </w:p>
    <w:p>
      <w:pPr>
        <w:spacing w:line="360" w:lineRule="auto" w:after="0"/>
        <w:ind w:firstLine="420"/>
      </w:pPr>
      <w:r>
        <w:rPr>
          <w:rFonts w:ascii="Times New Roman" w:hAnsi="Times New Roman" w:eastAsia="宋体"/>
          <w:sz w:val="24"/>
        </w:rPr>
        <w:t>#### 3.2.5.4 邻域结构设计</w:t>
      </w:r>
    </w:p>
    <w:p>
      <w:pPr>
        <w:spacing w:line="360" w:lineRule="auto" w:after="0"/>
        <w:ind w:firstLine="420"/>
      </w:pPr>
      <w:r>
        <w:rPr>
          <w:rFonts w:ascii="Times New Roman" w:hAnsi="Times New Roman" w:eastAsia="宋体"/>
          <w:sz w:val="24"/>
        </w:rPr>
        <w:t>不同功能对邻域的使用方式不同。结构化网格梯度计算使用由维度隐式确定的差分邻域；非结构化点数据梯度使用点所属单元集合；非结构化单元数据梯度可借助点-单元关系进行场量重构；数据优化模块则使用点邻域或单元邻域执行双边滤波。不同数据类型对应的邻域使用方式如表 3-7 所示。</w:t>
      </w:r>
    </w:p>
    <w:tbl>
      <w:tblPr>
        <w:tblStyle w:val="a6"/>
        <w:tblW w:type="auto" w:w="0"/>
        <w:jc w:val="center"/>
        <w:tblLayout w:type="autofit"/>
        <w:tblLook w:firstColumn="1" w:firstRow="1" w:lastColumn="0" w:lastRow="0" w:noHBand="0" w:noVBand="1" w:val="04A0"/>
      </w:tblPr>
      <w:tblGrid>
        <w:gridCol w:w="2929"/>
        <w:gridCol w:w="2929"/>
        <w:gridCol w:w="2929"/>
      </w:tblGrid>
      <w:tr>
        <w:tc>
          <w:tcPr>
            <w:tcW w:type="dxa" w:w="2929"/>
            <w:vAlign w:val="center"/>
          </w:tcPr>
          <w:p>
            <w:pPr>
              <w:spacing w:line="240" w:lineRule="auto"/>
              <w:jc w:val="center"/>
            </w:pPr>
            <w:r>
              <w:rPr>
                <w:rFonts w:ascii="Times New Roman" w:hAnsi="Times New Roman" w:eastAsia="宋体"/>
                <w:b/>
                <w:sz w:val="21"/>
              </w:rPr>
              <w:t>数据类型</w:t>
            </w:r>
          </w:p>
        </w:tc>
        <w:tc>
          <w:tcPr>
            <w:tcW w:type="dxa" w:w="2929"/>
            <w:vAlign w:val="center"/>
          </w:tcPr>
          <w:p>
            <w:pPr>
              <w:spacing w:line="240" w:lineRule="auto"/>
              <w:jc w:val="center"/>
            </w:pPr>
            <w:r>
              <w:rPr>
                <w:rFonts w:ascii="Times New Roman" w:hAnsi="Times New Roman" w:eastAsia="宋体"/>
                <w:b/>
                <w:sz w:val="21"/>
              </w:rPr>
              <w:t>梯度计算中的邻域</w:t>
            </w:r>
          </w:p>
        </w:tc>
        <w:tc>
          <w:tcPr>
            <w:tcW w:type="dxa" w:w="2929"/>
            <w:vAlign w:val="center"/>
          </w:tcPr>
          <w:p>
            <w:pPr>
              <w:spacing w:line="240" w:lineRule="auto"/>
              <w:jc w:val="center"/>
            </w:pPr>
            <w:r>
              <w:rPr>
                <w:rFonts w:ascii="Times New Roman" w:hAnsi="Times New Roman" w:eastAsia="宋体"/>
                <w:b/>
                <w:sz w:val="21"/>
              </w:rPr>
              <w:t>数据优化中的邻域</w:t>
            </w:r>
          </w:p>
        </w:tc>
      </w:tr>
      <w:tr>
        <w:tc>
          <w:tcPr>
            <w:tcW w:type="dxa" w:w="2929"/>
            <w:vAlign w:val="center"/>
          </w:tcPr>
          <w:p>
            <w:pPr>
              <w:spacing w:line="240" w:lineRule="auto"/>
              <w:jc w:val="center"/>
            </w:pPr>
            <w:r>
              <w:rPr>
                <w:rFonts w:ascii="Times New Roman" w:hAnsi="Times New Roman" w:eastAsia="宋体"/>
                <w:b w:val="0"/>
                <w:sz w:val="21"/>
              </w:rPr>
              <w:t>结构化网格点数据</w:t>
            </w:r>
          </w:p>
        </w:tc>
        <w:tc>
          <w:tcPr>
            <w:tcW w:type="dxa" w:w="2929"/>
            <w:vAlign w:val="center"/>
          </w:tcPr>
          <w:p>
            <w:pPr>
              <w:spacing w:line="240" w:lineRule="auto"/>
              <w:jc w:val="center"/>
            </w:pPr>
            <w:r>
              <w:rPr>
                <w:rFonts w:ascii="Times New Roman" w:hAnsi="Times New Roman" w:eastAsia="宋体"/>
                <w:b w:val="0"/>
                <w:sz w:val="21"/>
              </w:rPr>
              <w:t xml:space="preserve">根据 </w:t>
            </w:r>
            <m:oMath>
              <m:r>
                <m:t>(</m:t>
              </m:r>
              <m:sSub>
                <m:e>
                  <m:r>
                    <m:t>n</m:t>
                  </m:r>
                </m:e>
                <m:sub>
                  <m:r>
                    <m:t>x</m:t>
                  </m:r>
                </m:sub>
              </m:sSub>
              <m:r>
                <m:t>,</m:t>
              </m:r>
              <m:sSub>
                <m:e>
                  <m:r>
                    <m:t>n</m:t>
                  </m:r>
                </m:e>
                <m:sub>
                  <m:r>
                    <m:t>y</m:t>
                  </m:r>
                </m:sub>
              </m:sSub>
              <m:r>
                <m:t>,</m:t>
              </m:r>
              <m:sSub>
                <m:e>
                  <m:r>
                    <m:t>n</m:t>
                  </m:r>
                </m:e>
                <m:sub>
                  <m:r>
                    <m:t>z</m:t>
                  </m:r>
                </m:sub>
              </m:sSub>
              <m:r>
                <m:t>)</m:t>
              </m:r>
            </m:oMath>
            <w:r>
              <w:rPr>
                <w:rFonts w:ascii="Times New Roman" w:hAnsi="Times New Roman" w:eastAsia="宋体"/>
                <w:b w:val="0"/>
                <w:sz w:val="21"/>
              </w:rPr>
              <w:t xml:space="preserve"> 隐式访问相邻点</w:t>
            </w:r>
          </w:p>
        </w:tc>
        <w:tc>
          <w:tcPr>
            <w:tcW w:type="dxa" w:w="2929"/>
            <w:vAlign w:val="center"/>
          </w:tcPr>
          <w:p>
            <w:pPr>
              <w:spacing w:line="240" w:lineRule="auto"/>
              <w:jc w:val="center"/>
            </w:pPr>
            <w:r>
              <w:rPr>
                <w:rFonts w:ascii="Times New Roman" w:hAnsi="Times New Roman" w:eastAsia="宋体"/>
                <w:b w:val="0"/>
                <w:sz w:val="21"/>
              </w:rPr>
              <w:t>6 邻域 CSR</w:t>
            </w:r>
          </w:p>
        </w:tc>
      </w:tr>
      <w:tr>
        <w:tc>
          <w:tcPr>
            <w:tcW w:type="dxa" w:w="2929"/>
            <w:vAlign w:val="center"/>
          </w:tcPr>
          <w:p>
            <w:pPr>
              <w:spacing w:line="240" w:lineRule="auto"/>
              <w:jc w:val="center"/>
            </w:pPr>
            <w:r>
              <w:rPr>
                <w:rFonts w:ascii="Times New Roman" w:hAnsi="Times New Roman" w:eastAsia="宋体"/>
                <w:b w:val="0"/>
                <w:sz w:val="21"/>
              </w:rPr>
              <w:t>结构化网格单元数据</w:t>
            </w:r>
          </w:p>
        </w:tc>
        <w:tc>
          <w:tcPr>
            <w:tcW w:type="dxa" w:w="2929"/>
            <w:vAlign w:val="center"/>
          </w:tcPr>
          <w:p>
            <w:pPr>
              <w:spacing w:line="240" w:lineRule="auto"/>
              <w:jc w:val="center"/>
            </w:pPr>
            <w:r>
              <w:rPr>
                <w:rFonts w:ascii="Times New Roman" w:hAnsi="Times New Roman" w:eastAsia="宋体"/>
                <w:b w:val="0"/>
                <w:sz w:val="21"/>
              </w:rPr>
              <w:t xml:space="preserve">根据 </w:t>
            </w:r>
            <m:oMath>
              <m:r>
                <m:t>(</m:t>
              </m:r>
              <m:sSub>
                <m:e>
                  <m:r>
                    <m:t>n</m:t>
                  </m:r>
                </m:e>
                <m:sub>
                  <m:r>
                    <m:t>x</m:t>
                  </m:r>
                </m:sub>
              </m:sSub>
              <m:r>
                <m:t>−</m:t>
              </m:r>
              <m:r>
                <m:t>1</m:t>
              </m:r>
              <m:r>
                <m:t>,</m:t>
              </m:r>
              <m:sSub>
                <m:e>
                  <m:r>
                    <m:t>n</m:t>
                  </m:r>
                </m:e>
                <m:sub>
                  <m:r>
                    <m:t>y</m:t>
                  </m:r>
                </m:sub>
              </m:sSub>
              <m:r>
                <m:t>−</m:t>
              </m:r>
              <m:r>
                <m:t>1</m:t>
              </m:r>
              <m:r>
                <m:t>,</m:t>
              </m:r>
              <m:sSub>
                <m:e>
                  <m:r>
                    <m:t>n</m:t>
                  </m:r>
                </m:e>
                <m:sub>
                  <m:r>
                    <m:t>z</m:t>
                  </m:r>
                </m:sub>
              </m:sSub>
              <m:r>
                <m:t>−</m:t>
              </m:r>
              <m:r>
                <m:t>1</m:t>
              </m:r>
              <m:r>
                <m:t>)</m:t>
              </m:r>
            </m:oMath>
            <w:r>
              <w:rPr>
                <w:rFonts w:ascii="Times New Roman" w:hAnsi="Times New Roman" w:eastAsia="宋体"/>
                <w:b w:val="0"/>
                <w:sz w:val="21"/>
              </w:rPr>
              <w:t xml:space="preserve"> 隐式访问相邻单元</w:t>
            </w:r>
          </w:p>
        </w:tc>
        <w:tc>
          <w:tcPr>
            <w:tcW w:type="dxa" w:w="2929"/>
            <w:vAlign w:val="center"/>
          </w:tcPr>
          <w:p>
            <w:pPr>
              <w:spacing w:line="240" w:lineRule="auto"/>
              <w:jc w:val="center"/>
            </w:pPr>
            <w:r>
              <w:rPr>
                <w:rFonts w:ascii="Times New Roman" w:hAnsi="Times New Roman" w:eastAsia="宋体"/>
                <w:b w:val="0"/>
                <w:sz w:val="21"/>
              </w:rPr>
              <w:t>6 邻域 CSR</w:t>
            </w:r>
          </w:p>
        </w:tc>
      </w:tr>
      <w:tr>
        <w:tc>
          <w:tcPr>
            <w:tcW w:type="dxa" w:w="2929"/>
            <w:vAlign w:val="center"/>
          </w:tcPr>
          <w:p>
            <w:pPr>
              <w:spacing w:line="240" w:lineRule="auto"/>
              <w:jc w:val="center"/>
            </w:pPr>
            <w:r>
              <w:rPr>
                <w:rFonts w:ascii="Times New Roman" w:hAnsi="Times New Roman" w:eastAsia="宋体"/>
                <w:b w:val="0"/>
                <w:sz w:val="21"/>
              </w:rPr>
              <w:t>非结构点数据</w:t>
            </w:r>
          </w:p>
        </w:tc>
        <w:tc>
          <w:tcPr>
            <w:tcW w:type="dxa" w:w="2929"/>
            <w:vAlign w:val="center"/>
          </w:tcPr>
          <w:p>
            <w:pPr>
              <w:spacing w:line="240" w:lineRule="auto"/>
              <w:jc w:val="center"/>
            </w:pPr>
            <w:r>
              <w:rPr>
                <w:rFonts w:ascii="Times New Roman" w:hAnsi="Times New Roman" w:eastAsia="宋体"/>
                <w:b w:val="0"/>
                <w:sz w:val="21"/>
              </w:rPr>
              <w:t xml:space="preserve">点所属单元集合 </w:t>
            </w:r>
            <m:oMath>
              <m:sSub>
                <m:e>
                  <m:r>
                    <m:t>C</m:t>
                  </m:r>
                </m:e>
                <m:sub>
                  <m:r>
                    <m:t>i</m:t>
                  </m:r>
                </m:sub>
              </m:sSub>
            </m:oMath>
          </w:p>
        </w:tc>
        <w:tc>
          <w:tcPr>
            <w:tcW w:type="dxa" w:w="2929"/>
            <w:vAlign w:val="center"/>
          </w:tcPr>
          <w:p>
            <w:pPr>
              <w:spacing w:line="240" w:lineRule="auto"/>
              <w:jc w:val="center"/>
            </w:pPr>
            <w:r>
              <w:rPr>
                <w:rFonts w:ascii="Times New Roman" w:hAnsi="Times New Roman" w:eastAsia="宋体"/>
                <w:b w:val="0"/>
                <w:sz w:val="21"/>
              </w:rPr>
              <w:t>拓扑点邻域，必要时补齐</w:t>
            </w:r>
          </w:p>
        </w:tc>
      </w:tr>
      <w:tr>
        <w:tc>
          <w:tcPr>
            <w:tcW w:type="dxa" w:w="2929"/>
            <w:vAlign w:val="center"/>
          </w:tcPr>
          <w:p>
            <w:pPr>
              <w:spacing w:line="240" w:lineRule="auto"/>
              <w:jc w:val="center"/>
            </w:pPr>
            <w:r>
              <w:rPr>
                <w:rFonts w:ascii="Times New Roman" w:hAnsi="Times New Roman" w:eastAsia="宋体"/>
                <w:b w:val="0"/>
                <w:sz w:val="21"/>
              </w:rPr>
              <w:t>非结构单元数据</w:t>
            </w:r>
          </w:p>
        </w:tc>
        <w:tc>
          <w:tcPr>
            <w:tcW w:type="dxa" w:w="2929"/>
            <w:vAlign w:val="center"/>
          </w:tcPr>
          <w:p>
            <w:pPr>
              <w:spacing w:line="240" w:lineRule="auto"/>
              <w:jc w:val="center"/>
            </w:pPr>
            <w:r>
              <w:rPr>
                <w:rFonts w:ascii="Times New Roman" w:hAnsi="Times New Roman" w:eastAsia="宋体"/>
                <w:b w:val="0"/>
                <w:sz w:val="21"/>
              </w:rPr>
              <w:t>点-单元关系与场量重构</w:t>
            </w:r>
          </w:p>
        </w:tc>
        <w:tc>
          <w:tcPr>
            <w:tcW w:type="dxa" w:w="2929"/>
            <w:vAlign w:val="center"/>
          </w:tcPr>
          <w:p>
            <w:pPr>
              <w:spacing w:line="240" w:lineRule="auto"/>
              <w:jc w:val="center"/>
            </w:pPr>
            <w:r>
              <w:rPr>
                <w:rFonts w:ascii="Times New Roman" w:hAnsi="Times New Roman" w:eastAsia="宋体"/>
                <w:b w:val="0"/>
                <w:sz w:val="21"/>
              </w:rPr>
              <w:t>单元邻域，优先使用共享面、共享边或共享点关系</w:t>
            </w:r>
          </w:p>
        </w:tc>
      </w:tr>
    </w:tbl>
    <w:p/>
    <w:p>
      <w:pPr>
        <w:spacing w:line="360" w:lineRule="auto" w:after="0"/>
        <w:ind w:firstLine="420"/>
      </w:pPr>
      <w:r>
        <w:rPr>
          <w:rFonts w:ascii="Times New Roman" w:hAnsi="Times New Roman" w:eastAsia="宋体"/>
          <w:sz w:val="24"/>
        </w:rPr>
        <w:t>CSR 结构由邻居数组和偏移数组组成。偏移数组记录每个对象邻域在邻居数组中的起止位置，邻居数组保存实际邻居索引。这种结构适合表达可变长度邻域，也便于 GPU 线程根据自身编号读取对应的连续数据片段。通过统一邻域结构，结构化网格和非结构化网格的数据优化模块可以使用相同的滤波接口。</w:t>
      </w:r>
    </w:p>
    <w:p>
      <w:pPr>
        <w:pStyle w:val="2"/>
        <w:spacing w:line="360" w:lineRule="auto" w:before="120" w:after="120"/>
        <w:jc w:val="left"/>
      </w:pPr>
      <w:r>
        <w:rPr>
          <w:rFonts w:ascii="Times New Roman" w:hAnsi="Times New Roman" w:eastAsia="黑体"/>
          <w:b/>
          <w:sz w:val="28"/>
        </w:rPr>
        <w:t>3.3 本章小结</w:t>
      </w:r>
    </w:p>
    <w:p>
      <w:pPr>
        <w:spacing w:line="360" w:lineRule="auto" w:after="0"/>
        <w:ind w:firstLine="420"/>
      </w:pPr>
      <w:r>
        <w:rPr>
          <w:rFonts w:ascii="Times New Roman" w:hAnsi="Times New Roman" w:eastAsia="宋体"/>
          <w:sz w:val="24"/>
        </w:rPr>
        <w:t>本章从功能需求和非功能需求两个方面分析了系统要求，明确系统需要完成数据读取与转换、梯度计算、数据优化、GPU 计算管理和结果导出等功能，并需要满足性能、可复现性和可扩展性要求。在此基础上，本章给出了系统总体结构、技术栈、模块划分、功能流程、界面设计和数据结构设计，为后续算法实现和实验验证提供系统基础。</w:t>
      </w:r>
    </w:p>
    <w:p>
      <w:pPr>
        <w:pStyle w:val="2"/>
        <w:spacing w:line="360" w:lineRule="auto" w:before="120" w:after="120"/>
        <w:jc w:val="left"/>
      </w:pPr>
      <w:r>
        <w:rPr>
          <w:rFonts w:ascii="Times New Roman" w:hAnsi="Times New Roman" w:eastAsia="黑体"/>
          <w:b/>
          <w:sz w:val="28"/>
        </w:rPr>
        <w:t>3.4 本章参考文献</w:t>
      </w:r>
    </w:p>
    <w:p>
      <w:pPr>
        <w:spacing w:line="360" w:lineRule="auto" w:after="0"/>
        <w:ind w:firstLine="420"/>
      </w:pPr>
      <w:r>
        <w:rPr>
          <w:rFonts w:ascii="Times New Roman" w:hAnsi="Times New Roman" w:eastAsia="宋体"/>
          <w:sz w:val="24"/>
        </w:rPr>
        <w:t>本章引用文献：[4]、[8]、[9]、[12]、[14]、[15]、[19]、[20]。</w:t>
      </w:r>
    </w:p>
    <w:p>
      <w:r>
        <w:br w:type="page"/>
      </w:r>
    </w:p>
    <w:p>
      <w:pPr>
        <w:pStyle w:val="1"/>
        <w:spacing w:line="360" w:lineRule="auto" w:before="240" w:after="120"/>
        <w:jc w:val="center"/>
      </w:pPr>
      <w:r>
        <w:rPr>
          <w:rFonts w:ascii="Times New Roman" w:hAnsi="Times New Roman" w:eastAsia="黑体"/>
          <w:b/>
          <w:sz w:val="32"/>
        </w:rPr>
        <w:t>第四章 核心算法设计与实现</w:t>
      </w:r>
    </w:p>
    <w:p>
      <w:pPr>
        <w:pStyle w:val="2"/>
        <w:spacing w:line="360" w:lineRule="auto" w:before="120" w:after="120"/>
        <w:jc w:val="left"/>
      </w:pPr>
      <w:r>
        <w:rPr>
          <w:rFonts w:ascii="Times New Roman" w:hAnsi="Times New Roman" w:eastAsia="黑体"/>
          <w:b/>
          <w:sz w:val="28"/>
        </w:rPr>
        <w:t>4.1 核心算法实现概述</w:t>
      </w:r>
    </w:p>
    <w:p>
      <w:pPr>
        <w:spacing w:line="360" w:lineRule="auto" w:after="0"/>
        <w:ind w:firstLine="420"/>
      </w:pPr>
      <w:r>
        <w:rPr>
          <w:rFonts w:ascii="Times New Roman" w:hAnsi="Times New Roman" w:eastAsia="宋体"/>
          <w:sz w:val="24"/>
        </w:rPr>
        <w:t xml:space="preserve">本章在前述数据模型和系统设计基础上，说明核心预处理算法在系统中的实现方式。系统的核心算法包括两类：一类是梯度计算，用于从原始字段派生得到空间变化率；另一类是数据优化，用于对局部随机高频波动进行保边平滑处理。两类算法均以内部 </w:t>
      </w:r>
      <w:r>
        <w:rPr>
          <w:rFonts w:ascii="Consolas" w:hAnsi="Consolas" w:eastAsia="Consolas"/>
          <w:sz w:val="24"/>
        </w:rPr>
        <w:t>DataObject</w:t>
      </w:r>
      <w:r>
        <w:rPr>
          <w:rFonts w:ascii="Times New Roman" w:hAnsi="Times New Roman" w:eastAsia="宋体"/>
          <w:sz w:val="24"/>
        </w:rPr>
        <w:t xml:space="preserve"> 为数据来源，以新增字段数组为输出，并通过 OpenGL Compute Shader 在 GPU 端执行主要计算。</w:t>
      </w:r>
    </w:p>
    <w:p>
      <w:pPr>
        <w:spacing w:line="360" w:lineRule="auto" w:after="0"/>
        <w:ind w:firstLine="420"/>
      </w:pPr>
      <w:r>
        <w:rPr>
          <w:rFonts w:ascii="Times New Roman" w:hAnsi="Times New Roman" w:eastAsia="宋体"/>
          <w:sz w:val="24"/>
        </w:rPr>
        <w:t>核心算法的执行过程可概括为以下步骤：</w:t>
      </w:r>
    </w:p>
    <w:p>
      <w:pPr>
        <w:spacing w:line="360" w:lineRule="auto" w:after="0"/>
        <w:ind w:firstLine="420"/>
      </w:pPr>
      <w:r>
        <w:rPr>
          <w:rFonts w:ascii="Times New Roman" w:hAnsi="Times New Roman" w:eastAsia="宋体"/>
          <w:sz w:val="24"/>
        </w:rPr>
        <w:t>1. 从内部数据对象中读取点坐标、单元连接、字段数组和邻域关系；</w:t>
      </w:r>
    </w:p>
    <w:p>
      <w:pPr>
        <w:spacing w:line="360" w:lineRule="auto" w:after="0"/>
        <w:ind w:firstLine="420"/>
      </w:pPr>
      <w:r>
        <w:rPr>
          <w:rFonts w:ascii="Times New Roman" w:hAnsi="Times New Roman" w:eastAsia="宋体"/>
          <w:sz w:val="24"/>
        </w:rPr>
        <w:t>2. 根据网格类型和字段关联方式确定算法路径；</w:t>
      </w:r>
    </w:p>
    <w:p>
      <w:pPr>
        <w:spacing w:line="360" w:lineRule="auto" w:after="0"/>
        <w:ind w:firstLine="420"/>
      </w:pPr>
      <w:r>
        <w:rPr>
          <w:rFonts w:ascii="Times New Roman" w:hAnsi="Times New Roman" w:eastAsia="宋体"/>
          <w:sz w:val="24"/>
        </w:rPr>
        <w:t>3. 将输入数组和参数上传到 SSBO，并准备输出缓冲；</w:t>
      </w:r>
    </w:p>
    <w:p>
      <w:pPr>
        <w:spacing w:line="360" w:lineRule="auto" w:after="0"/>
        <w:ind w:firstLine="420"/>
      </w:pPr>
      <w:r>
        <w:rPr>
          <w:rFonts w:ascii="Times New Roman" w:hAnsi="Times New Roman" w:eastAsia="宋体"/>
          <w:sz w:val="24"/>
        </w:rPr>
        <w:t>4. 调度计算着色器并行处理采样对象；</w:t>
      </w:r>
    </w:p>
    <w:p>
      <w:pPr>
        <w:spacing w:line="360" w:lineRule="auto" w:after="0"/>
        <w:ind w:firstLine="420"/>
      </w:pPr>
      <w:r>
        <w:rPr>
          <w:rFonts w:ascii="Times New Roman" w:hAnsi="Times New Roman" w:eastAsia="宋体"/>
          <w:sz w:val="24"/>
        </w:rPr>
        <w:t>5. 将 GPU 端输出读回 CPU 侧；</w:t>
      </w:r>
    </w:p>
    <w:p>
      <w:pPr>
        <w:spacing w:line="360" w:lineRule="auto" w:after="0"/>
        <w:ind w:firstLine="420"/>
      </w:pPr>
      <w:r>
        <w:rPr>
          <w:rFonts w:ascii="Times New Roman" w:hAnsi="Times New Roman" w:eastAsia="宋体"/>
          <w:sz w:val="24"/>
        </w:rPr>
        <w:t xml:space="preserve">6. 按字段名称、分量数和关联方式写回 </w:t>
      </w:r>
      <w:r>
        <w:rPr>
          <w:rFonts w:ascii="Consolas" w:hAnsi="Consolas" w:eastAsia="Consolas"/>
          <w:sz w:val="24"/>
        </w:rPr>
        <w:t>dataArrays</w:t>
      </w:r>
      <w:r>
        <w:rPr>
          <w:rFonts w:ascii="Times New Roman" w:hAnsi="Times New Roman" w:eastAsia="宋体"/>
          <w:sz w:val="24"/>
        </w:rPr>
        <w:t>。</w:t>
      </w:r>
    </w:p>
    <w:p>
      <w:pPr>
        <w:spacing w:line="360" w:lineRule="auto" w:after="0"/>
        <w:ind w:firstLine="420"/>
      </w:pPr>
      <w:r>
        <w:rPr>
          <w:rFonts w:ascii="Times New Roman" w:hAnsi="Times New Roman" w:eastAsia="宋体"/>
          <w:sz w:val="24"/>
        </w:rPr>
        <w:t>当计算方式设置为自动选择时，系统根据网格类型选择结构化网格有限差分路径或非结构化网格形函数导数路径。数据优化则根据字段关联方式选择点邻域或单元邻域。上述调度逻辑用于选择计算路径，具体数值计算由相应的着色器程序完成。</w:t>
      </w:r>
    </w:p>
    <w:p>
      <w:pPr>
        <w:spacing w:line="360" w:lineRule="auto" w:after="0"/>
        <w:ind w:firstLine="420"/>
      </w:pPr>
      <w:r>
        <w:rPr>
          <w:rFonts w:ascii="Times New Roman" w:hAnsi="Times New Roman" w:eastAsia="宋体"/>
          <w:sz w:val="24"/>
        </w:rPr>
        <w:t>从数据组织角度看，梯度计算和数据优化共享点坐标、单元中心、字段数组和邻域数组等基础数据，但二者的输出语义不同。梯度计算输出导数字段，输出分量数通常为输入分量数的三倍；数据优化输出平滑或融合后的字段，输出分量数通常与输入字段保持一致。因此，结果写回阶段需要同时保存字段关联方式和分量数，使导出的 VTK 文件能够正确表达字段含义。</w:t>
      </w:r>
    </w:p>
    <w:p>
      <w:pPr>
        <w:spacing w:line="360" w:lineRule="auto" w:after="0"/>
        <w:ind w:firstLine="420"/>
      </w:pPr>
      <w:r>
        <w:rPr>
          <w:rFonts w:ascii="Times New Roman" w:hAnsi="Times New Roman" w:eastAsia="宋体"/>
          <w:sz w:val="24"/>
        </w:rPr>
        <w:t>GPU 算法实现通常需要结合算法的计算特征和访存特征组织并行流程。相关研究在图像处理和卷积类算法中均强调，不同算法的数据访问规律、局部数据复用方式和中间结果传输方式会直接影响 GPU 实现策略[23][24]。本文核心算法面向 CAE 网格字段，也需要区分规则访问、不规则拓扑访问和多轮邻域遍历等情况。表 4-1 给出了本文各类核心算法的实现特征。</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算法</w:t>
            </w:r>
          </w:p>
        </w:tc>
        <w:tc>
          <w:tcPr>
            <w:tcW w:type="dxa" w:w="2197"/>
            <w:vAlign w:val="center"/>
          </w:tcPr>
          <w:p>
            <w:pPr>
              <w:spacing w:line="240" w:lineRule="auto"/>
              <w:jc w:val="center"/>
            </w:pPr>
            <w:r>
              <w:rPr>
                <w:rFonts w:ascii="Times New Roman" w:hAnsi="Times New Roman" w:eastAsia="宋体"/>
                <w:b/>
                <w:sz w:val="21"/>
              </w:rPr>
              <w:t>计算对象</w:t>
            </w:r>
          </w:p>
        </w:tc>
        <w:tc>
          <w:tcPr>
            <w:tcW w:type="dxa" w:w="2197"/>
            <w:vAlign w:val="center"/>
          </w:tcPr>
          <w:p>
            <w:pPr>
              <w:spacing w:line="240" w:lineRule="auto"/>
              <w:jc w:val="center"/>
            </w:pPr>
            <w:r>
              <w:rPr>
                <w:rFonts w:ascii="Times New Roman" w:hAnsi="Times New Roman" w:eastAsia="宋体"/>
                <w:b/>
                <w:sz w:val="21"/>
              </w:rPr>
              <w:t>访存特点</w:t>
            </w:r>
          </w:p>
        </w:tc>
        <w:tc>
          <w:tcPr>
            <w:tcW w:type="dxa" w:w="2197"/>
            <w:vAlign w:val="center"/>
          </w:tcPr>
          <w:p>
            <w:pPr>
              <w:spacing w:line="240" w:lineRule="auto"/>
              <w:jc w:val="center"/>
            </w:pPr>
            <w:r>
              <w:rPr>
                <w:rFonts w:ascii="Times New Roman" w:hAnsi="Times New Roman" w:eastAsia="宋体"/>
                <w:b/>
                <w:sz w:val="21"/>
              </w:rPr>
              <w:t>GPU 实现关注点</w:t>
            </w:r>
          </w:p>
        </w:tc>
      </w:tr>
      <w:tr>
        <w:tc>
          <w:tcPr>
            <w:tcW w:type="dxa" w:w="2197"/>
            <w:vAlign w:val="center"/>
          </w:tcPr>
          <w:p>
            <w:pPr>
              <w:spacing w:line="240" w:lineRule="auto"/>
              <w:jc w:val="center"/>
            </w:pPr>
            <w:r>
              <w:rPr>
                <w:rFonts w:ascii="Times New Roman" w:hAnsi="Times New Roman" w:eastAsia="宋体"/>
                <w:b w:val="0"/>
                <w:sz w:val="21"/>
              </w:rPr>
              <w:t>结构化网格有限差分</w:t>
            </w:r>
          </w:p>
        </w:tc>
        <w:tc>
          <w:tcPr>
            <w:tcW w:type="dxa" w:w="2197"/>
            <w:vAlign w:val="center"/>
          </w:tcPr>
          <w:p>
            <w:pPr>
              <w:spacing w:line="240" w:lineRule="auto"/>
              <w:jc w:val="center"/>
            </w:pPr>
            <w:r>
              <w:rPr>
                <w:rFonts w:ascii="Times New Roman" w:hAnsi="Times New Roman" w:eastAsia="宋体"/>
                <w:b w:val="0"/>
                <w:sz w:val="21"/>
              </w:rPr>
              <w:t>点或单元</w:t>
            </w:r>
          </w:p>
        </w:tc>
        <w:tc>
          <w:tcPr>
            <w:tcW w:type="dxa" w:w="2197"/>
            <w:vAlign w:val="center"/>
          </w:tcPr>
          <w:p>
            <w:pPr>
              <w:spacing w:line="240" w:lineRule="auto"/>
              <w:jc w:val="center"/>
            </w:pPr>
            <w:r>
              <w:rPr>
                <w:rFonts w:ascii="Times New Roman" w:hAnsi="Times New Roman" w:eastAsia="宋体"/>
                <w:b w:val="0"/>
                <w:sz w:val="21"/>
              </w:rPr>
              <w:t>隐式邻域访问</w:t>
            </w:r>
          </w:p>
        </w:tc>
        <w:tc>
          <w:tcPr>
            <w:tcW w:type="dxa" w:w="2197"/>
            <w:vAlign w:val="center"/>
          </w:tcPr>
          <w:p>
            <w:pPr>
              <w:spacing w:line="240" w:lineRule="auto"/>
              <w:jc w:val="center"/>
            </w:pPr>
            <w:r>
              <w:rPr>
                <w:rFonts w:ascii="Times New Roman" w:hAnsi="Times New Roman" w:eastAsia="宋体"/>
                <w:b w:val="0"/>
                <w:sz w:val="21"/>
              </w:rPr>
              <w:t>线性索引、连续数组、边界处理</w:t>
            </w:r>
          </w:p>
        </w:tc>
      </w:tr>
      <w:tr>
        <w:tc>
          <w:tcPr>
            <w:tcW w:type="dxa" w:w="2197"/>
            <w:vAlign w:val="center"/>
          </w:tcPr>
          <w:p>
            <w:pPr>
              <w:spacing w:line="240" w:lineRule="auto"/>
              <w:jc w:val="center"/>
            </w:pPr>
            <w:r>
              <w:rPr>
                <w:rFonts w:ascii="Times New Roman" w:hAnsi="Times New Roman" w:eastAsia="宋体"/>
                <w:b w:val="0"/>
                <w:sz w:val="21"/>
              </w:rPr>
              <w:t>非结构化形函数导数</w:t>
            </w:r>
          </w:p>
        </w:tc>
        <w:tc>
          <w:tcPr>
            <w:tcW w:type="dxa" w:w="2197"/>
            <w:vAlign w:val="center"/>
          </w:tcPr>
          <w:p>
            <w:pPr>
              <w:spacing w:line="240" w:lineRule="auto"/>
              <w:jc w:val="center"/>
            </w:pPr>
            <w:r>
              <w:rPr>
                <w:rFonts w:ascii="Times New Roman" w:hAnsi="Times New Roman" w:eastAsia="宋体"/>
                <w:b w:val="0"/>
                <w:sz w:val="21"/>
              </w:rPr>
              <w:t>点或单元</w:t>
            </w:r>
          </w:p>
        </w:tc>
        <w:tc>
          <w:tcPr>
            <w:tcW w:type="dxa" w:w="2197"/>
            <w:vAlign w:val="center"/>
          </w:tcPr>
          <w:p>
            <w:pPr>
              <w:spacing w:line="240" w:lineRule="auto"/>
              <w:jc w:val="center"/>
            </w:pPr>
            <w:r>
              <w:rPr>
                <w:rFonts w:ascii="Times New Roman" w:hAnsi="Times New Roman" w:eastAsia="宋体"/>
                <w:b w:val="0"/>
                <w:sz w:val="21"/>
              </w:rPr>
              <w:t>不规则单元连接访问</w:t>
            </w:r>
          </w:p>
        </w:tc>
        <w:tc>
          <w:tcPr>
            <w:tcW w:type="dxa" w:w="2197"/>
            <w:vAlign w:val="center"/>
          </w:tcPr>
          <w:p>
            <w:pPr>
              <w:spacing w:line="240" w:lineRule="auto"/>
              <w:jc w:val="center"/>
            </w:pPr>
            <w:r>
              <w:rPr>
                <w:rFonts w:ascii="Times New Roman" w:hAnsi="Times New Roman" w:eastAsia="宋体"/>
                <w:b w:val="0"/>
                <w:sz w:val="21"/>
              </w:rPr>
              <w:t>offset 数组、单元类型分支、几何映射有效性</w:t>
            </w:r>
          </w:p>
        </w:tc>
      </w:tr>
      <w:tr>
        <w:tc>
          <w:tcPr>
            <w:tcW w:type="dxa" w:w="2197"/>
            <w:vAlign w:val="center"/>
          </w:tcPr>
          <w:p>
            <w:pPr>
              <w:spacing w:line="240" w:lineRule="auto"/>
              <w:jc w:val="center"/>
            </w:pPr>
            <w:r>
              <w:rPr>
                <w:rFonts w:ascii="Times New Roman" w:hAnsi="Times New Roman" w:eastAsia="宋体"/>
                <w:b w:val="0"/>
                <w:sz w:val="21"/>
              </w:rPr>
              <w:t>图双边滤波</w:t>
            </w:r>
          </w:p>
        </w:tc>
        <w:tc>
          <w:tcPr>
            <w:tcW w:type="dxa" w:w="2197"/>
            <w:vAlign w:val="center"/>
          </w:tcPr>
          <w:p>
            <w:pPr>
              <w:spacing w:line="240" w:lineRule="auto"/>
              <w:jc w:val="center"/>
            </w:pPr>
            <w:r>
              <w:rPr>
                <w:rFonts w:ascii="Times New Roman" w:hAnsi="Times New Roman" w:eastAsia="宋体"/>
                <w:b w:val="0"/>
                <w:sz w:val="21"/>
              </w:rPr>
              <w:t>点邻域或单元邻域</w:t>
            </w:r>
          </w:p>
        </w:tc>
        <w:tc>
          <w:tcPr>
            <w:tcW w:type="dxa" w:w="2197"/>
            <w:vAlign w:val="center"/>
          </w:tcPr>
          <w:p>
            <w:pPr>
              <w:spacing w:line="240" w:lineRule="auto"/>
              <w:jc w:val="center"/>
            </w:pPr>
            <w:r>
              <w:rPr>
                <w:rFonts w:ascii="Times New Roman" w:hAnsi="Times New Roman" w:eastAsia="宋体"/>
                <w:b w:val="0"/>
                <w:sz w:val="21"/>
              </w:rPr>
              <w:t>邻域遍历和值域权重计算</w:t>
            </w:r>
          </w:p>
        </w:tc>
        <w:tc>
          <w:tcPr>
            <w:tcW w:type="dxa" w:w="2197"/>
            <w:vAlign w:val="center"/>
          </w:tcPr>
          <w:p>
            <w:pPr>
              <w:spacing w:line="240" w:lineRule="auto"/>
              <w:jc w:val="center"/>
            </w:pPr>
            <w:r>
              <w:rPr>
                <w:rFonts w:ascii="Times New Roman" w:hAnsi="Times New Roman" w:eastAsia="宋体"/>
                <w:b w:val="0"/>
                <w:sz w:val="21"/>
              </w:rPr>
              <w:t>CSR 邻域、字段关联方式、邻域范围</w:t>
            </w:r>
          </w:p>
        </w:tc>
      </w:tr>
      <w:tr>
        <w:tc>
          <w:tcPr>
            <w:tcW w:type="dxa" w:w="2197"/>
            <w:vAlign w:val="center"/>
          </w:tcPr>
          <w:p>
            <w:pPr>
              <w:spacing w:line="240" w:lineRule="auto"/>
              <w:jc w:val="center"/>
            </w:pPr>
            <w:r>
              <w:rPr>
                <w:rFonts w:ascii="Times New Roman" w:hAnsi="Times New Roman" w:eastAsia="宋体"/>
                <w:b w:val="0"/>
                <w:sz w:val="21"/>
              </w:rPr>
              <w:t>多尺度融合</w:t>
            </w:r>
          </w:p>
        </w:tc>
        <w:tc>
          <w:tcPr>
            <w:tcW w:type="dxa" w:w="2197"/>
            <w:vAlign w:val="center"/>
          </w:tcPr>
          <w:p>
            <w:pPr>
              <w:spacing w:line="240" w:lineRule="auto"/>
              <w:jc w:val="center"/>
            </w:pPr>
            <w:r>
              <w:rPr>
                <w:rFonts w:ascii="Times New Roman" w:hAnsi="Times New Roman" w:eastAsia="宋体"/>
                <w:b w:val="0"/>
                <w:sz w:val="21"/>
              </w:rPr>
              <w:t>字段数组</w:t>
            </w:r>
          </w:p>
        </w:tc>
        <w:tc>
          <w:tcPr>
            <w:tcW w:type="dxa" w:w="2197"/>
            <w:vAlign w:val="center"/>
          </w:tcPr>
          <w:p>
            <w:pPr>
              <w:spacing w:line="240" w:lineRule="auto"/>
              <w:jc w:val="center"/>
            </w:pPr>
            <w:r>
              <w:rPr>
                <w:rFonts w:ascii="Times New Roman" w:hAnsi="Times New Roman" w:eastAsia="宋体"/>
                <w:b w:val="0"/>
                <w:sz w:val="21"/>
              </w:rPr>
              <w:t>多轮中间结果读写</w:t>
            </w:r>
          </w:p>
        </w:tc>
        <w:tc>
          <w:tcPr>
            <w:tcW w:type="dxa" w:w="2197"/>
            <w:vAlign w:val="center"/>
          </w:tcPr>
          <w:p>
            <w:pPr>
              <w:spacing w:line="240" w:lineRule="auto"/>
              <w:jc w:val="center"/>
            </w:pPr>
            <w:r>
              <w:rPr>
                <w:rFonts w:ascii="Times New Roman" w:hAnsi="Times New Roman" w:eastAsia="宋体"/>
                <w:b w:val="0"/>
                <w:sz w:val="21"/>
              </w:rPr>
              <w:t>中间数组组织、细节层权重、分量布局</w:t>
            </w:r>
          </w:p>
        </w:tc>
      </w:tr>
    </w:tbl>
    <w:p/>
    <w:p>
      <w:pPr>
        <w:pStyle w:val="2"/>
        <w:spacing w:line="360" w:lineRule="auto" w:before="120" w:after="120"/>
        <w:jc w:val="left"/>
      </w:pPr>
      <w:r>
        <w:rPr>
          <w:rFonts w:ascii="Times New Roman" w:hAnsi="Times New Roman" w:eastAsia="黑体"/>
          <w:b/>
          <w:sz w:val="28"/>
        </w:rPr>
        <w:t>4.2 结构化网格有限差分梯度计算</w:t>
      </w:r>
    </w:p>
    <w:p>
      <w:pPr>
        <w:spacing w:line="360" w:lineRule="auto" w:after="0"/>
        <w:ind w:firstLine="420"/>
      </w:pPr>
      <w:r>
        <w:rPr>
          <w:rFonts w:ascii="Times New Roman" w:hAnsi="Times New Roman" w:eastAsia="宋体"/>
          <w:sz w:val="24"/>
        </w:rPr>
        <w:t xml:space="preserve">结构化网格具有明确的逻辑维度，点或单元之间的相邻关系可由索引直接恢复。系统在结构化网格路径中采用有限差分法计算参数空间导数，再结合坐标映射恢复物理空间梯度。该路径对应 </w:t>
      </w:r>
      <w:r>
        <w:rPr>
          <w:rFonts w:ascii="Consolas" w:hAnsi="Consolas" w:eastAsia="Consolas"/>
          <w:sz w:val="24"/>
        </w:rPr>
        <w:t>GLGradientEngine::computeRegularFD</w:t>
      </w:r>
      <w:r>
        <w:rPr>
          <w:rFonts w:ascii="Times New Roman" w:hAnsi="Times New Roman" w:eastAsia="宋体"/>
          <w:sz w:val="24"/>
        </w:rPr>
        <w:t xml:space="preserve"> 和 </w:t>
      </w:r>
      <w:r>
        <w:rPr>
          <w:rFonts w:ascii="Consolas" w:hAnsi="Consolas" w:eastAsia="Consolas"/>
          <w:sz w:val="24"/>
        </w:rPr>
        <w:t>FD.glsl</w:t>
      </w:r>
      <w:r>
        <w:rPr>
          <w:rFonts w:ascii="Times New Roman" w:hAnsi="Times New Roman" w:eastAsia="宋体"/>
          <w:sz w:val="24"/>
        </w:rPr>
        <w:t>。</w:t>
      </w:r>
    </w:p>
    <w:p>
      <w:pPr>
        <w:pStyle w:val="3"/>
        <w:spacing w:line="360" w:lineRule="auto" w:before="120" w:after="120"/>
        <w:jc w:val="left"/>
      </w:pPr>
      <w:r>
        <w:rPr>
          <w:rFonts w:ascii="Times New Roman" w:hAnsi="Times New Roman" w:eastAsia="黑体"/>
          <w:b/>
          <w:sz w:val="24"/>
        </w:rPr>
        <w:t>4.2.1 输入数据与索引组织</w:t>
      </w:r>
    </w:p>
    <w:p>
      <w:pPr>
        <w:spacing w:line="360" w:lineRule="auto" w:after="0"/>
        <w:ind w:firstLine="420"/>
      </w:pPr>
      <w:r>
        <w:rPr>
          <w:rFonts w:ascii="Times New Roman" w:hAnsi="Times New Roman" w:eastAsia="宋体"/>
          <w:sz w:val="24"/>
        </w:rPr>
        <w:t xml:space="preserve">结构化网格有限差分路径的输入包括采样位置数组、字段值数组、网格维度和输出缓冲区。对于点数据，采样位置为网格节点，维度为 </w:t>
      </w:r>
      <w:r>
        <w:rPr>
          <w:rFonts w:ascii="Consolas" w:hAnsi="Consolas" w:eastAsia="Consolas"/>
          <w:sz w:val="24"/>
        </w:rPr>
        <w:t>(nx, ny, nz)</w:t>
      </w:r>
      <w:r>
        <w:rPr>
          <w:rFonts w:ascii="Times New Roman" w:hAnsi="Times New Roman" w:eastAsia="宋体"/>
          <w:sz w:val="24"/>
        </w:rPr>
        <w:t xml:space="preserve">；对于单元数据，采样位置为单元中心，维度为 </w:t>
      </w:r>
      <w:r>
        <w:rPr>
          <w:rFonts w:ascii="Consolas" w:hAnsi="Consolas" w:eastAsia="Consolas"/>
          <w:sz w:val="24"/>
        </w:rPr>
        <w:t>(nx-1, ny-1, nz-1)</w:t>
      </w:r>
      <w:r>
        <w:rPr>
          <w:rFonts w:ascii="Times New Roman" w:hAnsi="Times New Roman" w:eastAsia="宋体"/>
          <w:sz w:val="24"/>
        </w:rPr>
        <w:t xml:space="preserve">。系统在 GPU 计算前根据字段关联方式选择 </w:t>
      </w:r>
      <w:r>
        <w:rPr>
          <w:rFonts w:ascii="Consolas" w:hAnsi="Consolas" w:eastAsia="Consolas"/>
          <w:sz w:val="24"/>
        </w:rPr>
        <w:t>points</w:t>
      </w:r>
      <w:r>
        <w:rPr>
          <w:rFonts w:ascii="Times New Roman" w:hAnsi="Times New Roman" w:eastAsia="宋体"/>
          <w:sz w:val="24"/>
        </w:rPr>
        <w:t xml:space="preserve"> 或 </w:t>
      </w:r>
      <w:r>
        <w:rPr>
          <w:rFonts w:ascii="Consolas" w:hAnsi="Consolas" w:eastAsia="Consolas"/>
          <w:sz w:val="24"/>
        </w:rPr>
        <w:t>cellCenters</w:t>
      </w:r>
      <w:r>
        <w:rPr>
          <w:rFonts w:ascii="Times New Roman" w:hAnsi="Times New Roman" w:eastAsia="宋体"/>
          <w:sz w:val="24"/>
        </w:rPr>
        <w:t xml:space="preserve"> 作为位置数组。</w:t>
      </w:r>
    </w:p>
    <w:p>
      <w:pPr>
        <w:spacing w:line="360" w:lineRule="auto" w:after="0"/>
        <w:ind w:firstLine="420"/>
      </w:pPr>
      <w:r>
        <w:rPr>
          <w:rFonts w:ascii="Times New Roman" w:hAnsi="Times New Roman" w:eastAsia="宋体"/>
          <w:sz w:val="24"/>
        </w:rPr>
        <w:t xml:space="preserve">设结构化网格维度为 </w:t>
      </w:r>
      <w:r>
        <w:rPr>
          <w:rFonts w:ascii="Consolas" w:hAnsi="Consolas" w:eastAsia="Consolas"/>
          <w:sz w:val="24"/>
        </w:rPr>
        <w:t>(nx, ny, nz)</w:t>
      </w:r>
      <w:r>
        <w:rPr>
          <w:rFonts w:ascii="Times New Roman" w:hAnsi="Times New Roman" w:eastAsia="宋体"/>
          <w:sz w:val="24"/>
        </w:rPr>
        <w:t xml:space="preserve">，线性索引为 </w:t>
      </w:r>
      <w:r>
        <w:rPr>
          <w:rFonts w:ascii="Consolas" w:hAnsi="Consolas" w:eastAsia="Consolas"/>
          <w:sz w:val="24"/>
        </w:rPr>
        <w:t>i</w:t>
      </w:r>
      <w:r>
        <w:rPr>
          <w:rFonts w:ascii="Times New Roman" w:hAnsi="Times New Roman" w:eastAsia="宋体"/>
          <w:sz w:val="24"/>
        </w:rPr>
        <w:t>，则三维逻辑索引恢复为</w:t>
      </w:r>
    </w:p>
    <w:p>
      <w:pPr>
        <w:spacing w:line="240" w:lineRule="auto" w:before="80" w:after="80"/>
        <w:ind w:firstLine="0"/>
        <w:jc w:val="center"/>
      </w:pPr>
      <m:oMath>
        <m:sSub>
          <m:e>
            <m:r>
              <m:t>i</m:t>
            </m:r>
          </m:e>
          <m:sub>
            <m:r>
              <m:t>x</m:t>
            </m:r>
          </m:sub>
        </m:sSub>
        <m:r>
          <m:t>=</m:t>
        </m:r>
        <m:r>
          <m:t>i</m:t>
        </m:r>
        <m:r>
          <m:t>mod</m:t>
        </m:r>
        <m:sSub>
          <m:e>
            <m:r>
              <m:t>n</m:t>
            </m:r>
          </m:e>
          <m:sub>
            <m:r>
              <m:t>x</m:t>
            </m:r>
          </m:sub>
        </m:sSub>
      </m:oMath>
    </w:p>
    <w:p>
      <w:pPr>
        <w:spacing w:line="240" w:lineRule="auto" w:before="80" w:after="80"/>
        <w:ind w:firstLine="0"/>
        <w:jc w:val="center"/>
      </w:pPr>
      <m:oMath>
        <m:sSub>
          <m:e>
            <m:r>
              <m:t>i</m:t>
            </m:r>
          </m:e>
          <m:sub>
            <m:r>
              <m:t>y</m:t>
            </m:r>
          </m:sub>
        </m:sSub>
        <m:r>
          <m:t>=</m:t>
        </m:r>
        <m:r>
          <m:t>⌊</m:t>
        </m:r>
        <m:r>
          <m:t>i</m:t>
        </m:r>
        <m:r>
          <m:t>/</m:t>
        </m:r>
        <m:sSub>
          <m:e>
            <m:r>
              <m:t>n</m:t>
            </m:r>
          </m:e>
          <m:sub>
            <m:r>
              <m:t>x</m:t>
            </m:r>
          </m:sub>
        </m:sSub>
        <m:r>
          <m:t>⌋</m:t>
        </m:r>
        <m:r>
          <m:t>mod</m:t>
        </m:r>
        <m:sSub>
          <m:e>
            <m:r>
              <m:t>n</m:t>
            </m:r>
          </m:e>
          <m:sub>
            <m:r>
              <m:t>y</m:t>
            </m:r>
          </m:sub>
        </m:sSub>
      </m:oMath>
    </w:p>
    <w:p>
      <w:pPr>
        <w:spacing w:line="240" w:lineRule="auto" w:before="80" w:after="80"/>
        <w:ind w:firstLine="0"/>
        <w:jc w:val="center"/>
      </w:pPr>
      <m:oMath>
        <m:sSub>
          <m:e>
            <m:r>
              <m:t>i</m:t>
            </m:r>
          </m:e>
          <m:sub>
            <m:r>
              <m:t>z</m:t>
            </m:r>
          </m:sub>
        </m:sSub>
        <m:r>
          <m:t>=</m:t>
        </m:r>
        <m:r>
          <m:t>⌊</m:t>
        </m:r>
        <m:r>
          <m:t>i</m:t>
        </m:r>
        <m:r>
          <m:t>/</m:t>
        </m:r>
        <m:r>
          <m:t>(</m:t>
        </m:r>
        <m:sSub>
          <m:e>
            <m:r>
              <m:t>n</m:t>
            </m:r>
          </m:e>
          <m:sub>
            <m:r>
              <m:t>x</m:t>
            </m:r>
          </m:sub>
        </m:sSub>
        <m:sSub>
          <m:e>
            <m:r>
              <m:t>n</m:t>
            </m:r>
          </m:e>
          <m:sub>
            <m:r>
              <m:t>y</m:t>
            </m:r>
          </m:sub>
        </m:sSub>
        <m:r>
          <m:t>)</m:t>
        </m:r>
        <m:r>
          <m:t>⌋</m:t>
        </m:r>
      </m:oMath>
    </w:p>
    <w:p>
      <w:pPr>
        <w:spacing w:line="360" w:lineRule="auto" w:after="0"/>
        <w:ind w:firstLine="420"/>
      </w:pPr>
      <w:r>
        <w:rPr>
          <w:rFonts w:ascii="Times New Roman" w:hAnsi="Times New Roman" w:eastAsia="宋体"/>
          <w:sz w:val="24"/>
        </w:rPr>
        <w:t>计算着色器中的每个线程对应一个采样对象。线程根据全局调用编号确定线性索引，再由上述关系恢复三维逻辑索引，并访问相邻点或相邻单元。由于邻域由维度隐式确定，结构化网格梯度计算无需额外上传邻接表。</w:t>
      </w:r>
    </w:p>
    <w:p>
      <w:pPr>
        <w:spacing w:line="360" w:lineRule="auto" w:after="0"/>
        <w:ind w:firstLine="420"/>
      </w:pPr>
      <w:r>
        <w:rPr>
          <w:rFonts w:ascii="Times New Roman" w:hAnsi="Times New Roman" w:eastAsia="宋体"/>
          <w:sz w:val="24"/>
        </w:rPr>
        <w:t xml:space="preserve">字段数组连续存储。若字段分量数为 </w:t>
      </w:r>
      <w:r>
        <w:rPr>
          <w:rFonts w:ascii="Consolas" w:hAnsi="Consolas" w:eastAsia="Consolas"/>
          <w:sz w:val="24"/>
        </w:rPr>
        <w:t>m</w:t>
      </w:r>
      <w:r>
        <w:rPr>
          <w:rFonts w:ascii="Times New Roman" w:hAnsi="Times New Roman" w:eastAsia="宋体"/>
          <w:sz w:val="24"/>
        </w:rPr>
        <w:t xml:space="preserve">，第 </w:t>
      </w:r>
      <w:r>
        <w:rPr>
          <w:rFonts w:ascii="Consolas" w:hAnsi="Consolas" w:eastAsia="Consolas"/>
          <w:sz w:val="24"/>
        </w:rPr>
        <w:t>i</w:t>
      </w:r>
      <w:r>
        <w:rPr>
          <w:rFonts w:ascii="Times New Roman" w:hAnsi="Times New Roman" w:eastAsia="宋体"/>
          <w:sz w:val="24"/>
        </w:rPr>
        <w:t xml:space="preserve"> 个采样对象第 </w:t>
      </w:r>
      <w:r>
        <w:rPr>
          <w:rFonts w:ascii="Consolas" w:hAnsi="Consolas" w:eastAsia="Consolas"/>
          <w:sz w:val="24"/>
        </w:rPr>
        <w:t>c</w:t>
      </w:r>
      <w:r>
        <w:rPr>
          <w:rFonts w:ascii="Times New Roman" w:hAnsi="Times New Roman" w:eastAsia="宋体"/>
          <w:sz w:val="24"/>
        </w:rPr>
        <w:t xml:space="preserve"> 个分量的值位于 </w:t>
      </w:r>
      <w:r>
        <w:rPr>
          <w:rFonts w:ascii="Consolas" w:hAnsi="Consolas" w:eastAsia="Consolas"/>
          <w:sz w:val="24"/>
        </w:rPr>
        <w:t>values[i*m+c]</w:t>
      </w:r>
      <w:r>
        <w:rPr>
          <w:rFonts w:ascii="Times New Roman" w:hAnsi="Times New Roman" w:eastAsia="宋体"/>
          <w:sz w:val="24"/>
        </w:rPr>
        <w:t xml:space="preserve">。梯度输出按每个输入分量对应三个空间方向导数的方式排列，因此输出数组长度为 </w:t>
      </w:r>
      <w:r>
        <w:rPr>
          <w:rFonts w:ascii="Consolas" w:hAnsi="Consolas" w:eastAsia="Consolas"/>
          <w:sz w:val="24"/>
        </w:rPr>
        <w:t>sampleCount * 3 * m</w:t>
      </w:r>
      <w:r>
        <w:rPr>
          <w:rFonts w:ascii="Times New Roman" w:hAnsi="Times New Roman" w:eastAsia="宋体"/>
          <w:sz w:val="24"/>
        </w:rPr>
        <w:t>。</w:t>
      </w:r>
    </w:p>
    <w:p>
      <w:pPr>
        <w:pStyle w:val="3"/>
        <w:spacing w:line="360" w:lineRule="auto" w:before="120" w:after="120"/>
        <w:jc w:val="left"/>
      </w:pPr>
      <w:r>
        <w:rPr>
          <w:rFonts w:ascii="Times New Roman" w:hAnsi="Times New Roman" w:eastAsia="黑体"/>
          <w:b/>
          <w:sz w:val="24"/>
        </w:rPr>
        <w:t>4.2.2 点数据梯度计算</w:t>
      </w:r>
    </w:p>
    <w:p>
      <w:pPr>
        <w:spacing w:line="360" w:lineRule="auto" w:after="0"/>
        <w:ind w:firstLine="420"/>
      </w:pPr>
      <w:r>
        <w:rPr>
          <w:rFonts w:ascii="Times New Roman" w:hAnsi="Times New Roman" w:eastAsia="宋体"/>
          <w:sz w:val="24"/>
        </w:rPr>
        <w:t xml:space="preserve">结构化网格点数据定义在网格节点上。对于标量场 </w:t>
      </w:r>
      <w:r>
        <w:rPr>
          <w:rFonts w:ascii="Consolas" w:hAnsi="Consolas" w:eastAsia="Consolas"/>
          <w:sz w:val="24"/>
        </w:rPr>
        <w:t>u</w:t>
      </w:r>
      <w:r>
        <w:rPr>
          <w:rFonts w:ascii="Times New Roman" w:hAnsi="Times New Roman" w:eastAsia="宋体"/>
          <w:sz w:val="24"/>
        </w:rPr>
        <w:t>，系统在逻辑方向上访问相邻节点并计算差分。内部节点采用中心差分，例如</w:t>
      </w:r>
    </w:p>
    <w:p>
      <w:pPr>
        <w:spacing w:line="240" w:lineRule="auto" w:before="80" w:after="80"/>
        <w:ind w:firstLine="0"/>
        <w:jc w:val="center"/>
      </w:pPr>
      <m:oMath>
        <m:sSub>
          <m:e>
            <m:r>
              <m:t>u</m:t>
            </m:r>
          </m:e>
          <m:sub>
            <m:r>
              <m:t>ξ</m:t>
            </m:r>
          </m:sub>
        </m:sSub>
        <m:r>
          <m:t>(</m:t>
        </m:r>
        <m:r>
          <m:t>i</m:t>
        </m:r>
        <m:r>
          <m:t>,</m:t>
        </m:r>
        <m:r>
          <m:t>j</m:t>
        </m:r>
        <m:r>
          <m:t>,</m:t>
        </m:r>
        <m:r>
          <m:t>k</m:t>
        </m:r>
        <m:r>
          <m:t>)</m:t>
        </m:r>
        <m:r>
          <m:t>=</m:t>
        </m:r>
        <m:r>
          <m:t>(</m:t>
        </m:r>
        <m:sSub>
          <m:e>
            <m:r>
              <m:t>u</m:t>
            </m:r>
          </m:e>
          <m:sub>
            <m:r>
              <m:t>i</m:t>
            </m:r>
            <m:r>
              <m:t>+</m:t>
            </m:r>
            <m:r>
              <m:t>1</m:t>
            </m:r>
            <m:r>
              <m:t>,</m:t>
            </m:r>
            <m:r>
              <m:t>j</m:t>
            </m:r>
            <m:r>
              <m:t>,</m:t>
            </m:r>
            <m:r>
              <m:t>k</m:t>
            </m:r>
          </m:sub>
        </m:sSub>
        <m:r>
          <m:t>−</m:t>
        </m:r>
        <m:sSub>
          <m:e>
            <m:r>
              <m:t>u</m:t>
            </m:r>
          </m:e>
          <m:sub>
            <m:r>
              <m:t>i</m:t>
            </m:r>
            <m:r>
              <m:t>−</m:t>
            </m:r>
            <m:r>
              <m:t>1</m:t>
            </m:r>
            <m:r>
              <m:t>,</m:t>
            </m:r>
            <m:r>
              <m:t>j</m:t>
            </m:r>
            <m:r>
              <m:t>,</m:t>
            </m:r>
            <m:r>
              <m:t>k</m:t>
            </m:r>
          </m:sub>
        </m:sSub>
        <m:r>
          <m:t>)</m:t>
        </m:r>
        <m:r>
          <m:t>/</m:t>
        </m:r>
        <m:r>
          <m:t>2</m:t>
        </m:r>
      </m:oMath>
    </w:p>
    <w:p>
      <w:pPr>
        <w:spacing w:line="240" w:lineRule="auto" w:before="80" w:after="80"/>
        <w:ind w:firstLine="0"/>
        <w:jc w:val="center"/>
      </w:pPr>
      <m:oMath>
        <m:sSub>
          <m:e>
            <m:r>
              <m:t>u</m:t>
            </m:r>
          </m:e>
          <m:sub>
            <m:r>
              <m:t>η</m:t>
            </m:r>
          </m:sub>
        </m:sSub>
        <m:r>
          <m:t>(</m:t>
        </m:r>
        <m:r>
          <m:t>i</m:t>
        </m:r>
        <m:r>
          <m:t>,</m:t>
        </m:r>
        <m:r>
          <m:t>j</m:t>
        </m:r>
        <m:r>
          <m:t>,</m:t>
        </m:r>
        <m:r>
          <m:t>k</m:t>
        </m:r>
        <m:r>
          <m:t>)</m:t>
        </m:r>
        <m:r>
          <m:t>=</m:t>
        </m:r>
        <m:r>
          <m:t>(</m:t>
        </m:r>
        <m:sSub>
          <m:e>
            <m:r>
              <m:t>u</m:t>
            </m:r>
          </m:e>
          <m:sub>
            <m:r>
              <m:t>i</m:t>
            </m:r>
            <m:r>
              <m:t>,</m:t>
            </m:r>
            <m:r>
              <m:t>j</m:t>
            </m:r>
            <m:r>
              <m:t>+</m:t>
            </m:r>
            <m:r>
              <m:t>1</m:t>
            </m:r>
            <m:r>
              <m:t>,</m:t>
            </m:r>
            <m:r>
              <m:t>k</m:t>
            </m:r>
          </m:sub>
        </m:sSub>
        <m:r>
          <m:t>−</m:t>
        </m:r>
        <m:sSub>
          <m:e>
            <m:r>
              <m:t>u</m:t>
            </m:r>
          </m:e>
          <m:sub>
            <m:r>
              <m:t>i</m:t>
            </m:r>
            <m:r>
              <m:t>,</m:t>
            </m:r>
            <m:r>
              <m:t>j</m:t>
            </m:r>
            <m:r>
              <m:t>−</m:t>
            </m:r>
            <m:r>
              <m:t>1</m:t>
            </m:r>
            <m:r>
              <m:t>,</m:t>
            </m:r>
            <m:r>
              <m:t>k</m:t>
            </m:r>
          </m:sub>
        </m:sSub>
        <m:r>
          <m:t>)</m:t>
        </m:r>
        <m:r>
          <m:t>/</m:t>
        </m:r>
        <m:r>
          <m:t>2</m:t>
        </m:r>
      </m:oMath>
    </w:p>
    <w:p>
      <w:pPr>
        <w:spacing w:line="240" w:lineRule="auto" w:before="80" w:after="80"/>
        <w:ind w:firstLine="0"/>
        <w:jc w:val="center"/>
      </w:pPr>
      <m:oMath>
        <m:sSub>
          <m:e>
            <m:r>
              <m:t>u</m:t>
            </m:r>
          </m:e>
          <m:sub>
            <m:r>
              <m:t>ζ</m:t>
            </m:r>
          </m:sub>
        </m:sSub>
        <m:r>
          <m:t>(</m:t>
        </m:r>
        <m:r>
          <m:t>i</m:t>
        </m:r>
        <m:r>
          <m:t>,</m:t>
        </m:r>
        <m:r>
          <m:t>j</m:t>
        </m:r>
        <m:r>
          <m:t>,</m:t>
        </m:r>
        <m:r>
          <m:t>k</m:t>
        </m:r>
        <m:r>
          <m:t>)</m:t>
        </m:r>
        <m:r>
          <m:t>=</m:t>
        </m:r>
        <m:r>
          <m:t>(</m:t>
        </m:r>
        <m:sSub>
          <m:e>
            <m:r>
              <m:t>u</m:t>
            </m:r>
          </m:e>
          <m:sub>
            <m:r>
              <m:t>i</m:t>
            </m:r>
            <m:r>
              <m:t>,</m:t>
            </m:r>
            <m:r>
              <m:t>j</m:t>
            </m:r>
            <m:r>
              <m:t>,</m:t>
            </m:r>
            <m:r>
              <m:t>k</m:t>
            </m:r>
            <m:r>
              <m:t>+</m:t>
            </m:r>
            <m:r>
              <m:t>1</m:t>
            </m:r>
          </m:sub>
        </m:sSub>
        <m:r>
          <m:t>−</m:t>
        </m:r>
        <m:sSub>
          <m:e>
            <m:r>
              <m:t>u</m:t>
            </m:r>
          </m:e>
          <m:sub>
            <m:r>
              <m:t>i</m:t>
            </m:r>
            <m:r>
              <m:t>,</m:t>
            </m:r>
            <m:r>
              <m:t>j</m:t>
            </m:r>
            <m:r>
              <m:t>,</m:t>
            </m:r>
            <m:r>
              <m:t>k</m:t>
            </m:r>
            <m:r>
              <m:t>−</m:t>
            </m:r>
            <m:r>
              <m:t>1</m:t>
            </m:r>
          </m:sub>
        </m:sSub>
        <m:r>
          <m:t>)</m:t>
        </m:r>
        <m:r>
          <m:t>/</m:t>
        </m:r>
        <m:r>
          <m:t>2</m:t>
        </m:r>
      </m:oMath>
    </w:p>
    <w:p>
      <w:pPr>
        <w:spacing w:line="360" w:lineRule="auto" w:after="0"/>
        <w:ind w:firstLine="420"/>
      </w:pPr>
      <w:r>
        <w:rPr>
          <w:rFonts w:ascii="Times New Roman" w:hAnsi="Times New Roman" w:eastAsia="宋体"/>
          <w:sz w:val="24"/>
        </w:rPr>
        <w:t>边界节点缺少一侧相邻样本时采用单边差分。以左边界为例：</w:t>
      </w:r>
    </w:p>
    <w:p>
      <w:pPr>
        <w:spacing w:line="240" w:lineRule="auto" w:before="80" w:after="80"/>
        <w:ind w:firstLine="0"/>
        <w:jc w:val="center"/>
      </w:pPr>
      <m:oMath>
        <m:sSub>
          <m:e>
            <m:r>
              <m:t>u</m:t>
            </m:r>
          </m:e>
          <m:sub>
            <m:r>
              <m:t>ξ</m:t>
            </m:r>
          </m:sub>
        </m:sSub>
        <m:r>
          <m:t>(</m:t>
        </m:r>
        <m:r>
          <m:t>0</m:t>
        </m:r>
        <m:r>
          <m:t>,</m:t>
        </m:r>
        <m:r>
          <m:t>j</m:t>
        </m:r>
        <m:r>
          <m:t>,</m:t>
        </m:r>
        <m:r>
          <m:t>k</m:t>
        </m:r>
        <m:r>
          <m:t>)</m:t>
        </m:r>
        <m:r>
          <m:t>=</m:t>
        </m:r>
        <m:sSub>
          <m:e>
            <m:r>
              <m:t>u</m:t>
            </m:r>
          </m:e>
          <m:sub>
            <m:r>
              <m:t>1</m:t>
            </m:r>
            <m:r>
              <m:t>,</m:t>
            </m:r>
            <m:r>
              <m:t>j</m:t>
            </m:r>
            <m:r>
              <m:t>,</m:t>
            </m:r>
            <m:r>
              <m:t>k</m:t>
            </m:r>
          </m:sub>
        </m:sSub>
        <m:r>
          <m:t>−</m:t>
        </m:r>
        <m:sSub>
          <m:e>
            <m:r>
              <m:t>u</m:t>
            </m:r>
          </m:e>
          <m:sub>
            <m:r>
              <m:t>0</m:t>
            </m:r>
            <m:r>
              <m:t>,</m:t>
            </m:r>
            <m:r>
              <m:t>j</m:t>
            </m:r>
            <m:r>
              <m:t>,</m:t>
            </m:r>
            <m:r>
              <m:t>k</m:t>
            </m:r>
          </m:sub>
        </m:sSub>
      </m:oMath>
    </w:p>
    <w:p>
      <w:pPr>
        <w:spacing w:line="360" w:lineRule="auto" w:after="0"/>
        <w:ind w:firstLine="420"/>
      </w:pPr>
      <w:r>
        <w:rPr>
          <w:rFonts w:ascii="Times New Roman" w:hAnsi="Times New Roman" w:eastAsia="宋体"/>
          <w:sz w:val="24"/>
        </w:rPr>
        <w:t xml:space="preserve">差分得到的是逻辑空间导数。对于非均匀网格或曲线网格，还需要根据节点坐标计算局部坐标映射关系。设从逻辑坐标到物理坐标的 Jacobian 为 </w:t>
      </w:r>
      <w:r>
        <w:rPr>
          <w:rFonts w:ascii="Consolas" w:hAnsi="Consolas" w:eastAsia="Consolas"/>
          <w:sz w:val="24"/>
        </w:rPr>
        <w:t>J</w:t>
      </w:r>
      <w:r>
        <w:rPr>
          <w:rFonts w:ascii="Times New Roman" w:hAnsi="Times New Roman" w:eastAsia="宋体"/>
          <w:sz w:val="24"/>
        </w:rPr>
        <w:t>，则物理空间梯度按下式恢复：</w:t>
      </w:r>
    </w:p>
    <w:p>
      <w:pPr>
        <w:spacing w:line="240" w:lineRule="auto" w:before="80" w:after="80"/>
        <w:ind w:firstLine="0"/>
        <w:jc w:val="center"/>
      </w:pPr>
      <m:oMath>
        <m:sSub>
          <m:e>
            <m:r>
              <m:t>∇</m:t>
            </m:r>
          </m:e>
          <m:sub>
            <m:r>
              <m:t>x</m:t>
            </m:r>
          </m:sub>
        </m:sSub>
        <m:r>
          <m:t>u</m:t>
        </m:r>
        <m:r>
          <m:t>=</m:t>
        </m:r>
        <m:sSup>
          <m:e>
            <m:r>
              <m:t>J</m:t>
            </m:r>
          </m:e>
          <m:sup>
            <m:r>
              <m:t>−</m:t>
            </m:r>
            <m:r>
              <m:t>T</m:t>
            </m:r>
          </m:sup>
        </m:sSup>
        <m:sSub>
          <m:e>
            <m:r>
              <m:t>∇</m:t>
            </m:r>
          </m:e>
          <m:sub>
            <m:r>
              <m:t>ξ</m:t>
            </m:r>
          </m:sub>
        </m:sSub>
        <m:r>
          <m:t>u</m:t>
        </m:r>
      </m:oMath>
    </w:p>
    <w:p>
      <w:pPr>
        <w:spacing w:line="360" w:lineRule="auto" w:after="0"/>
        <w:ind w:firstLine="420"/>
      </w:pPr>
      <w:r>
        <w:rPr>
          <w:rFonts w:ascii="Times New Roman" w:hAnsi="Times New Roman" w:eastAsia="宋体"/>
          <w:sz w:val="24"/>
        </w:rPr>
        <w:t>在实现中，</w:t>
      </w:r>
      <w:r>
        <w:rPr>
          <w:rFonts w:ascii="Consolas" w:hAnsi="Consolas" w:eastAsia="Consolas"/>
          <w:sz w:val="24"/>
        </w:rPr>
        <w:t>FD.glsl</w:t>
      </w:r>
      <w:r>
        <w:rPr>
          <w:rFonts w:ascii="Times New Roman" w:hAnsi="Times New Roman" w:eastAsia="宋体"/>
          <w:sz w:val="24"/>
        </w:rPr>
        <w:t xml:space="preserve"> 分别计算字段差分和坐标差分，并由逆 Jacobian 系数组合得到 </w:t>
      </w:r>
      <w:r>
        <w:rPr>
          <w:rFonts w:ascii="Consolas" w:hAnsi="Consolas" w:eastAsia="Consolas"/>
          <w:sz w:val="24"/>
        </w:rPr>
        <w:t>x</w:t>
      </w:r>
      <w:r>
        <w:rPr>
          <w:rFonts w:ascii="Times New Roman" w:hAnsi="Times New Roman" w:eastAsia="宋体"/>
          <w:sz w:val="24"/>
        </w:rPr>
        <w:t>、</w:t>
      </w:r>
      <w:r>
        <w:rPr>
          <w:rFonts w:ascii="Consolas" w:hAnsi="Consolas" w:eastAsia="Consolas"/>
          <w:sz w:val="24"/>
        </w:rPr>
        <w:t>y</w:t>
      </w:r>
      <w:r>
        <w:rPr>
          <w:rFonts w:ascii="Times New Roman" w:hAnsi="Times New Roman" w:eastAsia="宋体"/>
          <w:sz w:val="24"/>
        </w:rPr>
        <w:t>、</w:t>
      </w:r>
      <w:r>
        <w:rPr>
          <w:rFonts w:ascii="Consolas" w:hAnsi="Consolas" w:eastAsia="Consolas"/>
          <w:sz w:val="24"/>
        </w:rPr>
        <w:t>z</w:t>
      </w:r>
      <w:r>
        <w:rPr>
          <w:rFonts w:ascii="Times New Roman" w:hAnsi="Times New Roman" w:eastAsia="宋体"/>
          <w:sz w:val="24"/>
        </w:rPr>
        <w:t xml:space="preserve"> 三个方向的梯度分量。对于多分量字段，着色器逐分量执行上述计算，并将结果连续写入输出缓冲。</w:t>
      </w:r>
    </w:p>
    <w:p>
      <w:pPr>
        <w:pStyle w:val="3"/>
        <w:spacing w:line="360" w:lineRule="auto" w:before="120" w:after="120"/>
        <w:jc w:val="left"/>
      </w:pPr>
      <w:r>
        <w:rPr>
          <w:rFonts w:ascii="Times New Roman" w:hAnsi="Times New Roman" w:eastAsia="黑体"/>
          <w:b/>
          <w:sz w:val="24"/>
        </w:rPr>
        <w:t>4.2.3 单元数据梯度计算</w:t>
      </w:r>
    </w:p>
    <w:p>
      <w:pPr>
        <w:spacing w:line="360" w:lineRule="auto" w:after="0"/>
        <w:ind w:firstLine="420"/>
      </w:pPr>
      <w:r>
        <w:rPr>
          <w:rFonts w:ascii="Times New Roman" w:hAnsi="Times New Roman" w:eastAsia="宋体"/>
          <w:sz w:val="24"/>
        </w:rPr>
        <w:t xml:space="preserve">结构化网格单元数据定义在单元上，其采样位置和输出语义不同于点数据。系统对结构化网格单元数据仍采用有限差分思想，并以 </w:t>
      </w:r>
      <w:r>
        <w:rPr>
          <w:rFonts w:ascii="Consolas" w:hAnsi="Consolas" w:eastAsia="Consolas"/>
          <w:sz w:val="24"/>
        </w:rPr>
        <w:t>cellCenters</w:t>
      </w:r>
      <w:r>
        <w:rPr>
          <w:rFonts w:ascii="Times New Roman" w:hAnsi="Times New Roman" w:eastAsia="宋体"/>
          <w:sz w:val="24"/>
        </w:rPr>
        <w:t xml:space="preserve"> 作为位置数组，逻辑维度改为 </w:t>
      </w:r>
      <w:r>
        <w:rPr>
          <w:rFonts w:ascii="Consolas" w:hAnsi="Consolas" w:eastAsia="Consolas"/>
          <w:sz w:val="24"/>
        </w:rPr>
        <w:t>(nx-1, ny-1, nz-1)</w:t>
      </w:r>
      <w:r>
        <w:rPr>
          <w:rFonts w:ascii="Times New Roman" w:hAnsi="Times New Roman" w:eastAsia="宋体"/>
          <w:sz w:val="24"/>
        </w:rPr>
        <w:t>。</w:t>
      </w:r>
    </w:p>
    <w:p>
      <w:pPr>
        <w:spacing w:line="360" w:lineRule="auto" w:after="0"/>
        <w:ind w:firstLine="420"/>
      </w:pPr>
      <w:r>
        <w:rPr>
          <w:rFonts w:ascii="Times New Roman" w:hAnsi="Times New Roman" w:eastAsia="宋体"/>
          <w:sz w:val="24"/>
        </w:rPr>
        <w:t xml:space="preserve">设单元字段为 </w:t>
      </w:r>
      <w:r>
        <w:rPr>
          <w:rFonts w:ascii="Consolas" w:hAnsi="Consolas" w:eastAsia="Consolas"/>
          <w:sz w:val="24"/>
        </w:rPr>
        <w:t>u_c</w:t>
      </w:r>
      <w:r>
        <w:rPr>
          <w:rFonts w:ascii="Times New Roman" w:hAnsi="Times New Roman" w:eastAsia="宋体"/>
          <w:sz w:val="24"/>
        </w:rPr>
        <w:t xml:space="preserve">，某内部单元在某一逻辑方向上的前后相邻单元为 </w:t>
      </w:r>
      <w:r>
        <w:rPr>
          <w:rFonts w:ascii="Consolas" w:hAnsi="Consolas" w:eastAsia="Consolas"/>
          <w:sz w:val="24"/>
        </w:rPr>
        <w:t>e^+</w:t>
      </w:r>
      <w:r>
        <w:rPr>
          <w:rFonts w:ascii="Times New Roman" w:hAnsi="Times New Roman" w:eastAsia="宋体"/>
          <w:sz w:val="24"/>
        </w:rPr>
        <w:t xml:space="preserve"> 和 </w:t>
      </w:r>
      <w:r>
        <w:rPr>
          <w:rFonts w:ascii="Consolas" w:hAnsi="Consolas" w:eastAsia="Consolas"/>
          <w:sz w:val="24"/>
        </w:rPr>
        <w:t>e^-</w:t>
      </w:r>
      <w:r>
        <w:rPr>
          <w:rFonts w:ascii="Times New Roman" w:hAnsi="Times New Roman" w:eastAsia="宋体"/>
          <w:sz w:val="24"/>
        </w:rPr>
        <w:t>，则该方向差分可写为</w:t>
      </w:r>
    </w:p>
    <w:p>
      <w:pPr>
        <w:spacing w:line="240" w:lineRule="auto" w:before="80" w:after="80"/>
        <w:ind w:firstLine="0"/>
        <w:jc w:val="center"/>
      </w:pPr>
      <m:oMath>
        <m:sSub>
          <m:e>
            <m:r>
              <m:t>u</m:t>
            </m:r>
          </m:e>
          <m:sub>
            <m:r>
              <m:t>c</m:t>
            </m:r>
            <m:r>
              <m:t>,</m:t>
            </m:r>
            <m:r>
              <m:t>ξ</m:t>
            </m:r>
          </m:sub>
        </m:sSub>
        <m:r>
          <m:t>(</m:t>
        </m:r>
        <m:r>
          <m:t>e</m:t>
        </m:r>
        <m:r>
          <m:t>)</m:t>
        </m:r>
        <m:r>
          <m:t>=</m:t>
        </m:r>
        <m:r>
          <m:t>(</m:t>
        </m:r>
        <m:sSub>
          <m:e>
            <m:r>
              <m:t>u</m:t>
            </m:r>
          </m:e>
          <m:sub>
            <m:r>
              <m:t>c</m:t>
            </m:r>
            <m:r>
              <m:t>,</m:t>
            </m:r>
            <m:sSup>
              <m:e>
                <m:r>
                  <m:t>e</m:t>
                </m:r>
              </m:e>
              <m:sup>
                <m:r>
                  <m:t>+</m:t>
                </m:r>
              </m:sup>
            </m:sSup>
          </m:sub>
        </m:sSub>
        <m:r>
          <m:t>−</m:t>
        </m:r>
        <m:sSub>
          <m:e>
            <m:r>
              <m:t>u</m:t>
            </m:r>
          </m:e>
          <m:sub>
            <m:r>
              <m:t>c</m:t>
            </m:r>
            <m:r>
              <m:t>,</m:t>
            </m:r>
            <m:sSup>
              <m:e>
                <m:r>
                  <m:t>e</m:t>
                </m:r>
              </m:e>
              <m:sup>
                <m:r>
                  <m:t>−</m:t>
                </m:r>
              </m:sup>
            </m:sSup>
          </m:sub>
        </m:sSub>
        <m:r>
          <m:t>)</m:t>
        </m:r>
        <m:r>
          <m:t>/</m:t>
        </m:r>
        <m:r>
          <m:t>2</m:t>
        </m:r>
      </m:oMath>
    </w:p>
    <w:p>
      <w:pPr>
        <w:spacing w:line="360" w:lineRule="auto" w:after="0"/>
        <w:ind w:firstLine="420"/>
      </w:pPr>
      <w:r>
        <w:rPr>
          <w:rFonts w:ascii="Times New Roman" w:hAnsi="Times New Roman" w:eastAsia="宋体"/>
          <w:sz w:val="24"/>
        </w:rPr>
        <w:t>物理空间恢复仍使用 Jacobian 关系，其中坐标导数由单元中心坐标计算。结构化网格点数据和结构化网格单元数据的差异如表 4-2 所示。</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数据类型</w:t>
            </w:r>
          </w:p>
        </w:tc>
        <w:tc>
          <w:tcPr>
            <w:tcW w:type="dxa" w:w="2197"/>
            <w:vAlign w:val="center"/>
          </w:tcPr>
          <w:p>
            <w:pPr>
              <w:spacing w:line="240" w:lineRule="auto"/>
              <w:jc w:val="center"/>
            </w:pPr>
            <w:r>
              <w:rPr>
                <w:rFonts w:ascii="Times New Roman" w:hAnsi="Times New Roman" w:eastAsia="宋体"/>
                <w:b/>
                <w:sz w:val="21"/>
              </w:rPr>
              <w:t>采样位置</w:t>
            </w:r>
          </w:p>
        </w:tc>
        <w:tc>
          <w:tcPr>
            <w:tcW w:type="dxa" w:w="2197"/>
            <w:vAlign w:val="center"/>
          </w:tcPr>
          <w:p>
            <w:pPr>
              <w:spacing w:line="240" w:lineRule="auto"/>
              <w:jc w:val="center"/>
            </w:pPr>
            <w:r>
              <w:rPr>
                <w:rFonts w:ascii="Times New Roman" w:hAnsi="Times New Roman" w:eastAsia="宋体"/>
                <w:b/>
                <w:sz w:val="21"/>
              </w:rPr>
              <w:t>逻辑维度</w:t>
            </w:r>
          </w:p>
        </w:tc>
        <w:tc>
          <w:tcPr>
            <w:tcW w:type="dxa" w:w="2197"/>
            <w:vAlign w:val="center"/>
          </w:tcPr>
          <w:p>
            <w:pPr>
              <w:spacing w:line="240" w:lineRule="auto"/>
              <w:jc w:val="center"/>
            </w:pPr>
            <w:r>
              <w:rPr>
                <w:rFonts w:ascii="Times New Roman" w:hAnsi="Times New Roman" w:eastAsia="宋体"/>
                <w:b/>
                <w:sz w:val="21"/>
              </w:rPr>
              <w:t>输出字段</w:t>
            </w:r>
          </w:p>
        </w:tc>
      </w:tr>
      <w:tr>
        <w:tc>
          <w:tcPr>
            <w:tcW w:type="dxa" w:w="2197"/>
            <w:vAlign w:val="center"/>
          </w:tcPr>
          <w:p>
            <w:pPr>
              <w:spacing w:line="240" w:lineRule="auto"/>
              <w:jc w:val="center"/>
            </w:pPr>
            <w:r>
              <w:rPr>
                <w:rFonts w:ascii="Times New Roman" w:hAnsi="Times New Roman" w:eastAsia="宋体"/>
                <w:b w:val="0"/>
                <w:sz w:val="21"/>
              </w:rPr>
              <w:t>点数据</w:t>
            </w:r>
          </w:p>
        </w:tc>
        <w:tc>
          <w:tcPr>
            <w:tcW w:type="dxa" w:w="2197"/>
            <w:vAlign w:val="center"/>
          </w:tcPr>
          <w:p>
            <w:pPr>
              <w:spacing w:line="240" w:lineRule="auto"/>
              <w:jc w:val="center"/>
            </w:pPr>
            <w:r>
              <w:rPr>
                <w:rFonts w:ascii="Times New Roman" w:hAnsi="Times New Roman" w:eastAsia="宋体"/>
                <w:b w:val="0"/>
                <w:sz w:val="21"/>
              </w:rPr>
              <w:t>网格节点</w:t>
            </w:r>
          </w:p>
        </w:tc>
        <w:tc>
          <w:tcPr>
            <w:tcW w:type="dxa" w:w="2197"/>
            <w:vAlign w:val="center"/>
          </w:tcPr>
          <w:p>
            <w:pPr>
              <w:spacing w:line="240" w:lineRule="auto"/>
              <w:jc w:val="center"/>
            </w:pPr>
            <w:r>
              <w:rPr>
                <w:rFonts w:ascii="Consolas" w:hAnsi="Consolas" w:eastAsia="Consolas"/>
                <w:b w:val="0"/>
                <w:sz w:val="21"/>
              </w:rPr>
              <w:t>(nx, ny, nz)</w:t>
            </w:r>
          </w:p>
        </w:tc>
        <w:tc>
          <w:tcPr>
            <w:tcW w:type="dxa" w:w="2197"/>
            <w:vAlign w:val="center"/>
          </w:tcPr>
          <w:p>
            <w:pPr>
              <w:spacing w:line="240" w:lineRule="auto"/>
              <w:jc w:val="center"/>
            </w:pPr>
            <w:r>
              <w:rPr>
                <w:rFonts w:ascii="Times New Roman" w:hAnsi="Times New Roman" w:eastAsia="宋体"/>
                <w:b w:val="0"/>
                <w:sz w:val="21"/>
              </w:rPr>
              <w:t>点梯度</w:t>
            </w:r>
          </w:p>
        </w:tc>
      </w:tr>
      <w:tr>
        <w:tc>
          <w:tcPr>
            <w:tcW w:type="dxa" w:w="2197"/>
            <w:vAlign w:val="center"/>
          </w:tcPr>
          <w:p>
            <w:pPr>
              <w:spacing w:line="240" w:lineRule="auto"/>
              <w:jc w:val="center"/>
            </w:pPr>
            <w:r>
              <w:rPr>
                <w:rFonts w:ascii="Times New Roman" w:hAnsi="Times New Roman" w:eastAsia="宋体"/>
                <w:b w:val="0"/>
                <w:sz w:val="21"/>
              </w:rPr>
              <w:t>单元数据</w:t>
            </w:r>
          </w:p>
        </w:tc>
        <w:tc>
          <w:tcPr>
            <w:tcW w:type="dxa" w:w="2197"/>
            <w:vAlign w:val="center"/>
          </w:tcPr>
          <w:p>
            <w:pPr>
              <w:spacing w:line="240" w:lineRule="auto"/>
              <w:jc w:val="center"/>
            </w:pPr>
            <w:r>
              <w:rPr>
                <w:rFonts w:ascii="Times New Roman" w:hAnsi="Times New Roman" w:eastAsia="宋体"/>
                <w:b w:val="0"/>
                <w:sz w:val="21"/>
              </w:rPr>
              <w:t>单元中心</w:t>
            </w:r>
          </w:p>
        </w:tc>
        <w:tc>
          <w:tcPr>
            <w:tcW w:type="dxa" w:w="2197"/>
            <w:vAlign w:val="center"/>
          </w:tcPr>
          <w:p>
            <w:pPr>
              <w:spacing w:line="240" w:lineRule="auto"/>
              <w:jc w:val="center"/>
            </w:pPr>
            <w:r>
              <w:rPr>
                <w:rFonts w:ascii="Consolas" w:hAnsi="Consolas" w:eastAsia="Consolas"/>
                <w:b w:val="0"/>
                <w:sz w:val="21"/>
              </w:rPr>
              <w:t>(nx-1, ny-1, nz-1)</w:t>
            </w:r>
          </w:p>
        </w:tc>
        <w:tc>
          <w:tcPr>
            <w:tcW w:type="dxa" w:w="2197"/>
            <w:vAlign w:val="center"/>
          </w:tcPr>
          <w:p>
            <w:pPr>
              <w:spacing w:line="240" w:lineRule="auto"/>
              <w:jc w:val="center"/>
            </w:pPr>
            <w:r>
              <w:rPr>
                <w:rFonts w:ascii="Times New Roman" w:hAnsi="Times New Roman" w:eastAsia="宋体"/>
                <w:b w:val="0"/>
                <w:sz w:val="21"/>
              </w:rPr>
              <w:t>单元梯度</w:t>
            </w:r>
          </w:p>
        </w:tc>
      </w:tr>
    </w:tbl>
    <w:p/>
    <w:p>
      <w:pPr>
        <w:spacing w:line="360" w:lineRule="auto" w:after="0"/>
        <w:ind w:firstLine="420"/>
      </w:pPr>
      <w:r>
        <w:rPr>
          <w:rFonts w:ascii="Times New Roman" w:hAnsi="Times New Roman" w:eastAsia="宋体"/>
          <w:sz w:val="24"/>
        </w:rPr>
        <w:t>该处理方式使点数据结果写回点字段、单元数据结果写回单元字段，从而保持字段关联方式在计算和导出过程中的一致性。</w:t>
      </w:r>
    </w:p>
    <w:p>
      <w:pPr>
        <w:pStyle w:val="3"/>
        <w:spacing w:line="360" w:lineRule="auto" w:before="120" w:after="120"/>
        <w:jc w:val="left"/>
      </w:pPr>
      <w:r>
        <w:rPr>
          <w:rFonts w:ascii="Times New Roman" w:hAnsi="Times New Roman" w:eastAsia="黑体"/>
          <w:b/>
          <w:sz w:val="24"/>
        </w:rPr>
        <w:t>4.2.4 GPU 实现与输出布局</w:t>
      </w:r>
    </w:p>
    <w:p>
      <w:pPr>
        <w:spacing w:line="360" w:lineRule="auto" w:after="0"/>
        <w:ind w:firstLine="420"/>
      </w:pPr>
      <w:r>
        <w:rPr>
          <w:rFonts w:ascii="Times New Roman" w:hAnsi="Times New Roman" w:eastAsia="宋体"/>
          <w:sz w:val="24"/>
        </w:rPr>
        <w:t>结构化网格有限差分的 GPU 实现流程如下：</w:t>
      </w:r>
    </w:p>
    <w:p>
      <w:pPr>
        <w:spacing w:line="360" w:lineRule="auto" w:after="0"/>
        <w:ind w:firstLine="420"/>
      </w:pPr>
      <w:r>
        <w:rPr>
          <w:rFonts w:ascii="Times New Roman" w:hAnsi="Times New Roman" w:eastAsia="宋体"/>
          <w:sz w:val="24"/>
        </w:rPr>
        <w:t>1. 上传采样位置数组、字段值数组和输出缓冲；</w:t>
      </w:r>
    </w:p>
    <w:p>
      <w:pPr>
        <w:spacing w:line="360" w:lineRule="auto" w:after="0"/>
        <w:ind w:firstLine="420"/>
      </w:pPr>
      <w:r>
        <w:rPr>
          <w:rFonts w:ascii="Times New Roman" w:hAnsi="Times New Roman" w:eastAsia="宋体"/>
          <w:sz w:val="24"/>
        </w:rPr>
        <w:t>2. 设置网格维度和字段分量数；</w:t>
      </w:r>
    </w:p>
    <w:p>
      <w:pPr>
        <w:spacing w:line="360" w:lineRule="auto" w:after="0"/>
        <w:ind w:firstLine="420"/>
      </w:pPr>
      <w:r>
        <w:rPr>
          <w:rFonts w:ascii="Times New Roman" w:hAnsi="Times New Roman" w:eastAsia="宋体"/>
          <w:sz w:val="24"/>
        </w:rPr>
        <w:t>3. 计算着色器根据线程编号定位采样对象；</w:t>
      </w:r>
    </w:p>
    <w:p>
      <w:pPr>
        <w:spacing w:line="360" w:lineRule="auto" w:after="0"/>
        <w:ind w:firstLine="420"/>
      </w:pPr>
      <w:r>
        <w:rPr>
          <w:rFonts w:ascii="Times New Roman" w:hAnsi="Times New Roman" w:eastAsia="宋体"/>
          <w:sz w:val="24"/>
        </w:rPr>
        <w:t>4. 根据逻辑索引访问相邻样本；</w:t>
      </w:r>
    </w:p>
    <w:p>
      <w:pPr>
        <w:spacing w:line="360" w:lineRule="auto" w:after="0"/>
        <w:ind w:firstLine="420"/>
      </w:pPr>
      <w:r>
        <w:rPr>
          <w:rFonts w:ascii="Times New Roman" w:hAnsi="Times New Roman" w:eastAsia="宋体"/>
          <w:sz w:val="24"/>
        </w:rPr>
        <w:t>5. 计算逻辑空间差分和物理空间梯度；</w:t>
      </w:r>
    </w:p>
    <w:p>
      <w:pPr>
        <w:spacing w:line="360" w:lineRule="auto" w:after="0"/>
        <w:ind w:firstLine="420"/>
      </w:pPr>
      <w:r>
        <w:rPr>
          <w:rFonts w:ascii="Times New Roman" w:hAnsi="Times New Roman" w:eastAsia="宋体"/>
          <w:sz w:val="24"/>
        </w:rPr>
        <w:t>6. 将梯度结果写入输出缓冲。</w:t>
      </w:r>
    </w:p>
    <w:p>
      <w:pPr>
        <w:spacing w:line="360" w:lineRule="auto" w:after="0"/>
        <w:ind w:firstLine="420"/>
      </w:pPr>
      <w:r>
        <w:rPr>
          <w:rFonts w:ascii="Consolas" w:hAnsi="Consolas" w:eastAsia="Consolas"/>
          <w:sz w:val="24"/>
        </w:rPr>
        <w:t>computeRegularFD</w:t>
      </w:r>
      <w:r>
        <w:rPr>
          <w:rFonts w:ascii="Times New Roman" w:hAnsi="Times New Roman" w:eastAsia="宋体"/>
          <w:sz w:val="24"/>
        </w:rPr>
        <w:t xml:space="preserve"> 在 CPU 侧检查输入长度与维度是否一致，并根据字段长度计算分量数。GPU 端每个线程处理一个点或一个单元。对于分量数为 </w:t>
      </w:r>
      <w:r>
        <w:rPr>
          <w:rFonts w:ascii="Consolas" w:hAnsi="Consolas" w:eastAsia="Consolas"/>
          <w:sz w:val="24"/>
        </w:rPr>
        <w:t>m</w:t>
      </w:r>
      <w:r>
        <w:rPr>
          <w:rFonts w:ascii="Times New Roman" w:hAnsi="Times New Roman" w:eastAsia="宋体"/>
          <w:sz w:val="24"/>
        </w:rPr>
        <w:t xml:space="preserve"> 的输入字段，输出分量数为 </w:t>
      </w:r>
      <w:r>
        <w:rPr>
          <w:rFonts w:ascii="Consolas" w:hAnsi="Consolas" w:eastAsia="Consolas"/>
          <w:sz w:val="24"/>
        </w:rPr>
        <w:t>3m</w:t>
      </w:r>
      <w:r>
        <w:rPr>
          <w:rFonts w:ascii="Times New Roman" w:hAnsi="Times New Roman" w:eastAsia="宋体"/>
          <w:sz w:val="24"/>
        </w:rPr>
        <w:t>；标量场输出三个梯度分量，三维向量场输出九个梯度分量。该布局与后续 VTK 字段导出和实验对照保持一致。</w:t>
      </w:r>
    </w:p>
    <w:p>
      <w:pPr>
        <w:spacing w:line="360" w:lineRule="auto" w:after="0"/>
        <w:ind w:firstLine="420"/>
      </w:pPr>
      <w:r>
        <w:rPr>
          <w:rFonts w:ascii="Times New Roman" w:hAnsi="Times New Roman" w:eastAsia="宋体"/>
          <w:sz w:val="24"/>
        </w:rPr>
        <w:t>结构化网格路径要求字段长度、网格维度和采样位置保持一致。点数据使用节点维度和节点坐标，单元数据使用单元维度和单元中心坐标。处理不同字段关联方式时，系统在调度阶段选择对应的位置数组和维度参数。</w:t>
      </w:r>
    </w:p>
    <w:p>
      <w:pPr>
        <w:pStyle w:val="2"/>
        <w:spacing w:line="360" w:lineRule="auto" w:before="120" w:after="120"/>
        <w:jc w:val="left"/>
      </w:pPr>
      <w:r>
        <w:rPr>
          <w:rFonts w:ascii="Times New Roman" w:hAnsi="Times New Roman" w:eastAsia="黑体"/>
          <w:b/>
          <w:sz w:val="28"/>
        </w:rPr>
        <w:t>4.3 非结构化网格形函数导数梯度计算</w:t>
      </w:r>
    </w:p>
    <w:p>
      <w:pPr>
        <w:spacing w:line="360" w:lineRule="auto" w:after="0"/>
        <w:ind w:firstLine="420"/>
      </w:pPr>
      <w:r>
        <w:rPr>
          <w:rFonts w:ascii="Times New Roman" w:hAnsi="Times New Roman" w:eastAsia="宋体"/>
          <w:sz w:val="24"/>
        </w:rPr>
        <w:t>非结构化网格缺少固定逻辑索引，梯度计算需要依赖单元连接、单元类型和局部几何映射。系统在非结构化路径中使用形函数导数恢复单元局部梯度，并根据点数据或单元数据的关联方式选择不同处理流程。</w:t>
      </w:r>
    </w:p>
    <w:p>
      <w:pPr>
        <w:pStyle w:val="3"/>
        <w:spacing w:line="360" w:lineRule="auto" w:before="120" w:after="120"/>
        <w:jc w:val="left"/>
      </w:pPr>
      <w:r>
        <w:rPr>
          <w:rFonts w:ascii="Times New Roman" w:hAnsi="Times New Roman" w:eastAsia="黑体"/>
          <w:b/>
          <w:sz w:val="24"/>
        </w:rPr>
        <w:t>4.3.1 输入数据与单元类型</w:t>
      </w:r>
    </w:p>
    <w:p>
      <w:pPr>
        <w:spacing w:line="360" w:lineRule="auto" w:after="0"/>
        <w:ind w:firstLine="420"/>
      </w:pPr>
      <w:r>
        <w:rPr>
          <w:rFonts w:ascii="Times New Roman" w:hAnsi="Times New Roman" w:eastAsia="宋体"/>
          <w:sz w:val="24"/>
        </w:rPr>
        <w:t xml:space="preserve">非结构化梯度计算使用的主要输入数组包括 </w:t>
      </w:r>
      <w:r>
        <w:rPr>
          <w:rFonts w:ascii="Consolas" w:hAnsi="Consolas" w:eastAsia="Consolas"/>
          <w:sz w:val="24"/>
        </w:rPr>
        <w:t>points</w:t>
      </w:r>
      <w:r>
        <w:rPr>
          <w:rFonts w:ascii="Times New Roman" w:hAnsi="Times New Roman" w:eastAsia="宋体"/>
          <w:sz w:val="24"/>
        </w:rPr>
        <w:t>、</w:t>
      </w:r>
      <w:r>
        <w:rPr>
          <w:rFonts w:ascii="Consolas" w:hAnsi="Consolas" w:eastAsia="Consolas"/>
          <w:sz w:val="24"/>
        </w:rPr>
        <w:t>cells</w:t>
      </w:r>
      <w:r>
        <w:rPr>
          <w:rFonts w:ascii="Times New Roman" w:hAnsi="Times New Roman" w:eastAsia="宋体"/>
          <w:sz w:val="24"/>
        </w:rPr>
        <w:t>、</w:t>
      </w:r>
      <w:r>
        <w:rPr>
          <w:rFonts w:ascii="Consolas" w:hAnsi="Consolas" w:eastAsia="Consolas"/>
          <w:sz w:val="24"/>
        </w:rPr>
        <w:t>cellOffsets</w:t>
      </w:r>
      <w:r>
        <w:rPr>
          <w:rFonts w:ascii="Times New Roman" w:hAnsi="Times New Roman" w:eastAsia="宋体"/>
          <w:sz w:val="24"/>
        </w:rPr>
        <w:t>、</w:t>
      </w:r>
      <w:r>
        <w:rPr>
          <w:rFonts w:ascii="Consolas" w:hAnsi="Consolas" w:eastAsia="Consolas"/>
          <w:sz w:val="24"/>
        </w:rPr>
        <w:t>cellTypes</w:t>
      </w:r>
      <w:r>
        <w:rPr>
          <w:rFonts w:ascii="Times New Roman" w:hAnsi="Times New Roman" w:eastAsia="宋体"/>
          <w:sz w:val="24"/>
        </w:rPr>
        <w:t>、</w:t>
      </w:r>
      <w:r>
        <w:rPr>
          <w:rFonts w:ascii="Consolas" w:hAnsi="Consolas" w:eastAsia="Consolas"/>
          <w:sz w:val="24"/>
        </w:rPr>
        <w:t>pointInCellNeighbors</w:t>
      </w:r>
      <w:r>
        <w:rPr>
          <w:rFonts w:ascii="Times New Roman" w:hAnsi="Times New Roman" w:eastAsia="宋体"/>
          <w:sz w:val="24"/>
        </w:rPr>
        <w:t>、</w:t>
      </w:r>
      <w:r>
        <w:rPr>
          <w:rFonts w:ascii="Consolas" w:hAnsi="Consolas" w:eastAsia="Consolas"/>
          <w:sz w:val="24"/>
        </w:rPr>
        <w:t>pointInCellNeighborOffsets</w:t>
      </w:r>
      <w:r>
        <w:rPr>
          <w:rFonts w:ascii="Times New Roman" w:hAnsi="Times New Roman" w:eastAsia="宋体"/>
          <w:sz w:val="24"/>
        </w:rPr>
        <w:t xml:space="preserve"> 和字段数组。其中，</w:t>
      </w:r>
      <w:r>
        <w:rPr>
          <w:rFonts w:ascii="Consolas" w:hAnsi="Consolas" w:eastAsia="Consolas"/>
          <w:sz w:val="24"/>
        </w:rPr>
        <w:t>cells</w:t>
      </w:r>
      <w:r>
        <w:rPr>
          <w:rFonts w:ascii="Times New Roman" w:hAnsi="Times New Roman" w:eastAsia="宋体"/>
          <w:sz w:val="24"/>
        </w:rPr>
        <w:t xml:space="preserve"> 保存单元节点索引，</w:t>
      </w:r>
      <w:r>
        <w:rPr>
          <w:rFonts w:ascii="Consolas" w:hAnsi="Consolas" w:eastAsia="Consolas"/>
          <w:sz w:val="24"/>
        </w:rPr>
        <w:t>cellOffsets</w:t>
      </w:r>
      <w:r>
        <w:rPr>
          <w:rFonts w:ascii="Times New Roman" w:hAnsi="Times New Roman" w:eastAsia="宋体"/>
          <w:sz w:val="24"/>
        </w:rPr>
        <w:t xml:space="preserve"> 定位每个单元在连接数组中的起止位置，</w:t>
      </w:r>
      <w:r>
        <w:rPr>
          <w:rFonts w:ascii="Consolas" w:hAnsi="Consolas" w:eastAsia="Consolas"/>
          <w:sz w:val="24"/>
        </w:rPr>
        <w:t>pointInCellNeighbors</w:t>
      </w:r>
      <w:r>
        <w:rPr>
          <w:rFonts w:ascii="Times New Roman" w:hAnsi="Times New Roman" w:eastAsia="宋体"/>
          <w:sz w:val="24"/>
        </w:rPr>
        <w:t xml:space="preserve"> 记录每个点所属的单元集合。</w:t>
      </w:r>
    </w:p>
    <w:p>
      <w:pPr>
        <w:spacing w:line="360" w:lineRule="auto" w:after="0"/>
        <w:ind w:firstLine="420"/>
      </w:pPr>
      <w:r>
        <w:rPr>
          <w:rFonts w:ascii="Times New Roman" w:hAnsi="Times New Roman" w:eastAsia="宋体"/>
          <w:sz w:val="24"/>
        </w:rPr>
        <w:t>本文非结构化网格梯度计算主要围绕一阶三角形、四边形、四面体和六面体单元展开。这四类单元分别覆盖二维面单元和三维体单元，能够满足本文实验数据和算法验证需求。其基本处理方式如表 4-3 所示。</w:t>
      </w:r>
    </w:p>
    <w:tbl>
      <w:tblPr>
        <w:tblStyle w:val="a6"/>
        <w:tblW w:type="auto" w:w="0"/>
        <w:jc w:val="center"/>
        <w:tblLayout w:type="autofit"/>
        <w:tblLook w:firstColumn="1" w:firstRow="1" w:lastColumn="0" w:lastRow="0" w:noHBand="0" w:noVBand="1" w:val="04A0"/>
      </w:tblPr>
      <w:tblGrid>
        <w:gridCol w:w="2929"/>
        <w:gridCol w:w="2929"/>
        <w:gridCol w:w="2929"/>
      </w:tblGrid>
      <w:tr>
        <w:tc>
          <w:tcPr>
            <w:tcW w:type="dxa" w:w="2929"/>
            <w:vAlign w:val="center"/>
          </w:tcPr>
          <w:p>
            <w:pPr>
              <w:spacing w:line="240" w:lineRule="auto"/>
              <w:jc w:val="center"/>
            </w:pPr>
            <w:r>
              <w:rPr>
                <w:rFonts w:ascii="Times New Roman" w:hAnsi="Times New Roman" w:eastAsia="宋体"/>
                <w:b/>
                <w:sz w:val="21"/>
              </w:rPr>
              <w:t>单元类型</w:t>
            </w:r>
          </w:p>
        </w:tc>
        <w:tc>
          <w:tcPr>
            <w:tcW w:type="dxa" w:w="2929"/>
            <w:vAlign w:val="center"/>
          </w:tcPr>
          <w:p>
            <w:pPr>
              <w:spacing w:line="240" w:lineRule="auto"/>
              <w:jc w:val="center"/>
            </w:pPr>
            <w:r>
              <w:rPr>
                <w:rFonts w:ascii="Times New Roman" w:hAnsi="Times New Roman" w:eastAsia="宋体"/>
                <w:b/>
                <w:sz w:val="21"/>
              </w:rPr>
              <w:t>节点数</w:t>
            </w:r>
          </w:p>
        </w:tc>
        <w:tc>
          <w:tcPr>
            <w:tcW w:type="dxa" w:w="2929"/>
            <w:vAlign w:val="center"/>
          </w:tcPr>
          <w:p>
            <w:pPr>
              <w:spacing w:line="240" w:lineRule="auto"/>
              <w:jc w:val="center"/>
            </w:pPr>
            <w:r>
              <w:rPr>
                <w:rFonts w:ascii="Times New Roman" w:hAnsi="Times New Roman" w:eastAsia="宋体"/>
                <w:b/>
                <w:sz w:val="21"/>
              </w:rPr>
              <w:t>处理方式</w:t>
            </w:r>
          </w:p>
        </w:tc>
      </w:tr>
      <w:tr>
        <w:tc>
          <w:tcPr>
            <w:tcW w:type="dxa" w:w="2929"/>
            <w:vAlign w:val="center"/>
          </w:tcPr>
          <w:p>
            <w:pPr>
              <w:spacing w:line="240" w:lineRule="auto"/>
              <w:jc w:val="center"/>
            </w:pPr>
            <w:r>
              <w:rPr>
                <w:rFonts w:ascii="Times New Roman" w:hAnsi="Times New Roman" w:eastAsia="宋体"/>
                <w:b w:val="0"/>
                <w:sz w:val="21"/>
              </w:rPr>
              <w:t>三角形</w:t>
            </w:r>
          </w:p>
        </w:tc>
        <w:tc>
          <w:tcPr>
            <w:tcW w:type="dxa" w:w="2929"/>
            <w:vAlign w:val="center"/>
          </w:tcPr>
          <w:p>
            <w:pPr>
              <w:spacing w:line="240" w:lineRule="auto"/>
              <w:jc w:val="center"/>
            </w:pPr>
            <w:r>
              <w:rPr>
                <w:rFonts w:ascii="Times New Roman" w:hAnsi="Times New Roman" w:eastAsia="宋体"/>
                <w:b w:val="0"/>
                <w:sz w:val="21"/>
              </w:rPr>
              <w:t>3</w:t>
            </w:r>
          </w:p>
        </w:tc>
        <w:tc>
          <w:tcPr>
            <w:tcW w:type="dxa" w:w="2929"/>
            <w:vAlign w:val="center"/>
          </w:tcPr>
          <w:p>
            <w:pPr>
              <w:spacing w:line="240" w:lineRule="auto"/>
              <w:jc w:val="center"/>
            </w:pPr>
            <w:r>
              <w:rPr>
                <w:rFonts w:ascii="Times New Roman" w:hAnsi="Times New Roman" w:eastAsia="宋体"/>
                <w:b w:val="0"/>
                <w:sz w:val="21"/>
              </w:rPr>
              <w:t>线性形函数</w:t>
            </w:r>
          </w:p>
        </w:tc>
      </w:tr>
      <w:tr>
        <w:tc>
          <w:tcPr>
            <w:tcW w:type="dxa" w:w="2929"/>
            <w:vAlign w:val="center"/>
          </w:tcPr>
          <w:p>
            <w:pPr>
              <w:spacing w:line="240" w:lineRule="auto"/>
              <w:jc w:val="center"/>
            </w:pPr>
            <w:r>
              <w:rPr>
                <w:rFonts w:ascii="Times New Roman" w:hAnsi="Times New Roman" w:eastAsia="宋体"/>
                <w:b w:val="0"/>
                <w:sz w:val="21"/>
              </w:rPr>
              <w:t>四边形</w:t>
            </w:r>
          </w:p>
        </w:tc>
        <w:tc>
          <w:tcPr>
            <w:tcW w:type="dxa" w:w="2929"/>
            <w:vAlign w:val="center"/>
          </w:tcPr>
          <w:p>
            <w:pPr>
              <w:spacing w:line="240" w:lineRule="auto"/>
              <w:jc w:val="center"/>
            </w:pPr>
            <w:r>
              <w:rPr>
                <w:rFonts w:ascii="Times New Roman" w:hAnsi="Times New Roman" w:eastAsia="宋体"/>
                <w:b w:val="0"/>
                <w:sz w:val="21"/>
              </w:rPr>
              <w:t>4</w:t>
            </w:r>
          </w:p>
        </w:tc>
        <w:tc>
          <w:tcPr>
            <w:tcW w:type="dxa" w:w="2929"/>
            <w:vAlign w:val="center"/>
          </w:tcPr>
          <w:p>
            <w:pPr>
              <w:spacing w:line="240" w:lineRule="auto"/>
              <w:jc w:val="center"/>
            </w:pPr>
            <w:r>
              <w:rPr>
                <w:rFonts w:ascii="Times New Roman" w:hAnsi="Times New Roman" w:eastAsia="宋体"/>
                <w:b w:val="0"/>
                <w:sz w:val="21"/>
              </w:rPr>
              <w:t>双线性形函数</w:t>
            </w:r>
          </w:p>
        </w:tc>
      </w:tr>
      <w:tr>
        <w:tc>
          <w:tcPr>
            <w:tcW w:type="dxa" w:w="2929"/>
            <w:vAlign w:val="center"/>
          </w:tcPr>
          <w:p>
            <w:pPr>
              <w:spacing w:line="240" w:lineRule="auto"/>
              <w:jc w:val="center"/>
            </w:pPr>
            <w:r>
              <w:rPr>
                <w:rFonts w:ascii="Times New Roman" w:hAnsi="Times New Roman" w:eastAsia="宋体"/>
                <w:b w:val="0"/>
                <w:sz w:val="21"/>
              </w:rPr>
              <w:t>四面体</w:t>
            </w:r>
          </w:p>
        </w:tc>
        <w:tc>
          <w:tcPr>
            <w:tcW w:type="dxa" w:w="2929"/>
            <w:vAlign w:val="center"/>
          </w:tcPr>
          <w:p>
            <w:pPr>
              <w:spacing w:line="240" w:lineRule="auto"/>
              <w:jc w:val="center"/>
            </w:pPr>
            <w:r>
              <w:rPr>
                <w:rFonts w:ascii="Times New Roman" w:hAnsi="Times New Roman" w:eastAsia="宋体"/>
                <w:b w:val="0"/>
                <w:sz w:val="21"/>
              </w:rPr>
              <w:t>4</w:t>
            </w:r>
          </w:p>
        </w:tc>
        <w:tc>
          <w:tcPr>
            <w:tcW w:type="dxa" w:w="2929"/>
            <w:vAlign w:val="center"/>
          </w:tcPr>
          <w:p>
            <w:pPr>
              <w:spacing w:line="240" w:lineRule="auto"/>
              <w:jc w:val="center"/>
            </w:pPr>
            <w:r>
              <w:rPr>
                <w:rFonts w:ascii="Times New Roman" w:hAnsi="Times New Roman" w:eastAsia="宋体"/>
                <w:b w:val="0"/>
                <w:sz w:val="21"/>
              </w:rPr>
              <w:t>线性形函数</w:t>
            </w:r>
          </w:p>
        </w:tc>
      </w:tr>
      <w:tr>
        <w:tc>
          <w:tcPr>
            <w:tcW w:type="dxa" w:w="2929"/>
            <w:vAlign w:val="center"/>
          </w:tcPr>
          <w:p>
            <w:pPr>
              <w:spacing w:line="240" w:lineRule="auto"/>
              <w:jc w:val="center"/>
            </w:pPr>
            <w:r>
              <w:rPr>
                <w:rFonts w:ascii="Times New Roman" w:hAnsi="Times New Roman" w:eastAsia="宋体"/>
                <w:b w:val="0"/>
                <w:sz w:val="21"/>
              </w:rPr>
              <w:t>六面体</w:t>
            </w:r>
          </w:p>
        </w:tc>
        <w:tc>
          <w:tcPr>
            <w:tcW w:type="dxa" w:w="2929"/>
            <w:vAlign w:val="center"/>
          </w:tcPr>
          <w:p>
            <w:pPr>
              <w:spacing w:line="240" w:lineRule="auto"/>
              <w:jc w:val="center"/>
            </w:pPr>
            <w:r>
              <w:rPr>
                <w:rFonts w:ascii="Times New Roman" w:hAnsi="Times New Roman" w:eastAsia="宋体"/>
                <w:b w:val="0"/>
                <w:sz w:val="21"/>
              </w:rPr>
              <w:t>8</w:t>
            </w:r>
          </w:p>
        </w:tc>
        <w:tc>
          <w:tcPr>
            <w:tcW w:type="dxa" w:w="2929"/>
            <w:vAlign w:val="center"/>
          </w:tcPr>
          <w:p>
            <w:pPr>
              <w:spacing w:line="240" w:lineRule="auto"/>
              <w:jc w:val="center"/>
            </w:pPr>
            <w:r>
              <w:rPr>
                <w:rFonts w:ascii="Times New Roman" w:hAnsi="Times New Roman" w:eastAsia="宋体"/>
                <w:b w:val="0"/>
                <w:sz w:val="21"/>
              </w:rPr>
              <w:t>三线性形函数</w:t>
            </w:r>
          </w:p>
        </w:tc>
      </w:tr>
    </w:tbl>
    <w:p/>
    <w:p>
      <w:pPr>
        <w:spacing w:line="360" w:lineRule="auto" w:after="0"/>
        <w:ind w:firstLine="420"/>
      </w:pPr>
      <w:r>
        <w:rPr>
          <w:rFonts w:ascii="Times New Roman" w:hAnsi="Times New Roman" w:eastAsia="宋体"/>
          <w:sz w:val="24"/>
        </w:rPr>
        <w:t xml:space="preserve">不同单元类型对应不同的参考坐标和形函数导数。GPU 端根据 </w:t>
      </w:r>
      <w:r>
        <w:rPr>
          <w:rFonts w:ascii="Consolas" w:hAnsi="Consolas" w:eastAsia="Consolas"/>
          <w:sz w:val="24"/>
        </w:rPr>
        <w:t>cellTypes</w:t>
      </w:r>
      <w:r>
        <w:rPr>
          <w:rFonts w:ascii="Times New Roman" w:hAnsi="Times New Roman" w:eastAsia="宋体"/>
          <w:sz w:val="24"/>
        </w:rPr>
        <w:t xml:space="preserve"> 选择相应计算分支，并结合单元节点坐标构造局部几何映射。对于局部几何退化、映射矩阵不可逆或度量矩阵奇异的情况，着色器跳过该单元贡献或保留默认输出，避免无效值继续参与结果写回。</w:t>
      </w:r>
    </w:p>
    <w:p>
      <w:pPr>
        <w:pStyle w:val="3"/>
        <w:spacing w:line="360" w:lineRule="auto" w:before="120" w:after="120"/>
        <w:jc w:val="left"/>
      </w:pPr>
      <w:r>
        <w:rPr>
          <w:rFonts w:ascii="Times New Roman" w:hAnsi="Times New Roman" w:eastAsia="黑体"/>
          <w:b/>
          <w:sz w:val="24"/>
        </w:rPr>
        <w:t>4.3.2 点数据梯度计算</w:t>
      </w:r>
    </w:p>
    <w:p>
      <w:pPr>
        <w:spacing w:line="360" w:lineRule="auto" w:after="0"/>
        <w:ind w:firstLine="420"/>
      </w:pPr>
      <w:r>
        <w:rPr>
          <w:rFonts w:ascii="Times New Roman" w:hAnsi="Times New Roman" w:eastAsia="宋体"/>
          <w:sz w:val="24"/>
        </w:rPr>
        <w:t xml:space="preserve">非结构化点数据已有节点字段值，可直接用于形函数插值框架。系统首先通过 </w:t>
      </w:r>
      <w:r>
        <w:rPr>
          <w:rFonts w:ascii="Consolas" w:hAnsi="Consolas" w:eastAsia="Consolas"/>
          <w:sz w:val="24"/>
        </w:rPr>
        <w:t>pointInCellNeighbors</w:t>
      </w:r>
      <w:r>
        <w:rPr>
          <w:rFonts w:ascii="Times New Roman" w:hAnsi="Times New Roman" w:eastAsia="宋体"/>
          <w:sz w:val="24"/>
        </w:rPr>
        <w:t xml:space="preserve"> 找到每个点关联的单元集合。若一个点同时关联不同维度的单元，则优先使用维度最高的单元参与梯度恢复，以减少低维单元对梯度恢复结果的干扰。</w:t>
      </w:r>
    </w:p>
    <w:p>
      <w:pPr>
        <w:spacing w:line="360" w:lineRule="auto" w:after="0"/>
        <w:ind w:firstLine="420"/>
      </w:pPr>
      <w:r>
        <w:rPr>
          <w:rFonts w:ascii="Times New Roman" w:hAnsi="Times New Roman" w:eastAsia="宋体"/>
          <w:sz w:val="24"/>
        </w:rPr>
        <w:t xml:space="preserve">设第 </w:t>
      </w:r>
      <w:r>
        <w:rPr>
          <w:rFonts w:ascii="Consolas" w:hAnsi="Consolas" w:eastAsia="Consolas"/>
          <w:sz w:val="24"/>
        </w:rPr>
        <w:t>i</w:t>
      </w:r>
      <w:r>
        <w:rPr>
          <w:rFonts w:ascii="Times New Roman" w:hAnsi="Times New Roman" w:eastAsia="宋体"/>
          <w:sz w:val="24"/>
        </w:rPr>
        <w:t xml:space="preserve"> 个点的关联单元集合为 </w:t>
      </w:r>
      <w:r>
        <w:rPr>
          <w:rFonts w:ascii="Consolas" w:hAnsi="Consolas" w:eastAsia="Consolas"/>
          <w:sz w:val="24"/>
        </w:rPr>
        <w:t>C_i</w:t>
      </w:r>
      <w:r>
        <w:rPr>
          <w:rFonts w:ascii="Times New Roman" w:hAnsi="Times New Roman" w:eastAsia="宋体"/>
          <w:sz w:val="24"/>
        </w:rPr>
        <w:t xml:space="preserve">，筛选后的贡献单元集合为 </w:t>
      </w:r>
      <w:r>
        <w:rPr>
          <w:rFonts w:ascii="Consolas" w:hAnsi="Consolas" w:eastAsia="Consolas"/>
          <w:sz w:val="24"/>
        </w:rPr>
        <w:t>C_i^*</w:t>
      </w:r>
      <w:r>
        <w:rPr>
          <w:rFonts w:ascii="Times New Roman" w:hAnsi="Times New Roman" w:eastAsia="宋体"/>
          <w:sz w:val="24"/>
        </w:rPr>
        <w:t xml:space="preserve">。对于任一贡献单元 </w:t>
      </w:r>
      <w:r>
        <w:rPr>
          <w:rFonts w:ascii="Consolas" w:hAnsi="Consolas" w:eastAsia="Consolas"/>
          <w:sz w:val="24"/>
        </w:rPr>
        <w:t>e</w:t>
      </w:r>
      <w:r>
        <w:rPr>
          <w:rFonts w:ascii="Times New Roman" w:hAnsi="Times New Roman" w:eastAsia="宋体"/>
          <w:sz w:val="24"/>
        </w:rPr>
        <w:t>，单元内字段可表示为</w:t>
      </w:r>
    </w:p>
    <w:p>
      <w:pPr>
        <w:spacing w:line="240" w:lineRule="auto" w:before="80" w:after="80"/>
        <w:ind w:firstLine="0"/>
        <w:jc w:val="center"/>
      </w:pPr>
      <m:oMath>
        <m:sSub>
          <m:e>
            <m:r>
              <m:t>u</m:t>
            </m:r>
          </m:e>
          <m:sub>
            <m:r>
              <m:t>e</m:t>
            </m:r>
          </m:sub>
        </m:sSub>
        <m:r>
          <m:t>(</m:t>
        </m:r>
        <m:r>
          <m:t>ξ</m:t>
        </m:r>
        <m:r>
          <m:t>)</m:t>
        </m:r>
        <m:r>
          <m:t>=</m:t>
        </m:r>
        <m:sSub>
          <m:e>
            <m:r>
              <m:t>∑</m:t>
            </m:r>
          </m:e>
          <m:sub>
            <m:r>
              <m:t>a</m:t>
            </m:r>
          </m:sub>
        </m:sSub>
        <m:sSub>
          <m:e>
            <m:r>
              <m:t>N</m:t>
            </m:r>
          </m:e>
          <m:sub>
            <m:r>
              <m:t>a</m:t>
            </m:r>
          </m:sub>
        </m:sSub>
        <m:r>
          <m:t>(</m:t>
        </m:r>
        <m:r>
          <m:t>ξ</m:t>
        </m:r>
        <m:r>
          <m:t>)</m:t>
        </m:r>
        <m:sSub>
          <m:e>
            <m:r>
              <m:t>u</m:t>
            </m:r>
          </m:e>
          <m:sub>
            <m:r>
              <m:t>a</m:t>
            </m:r>
          </m:sub>
        </m:sSub>
      </m:oMath>
    </w:p>
    <w:p>
      <w:pPr>
        <w:spacing w:line="360" w:lineRule="auto" w:after="0"/>
        <w:ind w:firstLine="420"/>
      </w:pPr>
      <w:r>
        <w:rPr>
          <w:rFonts w:ascii="Times New Roman" w:hAnsi="Times New Roman" w:eastAsia="宋体"/>
          <w:sz w:val="24"/>
        </w:rPr>
        <w:t>其物理空间梯度为</w:t>
      </w:r>
    </w:p>
    <w:p>
      <w:pPr>
        <w:spacing w:line="240" w:lineRule="auto" w:before="80" w:after="80"/>
        <w:ind w:firstLine="0"/>
        <w:jc w:val="center"/>
      </w:pPr>
      <m:oMath>
        <m:sSub>
          <m:e>
            <m:r>
              <m:t>∇</m:t>
            </m:r>
          </m:e>
          <m:sub>
            <m:r>
              <m:t>x</m:t>
            </m:r>
          </m:sub>
        </m:sSub>
        <m:sSub>
          <m:e>
            <m:r>
              <m:t>u</m:t>
            </m:r>
          </m:e>
          <m:sub>
            <m:r>
              <m:t>e</m:t>
            </m:r>
          </m:sub>
        </m:sSub>
        <m:r>
          <m:t>=</m:t>
        </m:r>
        <m:sSub>
          <m:e>
            <m:r>
              <m:t>∑</m:t>
            </m:r>
          </m:e>
          <m:sub>
            <m:r>
              <m:t>a</m:t>
            </m:r>
          </m:sub>
        </m:sSub>
        <m:sSub>
          <m:e>
            <m:r>
              <m:t>u</m:t>
            </m:r>
          </m:e>
          <m:sub>
            <m:r>
              <m:t>a</m:t>
            </m:r>
          </m:sub>
        </m:sSub>
        <m:sSub>
          <m:e>
            <m:r>
              <m:t>∇</m:t>
            </m:r>
          </m:e>
          <m:sub>
            <m:r>
              <m:t>x</m:t>
            </m:r>
          </m:sub>
        </m:sSub>
        <m:sSub>
          <m:e>
            <m:r>
              <m:t>N</m:t>
            </m:r>
          </m:e>
          <m:sub>
            <m:r>
              <m:t>a</m:t>
            </m:r>
          </m:sub>
        </m:sSub>
      </m:oMath>
    </w:p>
    <w:p>
      <w:pPr>
        <w:spacing w:line="360" w:lineRule="auto" w:after="0"/>
        <w:ind w:firstLine="420"/>
      </w:pPr>
      <w:r>
        <w:rPr>
          <w:rFonts w:ascii="Times New Roman" w:hAnsi="Times New Roman" w:eastAsia="宋体"/>
          <w:sz w:val="24"/>
        </w:rPr>
        <w:t>当一个点由多个单元共同贡献时，系统对各单元梯度求平均：</w:t>
      </w:r>
    </w:p>
    <w:p>
      <w:pPr>
        <w:spacing w:line="240" w:lineRule="auto" w:before="80" w:after="80"/>
        <w:ind w:firstLine="0"/>
        <w:jc w:val="center"/>
      </w:pPr>
      <m:oMath>
        <m:sSub>
          <m:e>
            <m:r>
              <m:t>∇</m:t>
            </m:r>
          </m:e>
          <m:sub>
            <m:r>
              <m:t>x</m:t>
            </m:r>
          </m:sub>
        </m:sSub>
        <m:sSub>
          <m:e>
            <m:r>
              <m:t>u</m:t>
            </m:r>
          </m:e>
          <m:sub>
            <m:r>
              <m:t>i</m:t>
            </m:r>
          </m:sub>
        </m:sSub>
        <m:r>
          <m:t>=</m:t>
        </m:r>
        <m:f>
          <m:num>
            <m:r>
              <m:t>1</m:t>
            </m:r>
          </m:num>
          <m:den>
            <m:r>
              <m:t>|</m:t>
            </m:r>
            <m:sSubSup>
              <m:e>
                <m:r>
                  <m:t>C</m:t>
                </m:r>
              </m:e>
              <m:sub>
                <m:r>
                  <m:t>i</m:t>
                </m:r>
              </m:sub>
              <m:sup>
                <m:r>
                  <m:t>*</m:t>
                </m:r>
              </m:sup>
            </m:sSubSup>
            <m:r>
              <m:t>|</m:t>
            </m:r>
          </m:den>
        </m:f>
        <m:sSub>
          <m:e>
            <m:r>
              <m:t>∑</m:t>
            </m:r>
          </m:e>
          <m:sub>
            <m:r>
              <m:t>e</m:t>
            </m:r>
            <m:r>
              <m:t>∈</m:t>
            </m:r>
            <m:sSubSup>
              <m:e>
                <m:r>
                  <m:t>C</m:t>
                </m:r>
              </m:e>
              <m:sub>
                <m:r>
                  <m:t>i</m:t>
                </m:r>
              </m:sub>
              <m:sup>
                <m:r>
                  <m:t>*</m:t>
                </m:r>
              </m:sup>
            </m:sSubSup>
          </m:sub>
        </m:sSub>
        <m:sSub>
          <m:e>
            <m:r>
              <m:t>∇</m:t>
            </m:r>
          </m:e>
          <m:sub>
            <m:r>
              <m:t>x</m:t>
            </m:r>
          </m:sub>
        </m:sSub>
        <m:sSub>
          <m:e>
            <m:r>
              <m:t>u</m:t>
            </m:r>
          </m:e>
          <m:sub>
            <m:r>
              <m:t>e</m:t>
            </m:r>
          </m:sub>
        </m:sSub>
      </m:oMath>
    </w:p>
    <w:p>
      <w:pPr>
        <w:spacing w:line="360" w:lineRule="auto" w:after="0"/>
        <w:ind w:firstLine="420"/>
      </w:pPr>
      <w:r>
        <w:rPr>
          <w:rFonts w:ascii="Times New Roman" w:hAnsi="Times New Roman" w:eastAsia="宋体"/>
          <w:sz w:val="24"/>
        </w:rPr>
        <w:t>多单元平均用于降低单个局部单元对点梯度结果的影响。对于线性场，若单元几何和形函数导数计算正确，各贡献单元得到的梯度应一致或接近一致；对于非线性场或局部畸变网格，平均处理有助于提高点梯度结果的稳定性。</w:t>
      </w:r>
    </w:p>
    <w:p>
      <w:pPr>
        <w:spacing w:line="360" w:lineRule="auto" w:after="0"/>
        <w:ind w:firstLine="420"/>
      </w:pPr>
      <w:r>
        <w:rPr>
          <w:rFonts w:ascii="Times New Roman" w:hAnsi="Times New Roman" w:eastAsia="宋体"/>
          <w:sz w:val="24"/>
        </w:rPr>
        <w:t>在实现中，三角形和四面体的参考坐标可由节点局部编号直接确定。四边形和六面体涉及双线性或三线性映射，系统根据单元类型计算相应参考坐标和形函数导数。六面体单元在必要时采用迭代方式恢复局部参数坐标，以获得对应位置处的形函数导数。</w:t>
      </w:r>
    </w:p>
    <w:p>
      <w:pPr>
        <w:pStyle w:val="3"/>
        <w:spacing w:line="360" w:lineRule="auto" w:before="120" w:after="120"/>
        <w:jc w:val="left"/>
      </w:pPr>
      <w:r>
        <w:rPr>
          <w:rFonts w:ascii="Times New Roman" w:hAnsi="Times New Roman" w:eastAsia="黑体"/>
          <w:b/>
          <w:sz w:val="24"/>
        </w:rPr>
        <w:t>4.3.3 单元数据梯度计算</w:t>
      </w:r>
    </w:p>
    <w:p>
      <w:pPr>
        <w:spacing w:line="360" w:lineRule="auto" w:after="0"/>
        <w:ind w:firstLine="420"/>
      </w:pPr>
      <w:r>
        <w:rPr>
          <w:rFonts w:ascii="Times New Roman" w:hAnsi="Times New Roman" w:eastAsia="宋体"/>
          <w:sz w:val="24"/>
        </w:rPr>
        <w:t xml:space="preserve">单元数据定义在单元上，不能直接作为节点值代入形函数导数公式。系统采用“单元场提升到点级中间场，再在单元中心求梯度”的路径处理单元数据。该路径对应 </w:t>
      </w:r>
      <w:r>
        <w:rPr>
          <w:rFonts w:ascii="Consolas" w:hAnsi="Consolas" w:eastAsia="Consolas"/>
          <w:sz w:val="24"/>
        </w:rPr>
        <w:t>CellDataToPointLift.glsl</w:t>
      </w:r>
      <w:r>
        <w:rPr>
          <w:rFonts w:ascii="Times New Roman" w:hAnsi="Times New Roman" w:eastAsia="宋体"/>
          <w:sz w:val="24"/>
        </w:rPr>
        <w:t xml:space="preserve"> 和 </w:t>
      </w:r>
      <w:r>
        <w:rPr>
          <w:rFonts w:ascii="Consolas" w:hAnsi="Consolas" w:eastAsia="Consolas"/>
          <w:sz w:val="24"/>
        </w:rPr>
        <w:t>ShapeCellGradient.glsl</w:t>
      </w:r>
      <w:r>
        <w:rPr>
          <w:rFonts w:ascii="Times New Roman" w:hAnsi="Times New Roman" w:eastAsia="宋体"/>
          <w:sz w:val="24"/>
        </w:rPr>
        <w:t>。</w:t>
      </w:r>
    </w:p>
    <w:p>
      <w:pPr>
        <w:spacing w:line="360" w:lineRule="auto" w:after="0"/>
        <w:ind w:firstLine="420"/>
      </w:pPr>
      <w:r>
        <w:rPr>
          <w:rFonts w:ascii="Times New Roman" w:hAnsi="Times New Roman" w:eastAsia="宋体"/>
          <w:sz w:val="24"/>
        </w:rPr>
        <w:t xml:space="preserve">设点 </w:t>
      </w:r>
      <w:r>
        <w:rPr>
          <w:rFonts w:ascii="Consolas" w:hAnsi="Consolas" w:eastAsia="Consolas"/>
          <w:sz w:val="24"/>
        </w:rPr>
        <w:t>i</w:t>
      </w:r>
      <w:r>
        <w:rPr>
          <w:rFonts w:ascii="Times New Roman" w:hAnsi="Times New Roman" w:eastAsia="宋体"/>
          <w:sz w:val="24"/>
        </w:rPr>
        <w:t xml:space="preserve"> 关联的单元集合为 </w:t>
      </w:r>
      <w:r>
        <w:rPr>
          <w:rFonts w:ascii="Consolas" w:hAnsi="Consolas" w:eastAsia="Consolas"/>
          <w:sz w:val="24"/>
        </w:rPr>
        <w:t>C_i</w:t>
      </w:r>
      <w:r>
        <w:rPr>
          <w:rFonts w:ascii="Times New Roman" w:hAnsi="Times New Roman" w:eastAsia="宋体"/>
          <w:sz w:val="24"/>
        </w:rPr>
        <w:t xml:space="preserve">，单元字段值为 </w:t>
      </w:r>
      <w:r>
        <w:rPr>
          <w:rFonts w:ascii="Consolas" w:hAnsi="Consolas" w:eastAsia="Consolas"/>
          <w:sz w:val="24"/>
        </w:rPr>
        <w:t>u_e</w:t>
      </w:r>
      <w:r>
        <w:rPr>
          <w:rFonts w:ascii="Times New Roman" w:hAnsi="Times New Roman" w:eastAsia="宋体"/>
          <w:sz w:val="24"/>
        </w:rPr>
        <w:t>，则点级中间值可写为</w:t>
      </w:r>
    </w:p>
    <w:p>
      <w:pPr>
        <w:spacing w:line="240" w:lineRule="auto" w:before="80" w:after="80"/>
        <w:ind w:firstLine="0"/>
        <w:jc w:val="center"/>
      </w:pPr>
      <m:oMath>
        <m:sSub>
          <m:e>
            <m:acc>
              <m:accPr>
                <m:chr m:val="~"/>
              </m:accPr>
              <m:e>
                <m:r>
                  <m:t>u</m:t>
                </m:r>
              </m:e>
            </m:acc>
          </m:e>
          <m:sub>
            <m:r>
              <m:t>i</m:t>
            </m:r>
          </m:sub>
        </m:sSub>
        <m:r>
          <m:t>=</m:t>
        </m:r>
        <m:f>
          <m:num>
            <m:r>
              <m:t>1</m:t>
            </m:r>
          </m:num>
          <m:den>
            <m:r>
              <m:t>|</m:t>
            </m:r>
            <m:sSub>
              <m:e>
                <m:r>
                  <m:t>C</m:t>
                </m:r>
              </m:e>
              <m:sub>
                <m:r>
                  <m:t>i</m:t>
                </m:r>
              </m:sub>
            </m:sSub>
            <m:r>
              <m:t>|</m:t>
            </m:r>
          </m:den>
        </m:f>
        <m:sSub>
          <m:e>
            <m:r>
              <m:t>∑</m:t>
            </m:r>
          </m:e>
          <m:sub>
            <m:r>
              <m:t>e</m:t>
            </m:r>
            <m:r>
              <m:t>∈</m:t>
            </m:r>
            <m:sSub>
              <m:e>
                <m:r>
                  <m:t>C</m:t>
                </m:r>
              </m:e>
              <m:sub>
                <m:r>
                  <m:t>i</m:t>
                </m:r>
              </m:sub>
            </m:sSub>
          </m:sub>
        </m:sSub>
        <m:sSub>
          <m:e>
            <m:r>
              <m:t>u</m:t>
            </m:r>
          </m:e>
          <m:sub>
            <m:r>
              <m:t>e</m:t>
            </m:r>
          </m:sub>
        </m:sSub>
      </m:oMath>
    </w:p>
    <w:p>
      <w:pPr>
        <w:spacing w:line="360" w:lineRule="auto" w:after="0"/>
        <w:ind w:firstLine="420"/>
      </w:pPr>
      <w:r>
        <w:rPr>
          <w:rFonts w:ascii="Times New Roman" w:hAnsi="Times New Roman" w:eastAsia="宋体"/>
          <w:sz w:val="24"/>
        </w:rPr>
        <w:t>得到点级中间场后，系统在单元中心参考坐标处计算形函数导数梯度：</w:t>
      </w:r>
    </w:p>
    <w:p>
      <w:pPr>
        <w:spacing w:line="240" w:lineRule="auto" w:before="80" w:after="80"/>
        <w:ind w:firstLine="0"/>
        <w:jc w:val="center"/>
      </w:pPr>
      <m:oMath>
        <m:sSub>
          <m:e>
            <m:r>
              <m:t>∇</m:t>
            </m:r>
          </m:e>
          <m:sub>
            <m:r>
              <m:t>x</m:t>
            </m:r>
          </m:sub>
        </m:sSub>
        <m:sSub>
          <m:e>
            <m:r>
              <m:t>u</m:t>
            </m:r>
          </m:e>
          <m:sub>
            <m:r>
              <m:t>e</m:t>
            </m:r>
          </m:sub>
        </m:sSub>
        <m:r>
          <m:t>=</m:t>
        </m:r>
        <m:sSub>
          <m:e>
            <m:r>
              <m:t>∑</m:t>
            </m:r>
          </m:e>
          <m:sub>
            <m:r>
              <m:t>a</m:t>
            </m:r>
          </m:sub>
        </m:sSub>
        <m:sSub>
          <m:e>
            <m:acc>
              <m:accPr>
                <m:chr m:val="~"/>
              </m:accPr>
              <m:e>
                <m:r>
                  <m:t>u</m:t>
                </m:r>
              </m:e>
            </m:acc>
          </m:e>
          <m:sub>
            <m:r>
              <m:t>a</m:t>
            </m:r>
          </m:sub>
        </m:sSub>
        <m:sSub>
          <m:e>
            <m:r>
              <m:t>∇</m:t>
            </m:r>
          </m:e>
          <m:sub>
            <m:r>
              <m:t>x</m:t>
            </m:r>
          </m:sub>
        </m:sSub>
        <m:sSub>
          <m:e>
            <m:r>
              <m:t>N</m:t>
            </m:r>
          </m:e>
          <m:sub>
            <m:r>
              <m:t>a</m:t>
            </m:r>
          </m:sub>
        </m:sSub>
        <m:r>
          <m:t>(</m:t>
        </m:r>
        <m:sSub>
          <m:e>
            <m:r>
              <m:t>ξ</m:t>
            </m:r>
          </m:e>
          <m:sub>
            <m:r>
              <m:t>c</m:t>
            </m:r>
          </m:sub>
        </m:sSub>
        <m:r>
          <m:t>)</m:t>
        </m:r>
      </m:oMath>
    </w:p>
    <w:p>
      <w:pPr>
        <w:spacing w:line="360" w:lineRule="auto" w:after="0"/>
        <w:ind w:firstLine="420"/>
      </w:pPr>
      <w:r>
        <w:rPr>
          <w:rFonts w:ascii="Times New Roman" w:hAnsi="Times New Roman" w:eastAsia="宋体"/>
          <w:sz w:val="24"/>
        </w:rPr>
        <w:t>其中，</w:t>
      </w:r>
      <w:r>
        <w:rPr>
          <w:rFonts w:ascii="Consolas" w:hAnsi="Consolas" w:eastAsia="Consolas"/>
          <w:sz w:val="24"/>
        </w:rPr>
        <w:t>\xi_c</w:t>
      </w:r>
      <w:r>
        <w:rPr>
          <w:rFonts w:ascii="Times New Roman" w:hAnsi="Times New Roman" w:eastAsia="宋体"/>
          <w:sz w:val="24"/>
        </w:rPr>
        <w:t xml:space="preserve"> 表示单元中心的参考坐标，</w:t>
      </w:r>
      <w:r>
        <w:rPr>
          <w:rFonts w:ascii="Consolas" w:hAnsi="Consolas" w:eastAsia="Consolas"/>
          <w:sz w:val="24"/>
        </w:rPr>
        <w:t>\tilde u_a</w:t>
      </w:r>
      <w:r>
        <w:rPr>
          <w:rFonts w:ascii="Times New Roman" w:hAnsi="Times New Roman" w:eastAsia="宋体"/>
          <w:sz w:val="24"/>
        </w:rPr>
        <w:t xml:space="preserve"> 表示单元节点对应的提升后字段值。该路径保留了单元数据的输出关联方式，最终梯度结果仍写回单元字段。由于单元场提升包含局部平均过程，非结构化单元数据梯度会受到局部重构方式影响，后续实验中将单元数据结果与点数据结果分开分析。</w:t>
      </w:r>
    </w:p>
    <w:p>
      <w:pPr>
        <w:pStyle w:val="3"/>
        <w:spacing w:line="360" w:lineRule="auto" w:before="120" w:after="120"/>
        <w:jc w:val="left"/>
      </w:pPr>
      <w:r>
        <w:rPr>
          <w:rFonts w:ascii="Times New Roman" w:hAnsi="Times New Roman" w:eastAsia="黑体"/>
          <w:b/>
          <w:sz w:val="24"/>
        </w:rPr>
        <w:t>4.3.4 GPU 实现与异常处理</w:t>
      </w:r>
    </w:p>
    <w:p>
      <w:pPr>
        <w:spacing w:line="360" w:lineRule="auto" w:after="0"/>
        <w:ind w:firstLine="420"/>
      </w:pPr>
      <w:r>
        <w:rPr>
          <w:rFonts w:ascii="Times New Roman" w:hAnsi="Times New Roman" w:eastAsia="宋体"/>
          <w:sz w:val="24"/>
        </w:rPr>
        <w:t xml:space="preserve">非结构化点数据梯度由 </w:t>
      </w:r>
      <w:r>
        <w:rPr>
          <w:rFonts w:ascii="Consolas" w:hAnsi="Consolas" w:eastAsia="Consolas"/>
          <w:sz w:val="24"/>
        </w:rPr>
        <w:t>ShapePointGradient.glsl</w:t>
      </w:r>
      <w:r>
        <w:rPr>
          <w:rFonts w:ascii="Times New Roman" w:hAnsi="Times New Roman" w:eastAsia="宋体"/>
          <w:sz w:val="24"/>
        </w:rPr>
        <w:t xml:space="preserve"> 计算。CPU 侧上传点坐标、单元连接、单元类型、点-单元关系和点字段值，GPU 端每个线程处理一个点。线程首先读取该点的关联单元范围，再对有效贡献单元计算局部梯度并平均写入输出缓冲。</w:t>
      </w:r>
    </w:p>
    <w:p>
      <w:pPr>
        <w:spacing w:line="360" w:lineRule="auto" w:after="0"/>
        <w:ind w:firstLine="420"/>
      </w:pPr>
      <w:r>
        <w:rPr>
          <w:rFonts w:ascii="Times New Roman" w:hAnsi="Times New Roman" w:eastAsia="宋体"/>
          <w:sz w:val="24"/>
        </w:rPr>
        <w:t xml:space="preserve">非结构化单元数据梯度分两步执行。第一步由 </w:t>
      </w:r>
      <w:r>
        <w:rPr>
          <w:rFonts w:ascii="Consolas" w:hAnsi="Consolas" w:eastAsia="Consolas"/>
          <w:sz w:val="24"/>
        </w:rPr>
        <w:t>CellDataToPointLift.glsl</w:t>
      </w:r>
      <w:r>
        <w:rPr>
          <w:rFonts w:ascii="Times New Roman" w:hAnsi="Times New Roman" w:eastAsia="宋体"/>
          <w:sz w:val="24"/>
        </w:rPr>
        <w:t xml:space="preserve"> 将单元字段提升为点级中间场；第二步由 </w:t>
      </w:r>
      <w:r>
        <w:rPr>
          <w:rFonts w:ascii="Consolas" w:hAnsi="Consolas" w:eastAsia="Consolas"/>
          <w:sz w:val="24"/>
        </w:rPr>
        <w:t>ShapeCellGradient.glsl</w:t>
      </w:r>
      <w:r>
        <w:rPr>
          <w:rFonts w:ascii="Times New Roman" w:hAnsi="Times New Roman" w:eastAsia="宋体"/>
          <w:sz w:val="24"/>
        </w:rPr>
        <w:t xml:space="preserve"> 在每个单元中心计算梯度。GPU 端每个线程对应一个点或一个单元，变长邻域通过 offset 数组定位。</w:t>
      </w:r>
    </w:p>
    <w:p>
      <w:pPr>
        <w:spacing w:line="360" w:lineRule="auto" w:after="0"/>
        <w:ind w:firstLine="420"/>
      </w:pPr>
      <w:r>
        <w:rPr>
          <w:rFonts w:ascii="Times New Roman" w:hAnsi="Times New Roman" w:eastAsia="宋体"/>
          <w:sz w:val="24"/>
        </w:rPr>
        <w:t>非结构化路径存在节点数不一致、单元类型不同、关联单元数量不固定等情况，因此输入数组需要在 CPU 侧进行基本校验。</w:t>
      </w:r>
      <w:r>
        <w:rPr>
          <w:rFonts w:ascii="Consolas" w:hAnsi="Consolas" w:eastAsia="Consolas"/>
          <w:sz w:val="24"/>
        </w:rPr>
        <w:t>GLGradientEngine</w:t>
      </w:r>
      <w:r>
        <w:rPr>
          <w:rFonts w:ascii="Times New Roman" w:hAnsi="Times New Roman" w:eastAsia="宋体"/>
          <w:sz w:val="24"/>
        </w:rPr>
        <w:t xml:space="preserve"> 在执行前检查 offset 数组、连接数组和字段长度；计算着色器在局部几何构造失败或映射关系无效时跳过无效贡献。该处理方式用于限制局部异常单元对整体计算流程的影响。</w:t>
      </w:r>
    </w:p>
    <w:p>
      <w:pPr>
        <w:pStyle w:val="2"/>
        <w:spacing w:line="360" w:lineRule="auto" w:before="120" w:after="120"/>
        <w:jc w:val="left"/>
      </w:pPr>
      <w:r>
        <w:rPr>
          <w:rFonts w:ascii="Times New Roman" w:hAnsi="Times New Roman" w:eastAsia="黑体"/>
          <w:b/>
          <w:sz w:val="28"/>
        </w:rPr>
        <w:t>4.4 数据优化算法实现</w:t>
      </w:r>
    </w:p>
    <w:p>
      <w:pPr>
        <w:spacing w:line="360" w:lineRule="auto" w:after="0"/>
        <w:ind w:firstLine="420"/>
      </w:pPr>
      <w:r>
        <w:rPr>
          <w:rFonts w:ascii="Times New Roman" w:hAnsi="Times New Roman" w:eastAsia="宋体"/>
          <w:sz w:val="24"/>
        </w:rPr>
        <w:t xml:space="preserve">数据优化模块面向后处理字段中的局部随机高频波动，目标是在保留主要结构特征的同时抑制局部扰动。系统基于图邻域执行双边滤波，并通过多尺度分解与融合得到最终输出。该模块对应 </w:t>
      </w:r>
      <w:r>
        <w:rPr>
          <w:rFonts w:ascii="Consolas" w:hAnsi="Consolas" w:eastAsia="Consolas"/>
          <w:sz w:val="24"/>
        </w:rPr>
        <w:t>GLFilterEngine</w:t>
      </w:r>
      <w:r>
        <w:rPr>
          <w:rFonts w:ascii="Times New Roman" w:hAnsi="Times New Roman" w:eastAsia="宋体"/>
          <w:sz w:val="24"/>
        </w:rPr>
        <w:t>、</w:t>
      </w:r>
      <w:r>
        <w:rPr>
          <w:rFonts w:ascii="Consolas" w:hAnsi="Consolas" w:eastAsia="Consolas"/>
          <w:sz w:val="24"/>
        </w:rPr>
        <w:t>Bilateral.glsl</w:t>
      </w:r>
      <w:r>
        <w:rPr>
          <w:rFonts w:ascii="Times New Roman" w:hAnsi="Times New Roman" w:eastAsia="宋体"/>
          <w:sz w:val="24"/>
        </w:rPr>
        <w:t xml:space="preserve"> 和 </w:t>
      </w:r>
      <w:r>
        <w:rPr>
          <w:rFonts w:ascii="Consolas" w:hAnsi="Consolas" w:eastAsia="Consolas"/>
          <w:sz w:val="24"/>
        </w:rPr>
        <w:t>MultiScaleFuse.glsl</w:t>
      </w:r>
      <w:r>
        <w:rPr>
          <w:rFonts w:ascii="Times New Roman" w:hAnsi="Times New Roman" w:eastAsia="宋体"/>
          <w:sz w:val="24"/>
        </w:rPr>
        <w:t>。</w:t>
      </w:r>
    </w:p>
    <w:p>
      <w:pPr>
        <w:pStyle w:val="3"/>
        <w:spacing w:line="360" w:lineRule="auto" w:before="120" w:after="120"/>
        <w:jc w:val="left"/>
      </w:pPr>
      <w:r>
        <w:rPr>
          <w:rFonts w:ascii="Times New Roman" w:hAnsi="Times New Roman" w:eastAsia="黑体"/>
          <w:b/>
          <w:sz w:val="24"/>
        </w:rPr>
        <w:t>4.4.1 图双边滤波实现</w:t>
      </w:r>
    </w:p>
    <w:p>
      <w:pPr>
        <w:spacing w:line="360" w:lineRule="auto" w:after="0"/>
        <w:ind w:firstLine="420"/>
      </w:pPr>
      <w:r>
        <w:rPr>
          <w:rFonts w:ascii="Times New Roman" w:hAnsi="Times New Roman" w:eastAsia="宋体"/>
          <w:sz w:val="24"/>
        </w:rPr>
        <w:t xml:space="preserve">设采样对象 </w:t>
      </w:r>
      <w:r>
        <w:rPr>
          <w:rFonts w:ascii="Consolas" w:hAnsi="Consolas" w:eastAsia="Consolas"/>
          <w:sz w:val="24"/>
        </w:rPr>
        <w:t>i</w:t>
      </w:r>
      <w:r>
        <w:rPr>
          <w:rFonts w:ascii="Times New Roman" w:hAnsi="Times New Roman" w:eastAsia="宋体"/>
          <w:sz w:val="24"/>
        </w:rPr>
        <w:t xml:space="preserve"> 的邻域为 </w:t>
      </w:r>
      <w:r>
        <w:rPr>
          <w:rFonts w:ascii="Consolas" w:hAnsi="Consolas" w:eastAsia="Consolas"/>
          <w:sz w:val="24"/>
        </w:rPr>
        <w:t>N(i)</w:t>
      </w:r>
      <w:r>
        <w:rPr>
          <w:rFonts w:ascii="Times New Roman" w:hAnsi="Times New Roman" w:eastAsia="宋体"/>
          <w:sz w:val="24"/>
        </w:rPr>
        <w:t xml:space="preserve">，字段值为 </w:t>
      </w:r>
      <w:r>
        <w:rPr>
          <w:rFonts w:ascii="Consolas" w:hAnsi="Consolas" w:eastAsia="Consolas"/>
          <w:sz w:val="24"/>
        </w:rPr>
        <w:t>u_i</w:t>
      </w:r>
      <w:r>
        <w:rPr>
          <w:rFonts w:ascii="Times New Roman" w:hAnsi="Times New Roman" w:eastAsia="宋体"/>
          <w:sz w:val="24"/>
        </w:rPr>
        <w:t xml:space="preserve">，空间位置为 </w:t>
      </w:r>
      <w:r>
        <w:rPr>
          <w:rFonts w:ascii="Consolas" w:hAnsi="Consolas" w:eastAsia="Consolas"/>
          <w:sz w:val="24"/>
        </w:rPr>
        <w:t>x_i</w:t>
      </w:r>
      <w:r>
        <w:rPr>
          <w:rFonts w:ascii="Times New Roman" w:hAnsi="Times New Roman" w:eastAsia="宋体"/>
          <w:sz w:val="24"/>
        </w:rPr>
        <w:t>。图双边滤波可写为</w:t>
      </w:r>
    </w:p>
    <w:p>
      <w:pPr>
        <w:spacing w:line="240" w:lineRule="auto" w:before="80" w:after="80"/>
        <w:ind w:firstLine="0"/>
        <w:jc w:val="center"/>
      </w:pPr>
      <m:oMath>
        <m:sSub>
          <m:e>
            <m:acc>
              <m:accPr>
                <m:chr m:val="~"/>
              </m:accPr>
              <m:e>
                <m:r>
                  <m:t>u</m:t>
                </m:r>
              </m:e>
            </m:acc>
          </m:e>
          <m:sub>
            <m:r>
              <m:t>i</m:t>
            </m:r>
          </m:sub>
        </m:sSub>
        <m:r>
          <m:t>=</m:t>
        </m:r>
        <m:f>
          <m:num>
            <m:sSub>
              <m:e>
                <m:r>
                  <m:t>∑</m:t>
                </m:r>
              </m:e>
              <m:sub>
                <m:r>
                  <m:t>j</m:t>
                </m:r>
                <m:r>
                  <m:t>∈</m:t>
                </m:r>
                <m:r>
                  <m:t>N</m:t>
                </m:r>
                <m:r>
                  <m:t>(</m:t>
                </m:r>
                <m:r>
                  <m:t>i</m:t>
                </m:r>
                <m:r>
                  <m:t>)</m:t>
                </m:r>
              </m:sub>
            </m:sSub>
            <m:sSub>
              <m:e>
                <m:r>
                  <m:t>w</m:t>
                </m:r>
              </m:e>
              <m:sub>
                <m:r>
                  <m:t>i</m:t>
                </m:r>
                <m:r>
                  <m:t>j</m:t>
                </m:r>
              </m:sub>
            </m:sSub>
            <m:sSub>
              <m:e>
                <m:r>
                  <m:t>u</m:t>
                </m:r>
              </m:e>
              <m:sub>
                <m:r>
                  <m:t>j</m:t>
                </m:r>
              </m:sub>
            </m:sSub>
          </m:num>
          <m:den>
            <m:sSub>
              <m:e>
                <m:r>
                  <m:t>∑</m:t>
                </m:r>
              </m:e>
              <m:sub>
                <m:r>
                  <m:t>j</m:t>
                </m:r>
                <m:r>
                  <m:t>∈</m:t>
                </m:r>
                <m:r>
                  <m:t>N</m:t>
                </m:r>
                <m:r>
                  <m:t>(</m:t>
                </m:r>
                <m:r>
                  <m:t>i</m:t>
                </m:r>
                <m:r>
                  <m:t>)</m:t>
                </m:r>
              </m:sub>
            </m:sSub>
            <m:sSub>
              <m:e>
                <m:r>
                  <m:t>w</m:t>
                </m:r>
              </m:e>
              <m:sub>
                <m:r>
                  <m:t>i</m:t>
                </m:r>
                <m:r>
                  <m:t>j</m:t>
                </m:r>
              </m:sub>
            </m:sSub>
          </m:den>
        </m:f>
      </m:oMath>
    </w:p>
    <w:p>
      <w:pPr>
        <w:spacing w:line="360" w:lineRule="auto" w:after="0"/>
        <w:ind w:firstLine="420"/>
      </w:pPr>
      <w:r>
        <w:rPr>
          <w:rFonts w:ascii="Times New Roman" w:hAnsi="Times New Roman" w:eastAsia="宋体"/>
          <w:sz w:val="24"/>
        </w:rPr>
        <w:t>权重由空间项和值域项共同决定：</w:t>
      </w:r>
    </w:p>
    <w:p>
      <w:pPr>
        <w:spacing w:line="240" w:lineRule="auto" w:before="80" w:after="80"/>
        <w:ind w:firstLine="0"/>
        <w:jc w:val="center"/>
      </w:pPr>
      <m:oMath>
        <m:sSub>
          <m:e>
            <m:r>
              <m:t>w</m:t>
            </m:r>
          </m:e>
          <m:sub>
            <m:r>
              <m:t>i</m:t>
            </m:r>
            <m:r>
              <m:t>j</m:t>
            </m:r>
          </m:sub>
        </m:sSub>
        <m:r>
          <m:t>=</m:t>
        </m:r>
        <m:r>
          <m:t>exp</m:t>
        </m:r>
        <m:r>
          <m:t>(</m:t>
        </m:r>
        <m:r>
          <m:t>−</m:t>
        </m:r>
        <m:r>
          <m:t>|</m:t>
        </m:r>
        <m:r>
          <m:t>|</m:t>
        </m:r>
        <m:sSub>
          <m:e>
            <m:r>
              <m:t>x</m:t>
            </m:r>
          </m:e>
          <m:sub>
            <m:r>
              <m:t>i</m:t>
            </m:r>
          </m:sub>
        </m:sSub>
        <m:r>
          <m:t>−</m:t>
        </m:r>
        <m:sSub>
          <m:e>
            <m:r>
              <m:t>x</m:t>
            </m:r>
          </m:e>
          <m:sub>
            <m:r>
              <m:t>j</m:t>
            </m:r>
          </m:sub>
        </m:sSub>
        <m:r>
          <m:t>|</m:t>
        </m:r>
        <m:sSup>
          <m:e>
            <m:r>
              <m:t>|</m:t>
            </m:r>
          </m:e>
          <m:sup>
            <m:r>
              <m:t>2</m:t>
            </m:r>
          </m:sup>
        </m:sSup>
        <m:r>
          <m:t>/</m:t>
        </m:r>
        <m:r>
          <m:t>(</m:t>
        </m:r>
        <m:r>
          <m:t>2</m:t>
        </m:r>
        <m:sSubSup>
          <m:e>
            <m:r>
              <m:t>σ</m:t>
            </m:r>
          </m:e>
          <m:sub>
            <m:r>
              <m:t>s</m:t>
            </m:r>
          </m:sub>
          <m:sup>
            <m:r>
              <m:t>2</m:t>
            </m:r>
          </m:sup>
        </m:sSubSup>
        <m:r>
          <m:t>)</m:t>
        </m:r>
        <m:r>
          <m:t>)</m:t>
        </m:r>
        <m:r>
          <m:t>exp</m:t>
        </m:r>
        <m:r>
          <m:t>(</m:t>
        </m:r>
        <m:r>
          <m:t>−</m:t>
        </m:r>
        <m:r>
          <m:t>(</m:t>
        </m:r>
        <m:sSub>
          <m:e>
            <m:r>
              <m:t>u</m:t>
            </m:r>
          </m:e>
          <m:sub>
            <m:r>
              <m:t>i</m:t>
            </m:r>
          </m:sub>
        </m:sSub>
        <m:r>
          <m:t>−</m:t>
        </m:r>
        <m:sSub>
          <m:e>
            <m:r>
              <m:t>u</m:t>
            </m:r>
          </m:e>
          <m:sub>
            <m:r>
              <m:t>j</m:t>
            </m:r>
          </m:sub>
        </m:sSub>
        <m:sSup>
          <m:e>
            <m:r>
              <m:t>)</m:t>
            </m:r>
          </m:e>
          <m:sup>
            <m:r>
              <m:t>2</m:t>
            </m:r>
          </m:sup>
        </m:sSup>
        <m:r>
          <m:t>/</m:t>
        </m:r>
        <m:r>
          <m:t>(</m:t>
        </m:r>
        <m:r>
          <m:t>2</m:t>
        </m:r>
        <m:sSubSup>
          <m:e>
            <m:r>
              <m:t>σ</m:t>
            </m:r>
          </m:e>
          <m:sub>
            <m:r>
              <m:t>r</m:t>
            </m:r>
          </m:sub>
          <m:sup>
            <m:r>
              <m:t>2</m:t>
            </m:r>
          </m:sup>
        </m:sSubSup>
        <m:r>
          <m:t>)</m:t>
        </m:r>
        <m:r>
          <m:t>)</m:t>
        </m:r>
      </m:oMath>
    </w:p>
    <w:p>
      <w:pPr>
        <w:spacing w:line="360" w:lineRule="auto" w:after="0"/>
        <w:ind w:firstLine="420"/>
      </w:pPr>
      <w:r>
        <w:rPr>
          <w:rFonts w:ascii="Times New Roman" w:hAnsi="Times New Roman" w:eastAsia="宋体"/>
          <w:sz w:val="24"/>
        </w:rPr>
        <w:t>其中，</w:t>
      </w:r>
      <w:r>
        <w:rPr>
          <w:rFonts w:ascii="Consolas" w:hAnsi="Consolas" w:eastAsia="Consolas"/>
          <w:sz w:val="24"/>
        </w:rPr>
        <w:t>\sigma_s</w:t>
      </w:r>
      <w:r>
        <w:rPr>
          <w:rFonts w:ascii="Times New Roman" w:hAnsi="Times New Roman" w:eastAsia="宋体"/>
          <w:sz w:val="24"/>
        </w:rPr>
        <w:t xml:space="preserve"> 控制空间邻域影响范围，</w:t>
      </w:r>
      <w:r>
        <w:rPr>
          <w:rFonts w:ascii="Consolas" w:hAnsi="Consolas" w:eastAsia="Consolas"/>
          <w:sz w:val="24"/>
        </w:rPr>
        <w:t>\sigma_r</w:t>
      </w:r>
      <w:r>
        <w:rPr>
          <w:rFonts w:ascii="Times New Roman" w:hAnsi="Times New Roman" w:eastAsia="宋体"/>
          <w:sz w:val="24"/>
        </w:rPr>
        <w:t xml:space="preserve"> 控制字段值差异的抑制强度。空间距离较近且字段值相近的样本具有较大权重；跨越明显字段差异的样本权重较小，从而减少跨边缘平滑[14][15]。</w:t>
      </w:r>
    </w:p>
    <w:p>
      <w:pPr>
        <w:spacing w:line="360" w:lineRule="auto" w:after="0"/>
        <w:ind w:firstLine="420"/>
      </w:pPr>
      <w:r>
        <w:rPr>
          <w:rFonts w:ascii="Times New Roman" w:hAnsi="Times New Roman" w:eastAsia="宋体"/>
          <w:sz w:val="24"/>
        </w:rPr>
        <w:t>系统将点邻域和单元邻域统一组织为 CSR 形式。GPU 线程根据采样对象编号读取 offset 数组，确定邻域在 neighbors 数组中的起止范围，并在该范围内完成权重计算和加权平均。</w:t>
      </w:r>
    </w:p>
    <w:p>
      <w:pPr>
        <w:pStyle w:val="3"/>
        <w:spacing w:line="360" w:lineRule="auto" w:before="120" w:after="120"/>
        <w:jc w:val="left"/>
      </w:pPr>
      <w:r>
        <w:rPr>
          <w:rFonts w:ascii="Times New Roman" w:hAnsi="Times New Roman" w:eastAsia="黑体"/>
          <w:b/>
          <w:sz w:val="24"/>
        </w:rPr>
        <w:t>4.4.2 多尺度融合实现</w:t>
      </w:r>
    </w:p>
    <w:p>
      <w:pPr>
        <w:spacing w:line="360" w:lineRule="auto" w:after="0"/>
        <w:ind w:firstLine="420"/>
      </w:pPr>
      <w:r>
        <w:rPr>
          <w:rFonts w:ascii="Times New Roman" w:hAnsi="Times New Roman" w:eastAsia="宋体"/>
          <w:sz w:val="24"/>
        </w:rPr>
        <w:t xml:space="preserve">单层双边滤波主要在给定尺度上执行平滑。为了处理不同尺度的局部波动，系统进一步采用多尺度分解与融合思想[21][22]。令 </w:t>
      </w:r>
      <w:r>
        <w:rPr>
          <w:rFonts w:ascii="Consolas" w:hAnsi="Consolas" w:eastAsia="Consolas"/>
          <w:sz w:val="24"/>
        </w:rPr>
        <w:t>B_l</w:t>
      </w:r>
      <w:r>
        <w:rPr>
          <w:rFonts w:ascii="Times New Roman" w:hAnsi="Times New Roman" w:eastAsia="宋体"/>
          <w:sz w:val="24"/>
        </w:rPr>
        <w:t xml:space="preserve"> 表示第 </w:t>
      </w:r>
      <w:r>
        <w:rPr>
          <w:rFonts w:ascii="Consolas" w:hAnsi="Consolas" w:eastAsia="Consolas"/>
          <w:sz w:val="24"/>
        </w:rPr>
        <w:t>l</w:t>
      </w:r>
      <w:r>
        <w:rPr>
          <w:rFonts w:ascii="Times New Roman" w:hAnsi="Times New Roman" w:eastAsia="宋体"/>
          <w:sz w:val="24"/>
        </w:rPr>
        <w:t xml:space="preserve"> 层双边平滑操作，初始字段为 </w:t>
      </w:r>
      <w:r>
        <w:rPr>
          <w:rFonts w:ascii="Consolas" w:hAnsi="Consolas" w:eastAsia="Consolas"/>
          <w:sz w:val="24"/>
        </w:rPr>
        <w:t>u^0=u</w:t>
      </w:r>
      <w:r>
        <w:rPr>
          <w:rFonts w:ascii="Times New Roman" w:hAnsi="Times New Roman" w:eastAsia="宋体"/>
          <w:sz w:val="24"/>
        </w:rPr>
        <w:t>，则多尺度平滑序列为</w:t>
      </w:r>
    </w:p>
    <w:p>
      <w:pPr>
        <w:spacing w:line="240" w:lineRule="auto" w:before="80" w:after="80"/>
        <w:ind w:firstLine="0"/>
        <w:jc w:val="center"/>
      </w:pPr>
      <m:oMath>
        <m:sSup>
          <m:e>
            <m:r>
              <m:t>u</m:t>
            </m:r>
          </m:e>
          <m:sup>
            <m:r>
              <m:t>l</m:t>
            </m:r>
            <m:r>
              <m:t>+</m:t>
            </m:r>
            <m:r>
              <m:t>1</m:t>
            </m:r>
          </m:sup>
        </m:sSup>
        <m:r>
          <m:t>=</m:t>
        </m:r>
        <m:sSub>
          <m:e>
            <m:r>
              <m:t>B</m:t>
            </m:r>
          </m:e>
          <m:sub>
            <m:r>
              <m:t>l</m:t>
            </m:r>
          </m:sub>
        </m:sSub>
        <m:r>
          <m:t>(</m:t>
        </m:r>
        <m:sSup>
          <m:e>
            <m:r>
              <m:t>u</m:t>
            </m:r>
          </m:e>
          <m:sup>
            <m:r>
              <m:t>l</m:t>
            </m:r>
          </m:sup>
        </m:sSup>
        <m:r>
          <m:t>)</m:t>
        </m:r>
      </m:oMath>
    </w:p>
    <w:p>
      <w:pPr>
        <w:spacing w:line="360" w:lineRule="auto" w:after="0"/>
        <w:ind w:firstLine="420"/>
      </w:pPr>
      <w:r>
        <w:rPr>
          <w:rFonts w:ascii="Times New Roman" w:hAnsi="Times New Roman" w:eastAsia="宋体"/>
          <w:sz w:val="24"/>
        </w:rPr>
        <w:t xml:space="preserve">第 </w:t>
      </w:r>
      <w:r>
        <w:rPr>
          <w:rFonts w:ascii="Consolas" w:hAnsi="Consolas" w:eastAsia="Consolas"/>
          <w:sz w:val="24"/>
        </w:rPr>
        <w:t>l</w:t>
      </w:r>
      <w:r>
        <w:rPr>
          <w:rFonts w:ascii="Times New Roman" w:hAnsi="Times New Roman" w:eastAsia="宋体"/>
          <w:sz w:val="24"/>
        </w:rPr>
        <w:t xml:space="preserve"> 层细节为</w:t>
      </w:r>
    </w:p>
    <w:p>
      <w:pPr>
        <w:spacing w:line="240" w:lineRule="auto" w:before="80" w:after="80"/>
        <w:ind w:firstLine="0"/>
        <w:jc w:val="center"/>
      </w:pPr>
      <m:oMath>
        <m:sSup>
          <m:e>
            <m:r>
              <m:t>d</m:t>
            </m:r>
          </m:e>
          <m:sup>
            <m:r>
              <m:t>l</m:t>
            </m:r>
          </m:sup>
        </m:sSup>
        <m:r>
          <m:t>=</m:t>
        </m:r>
        <m:sSup>
          <m:e>
            <m:r>
              <m:t>u</m:t>
            </m:r>
          </m:e>
          <m:sup>
            <m:r>
              <m:t>l</m:t>
            </m:r>
          </m:sup>
        </m:sSup>
        <m:r>
          <m:t>−</m:t>
        </m:r>
        <m:sSup>
          <m:e>
            <m:r>
              <m:t>u</m:t>
            </m:r>
          </m:e>
          <m:sup>
            <m:r>
              <m:t>l</m:t>
            </m:r>
            <m:r>
              <m:t>+</m:t>
            </m:r>
            <m:r>
              <m:t>1</m:t>
            </m:r>
          </m:sup>
        </m:sSup>
      </m:oMath>
    </w:p>
    <w:p>
      <w:pPr>
        <w:spacing w:line="360" w:lineRule="auto" w:after="0"/>
        <w:ind w:firstLine="420"/>
      </w:pPr>
      <w:r>
        <w:rPr>
          <w:rFonts w:ascii="Times New Roman" w:hAnsi="Times New Roman" w:eastAsia="宋体"/>
          <w:sz w:val="24"/>
        </w:rPr>
        <w:t>最终融合结果为</w:t>
      </w:r>
    </w:p>
    <w:p>
      <w:pPr>
        <w:spacing w:line="240" w:lineRule="auto" w:before="80" w:after="80"/>
        <w:ind w:firstLine="0"/>
        <w:jc w:val="center"/>
      </w:pPr>
      <m:oMath>
        <m:acc>
          <m:accPr>
            <m:chr m:val="^"/>
          </m:accPr>
          <m:e>
            <m:r>
              <m:t>u</m:t>
            </m:r>
          </m:e>
        </m:acc>
        <m:r>
          <m:t>=</m:t>
        </m:r>
        <m:sSup>
          <m:e>
            <m:r>
              <m:t>u</m:t>
            </m:r>
          </m:e>
          <m:sup>
            <m:r>
              <m:t>L</m:t>
            </m:r>
          </m:sup>
        </m:sSup>
        <m:r>
          <m:t>+</m:t>
        </m:r>
        <m:sSubSup>
          <m:e>
            <m:r>
              <m:t>∑</m:t>
            </m:r>
          </m:e>
          <m:sub>
            <m:r>
              <m:t>l</m:t>
            </m:r>
            <m:r>
              <m:t>=</m:t>
            </m:r>
            <m:r>
              <m:t>0</m:t>
            </m:r>
          </m:sub>
          <m:sup>
            <m:r>
              <m:t>L</m:t>
            </m:r>
            <m:r>
              <m:t>−</m:t>
            </m:r>
            <m:r>
              <m:t>1</m:t>
            </m:r>
          </m:sup>
        </m:sSubSup>
        <m:sSub>
          <m:e>
            <m:r>
              <m:t>α</m:t>
            </m:r>
          </m:e>
          <m:sub>
            <m:r>
              <m:t>l</m:t>
            </m:r>
          </m:sub>
        </m:sSub>
        <m:sSup>
          <m:e>
            <m:r>
              <m:t>d</m:t>
            </m:r>
          </m:e>
          <m:sup>
            <m:r>
              <m:t>l</m:t>
            </m:r>
          </m:sup>
        </m:sSup>
      </m:oMath>
    </w:p>
    <w:p>
      <w:pPr>
        <w:spacing w:line="360" w:lineRule="auto" w:after="0"/>
        <w:ind w:firstLine="420"/>
      </w:pPr>
      <w:r>
        <w:rPr>
          <w:rFonts w:ascii="Times New Roman" w:hAnsi="Times New Roman" w:eastAsia="宋体"/>
          <w:sz w:val="24"/>
        </w:rPr>
        <w:t>其中，</w:t>
      </w:r>
      <w:r>
        <w:rPr>
          <w:rFonts w:ascii="Consolas" w:hAnsi="Consolas" w:eastAsia="Consolas"/>
          <w:sz w:val="24"/>
        </w:rPr>
        <w:t>\alpha_l</w:t>
      </w:r>
      <w:r>
        <w:rPr>
          <w:rFonts w:ascii="Times New Roman" w:hAnsi="Times New Roman" w:eastAsia="宋体"/>
          <w:sz w:val="24"/>
        </w:rPr>
        <w:t xml:space="preserve"> 为细节层权重。较小的细节权重会增强平滑效果，较大的细节权重会保留更多局部变化。本文实验采用固定参数，参数效果和适用边界将在第五章结合实验结果分析。</w:t>
      </w:r>
    </w:p>
    <w:p>
      <w:pPr>
        <w:pStyle w:val="3"/>
        <w:spacing w:line="360" w:lineRule="auto" w:before="120" w:after="120"/>
        <w:jc w:val="left"/>
      </w:pPr>
      <w:r>
        <w:rPr>
          <w:rFonts w:ascii="Times New Roman" w:hAnsi="Times New Roman" w:eastAsia="黑体"/>
          <w:b/>
          <w:sz w:val="24"/>
        </w:rPr>
        <w:t>4.4.3 点数据与单元数据优化路径</w:t>
      </w:r>
    </w:p>
    <w:p>
      <w:pPr>
        <w:spacing w:line="360" w:lineRule="auto" w:after="0"/>
        <w:ind w:firstLine="420"/>
      </w:pPr>
      <w:r>
        <w:rPr>
          <w:rFonts w:ascii="Times New Roman" w:hAnsi="Times New Roman" w:eastAsia="宋体"/>
          <w:sz w:val="24"/>
        </w:rPr>
        <w:t xml:space="preserve">数据优化需要保持字段关联方式一致。点数据使用 </w:t>
      </w:r>
      <w:r>
        <w:rPr>
          <w:rFonts w:ascii="Consolas" w:hAnsi="Consolas" w:eastAsia="Consolas"/>
          <w:sz w:val="24"/>
        </w:rPr>
        <w:t>points</w:t>
      </w:r>
      <w:r>
        <w:rPr>
          <w:rFonts w:ascii="Times New Roman" w:hAnsi="Times New Roman" w:eastAsia="宋体"/>
          <w:sz w:val="24"/>
        </w:rPr>
        <w:t xml:space="preserve"> 作为空间位置，使用 </w:t>
      </w:r>
      <w:r>
        <w:rPr>
          <w:rFonts w:ascii="Consolas" w:hAnsi="Consolas" w:eastAsia="Consolas"/>
          <w:sz w:val="24"/>
        </w:rPr>
        <w:t>pointNeighbors</w:t>
      </w:r>
      <w:r>
        <w:rPr>
          <w:rFonts w:ascii="Times New Roman" w:hAnsi="Times New Roman" w:eastAsia="宋体"/>
          <w:sz w:val="24"/>
        </w:rPr>
        <w:t xml:space="preserve"> 和 </w:t>
      </w:r>
      <w:r>
        <w:rPr>
          <w:rFonts w:ascii="Consolas" w:hAnsi="Consolas" w:eastAsia="Consolas"/>
          <w:sz w:val="24"/>
        </w:rPr>
        <w:t>pointNeighborOffsets</w:t>
      </w:r>
      <w:r>
        <w:rPr>
          <w:rFonts w:ascii="Times New Roman" w:hAnsi="Times New Roman" w:eastAsia="宋体"/>
          <w:sz w:val="24"/>
        </w:rPr>
        <w:t xml:space="preserve"> 作为滤波图；单元数据使用 </w:t>
      </w:r>
      <w:r>
        <w:rPr>
          <w:rFonts w:ascii="Consolas" w:hAnsi="Consolas" w:eastAsia="Consolas"/>
          <w:sz w:val="24"/>
        </w:rPr>
        <w:t>cellCenters</w:t>
      </w:r>
      <w:r>
        <w:rPr>
          <w:rFonts w:ascii="Times New Roman" w:hAnsi="Times New Roman" w:eastAsia="宋体"/>
          <w:sz w:val="24"/>
        </w:rPr>
        <w:t xml:space="preserve"> 作为空间位置，使用 </w:t>
      </w:r>
      <w:r>
        <w:rPr>
          <w:rFonts w:ascii="Consolas" w:hAnsi="Consolas" w:eastAsia="Consolas"/>
          <w:sz w:val="24"/>
        </w:rPr>
        <w:t>cellNeighbors</w:t>
      </w:r>
      <w:r>
        <w:rPr>
          <w:rFonts w:ascii="Times New Roman" w:hAnsi="Times New Roman" w:eastAsia="宋体"/>
          <w:sz w:val="24"/>
        </w:rPr>
        <w:t xml:space="preserve"> 和 </w:t>
      </w:r>
      <w:r>
        <w:rPr>
          <w:rFonts w:ascii="Consolas" w:hAnsi="Consolas" w:eastAsia="Consolas"/>
          <w:sz w:val="24"/>
        </w:rPr>
        <w:t>cellNeighborsOffsets</w:t>
      </w:r>
      <w:r>
        <w:rPr>
          <w:rFonts w:ascii="Times New Roman" w:hAnsi="Times New Roman" w:eastAsia="宋体"/>
          <w:sz w:val="24"/>
        </w:rPr>
        <w:t xml:space="preserve"> 作为滤波图。两类数据的输入、邻域和输出如表 4-4 所示。</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字段类型</w:t>
            </w:r>
          </w:p>
        </w:tc>
        <w:tc>
          <w:tcPr>
            <w:tcW w:type="dxa" w:w="2197"/>
            <w:vAlign w:val="center"/>
          </w:tcPr>
          <w:p>
            <w:pPr>
              <w:spacing w:line="240" w:lineRule="auto"/>
              <w:jc w:val="center"/>
            </w:pPr>
            <w:r>
              <w:rPr>
                <w:rFonts w:ascii="Times New Roman" w:hAnsi="Times New Roman" w:eastAsia="宋体"/>
                <w:b/>
                <w:sz w:val="21"/>
              </w:rPr>
              <w:t>空间位置</w:t>
            </w:r>
          </w:p>
        </w:tc>
        <w:tc>
          <w:tcPr>
            <w:tcW w:type="dxa" w:w="2197"/>
            <w:vAlign w:val="center"/>
          </w:tcPr>
          <w:p>
            <w:pPr>
              <w:spacing w:line="240" w:lineRule="auto"/>
              <w:jc w:val="center"/>
            </w:pPr>
            <w:r>
              <w:rPr>
                <w:rFonts w:ascii="Times New Roman" w:hAnsi="Times New Roman" w:eastAsia="宋体"/>
                <w:b/>
                <w:sz w:val="21"/>
              </w:rPr>
              <w:t>邻域结构</w:t>
            </w:r>
          </w:p>
        </w:tc>
        <w:tc>
          <w:tcPr>
            <w:tcW w:type="dxa" w:w="2197"/>
            <w:vAlign w:val="center"/>
          </w:tcPr>
          <w:p>
            <w:pPr>
              <w:spacing w:line="240" w:lineRule="auto"/>
              <w:jc w:val="center"/>
            </w:pPr>
            <w:r>
              <w:rPr>
                <w:rFonts w:ascii="Times New Roman" w:hAnsi="Times New Roman" w:eastAsia="宋体"/>
                <w:b/>
                <w:sz w:val="21"/>
              </w:rPr>
              <w:t>输出位置</w:t>
            </w:r>
          </w:p>
        </w:tc>
      </w:tr>
      <w:tr>
        <w:tc>
          <w:tcPr>
            <w:tcW w:type="dxa" w:w="2197"/>
            <w:vAlign w:val="center"/>
          </w:tcPr>
          <w:p>
            <w:pPr>
              <w:spacing w:line="240" w:lineRule="auto"/>
              <w:jc w:val="center"/>
            </w:pPr>
            <w:r>
              <w:rPr>
                <w:rFonts w:ascii="Times New Roman" w:hAnsi="Times New Roman" w:eastAsia="宋体"/>
                <w:b w:val="0"/>
                <w:sz w:val="21"/>
              </w:rPr>
              <w:t>点数据</w:t>
            </w:r>
          </w:p>
        </w:tc>
        <w:tc>
          <w:tcPr>
            <w:tcW w:type="dxa" w:w="2197"/>
            <w:vAlign w:val="center"/>
          </w:tcPr>
          <w:p>
            <w:pPr>
              <w:spacing w:line="240" w:lineRule="auto"/>
              <w:jc w:val="center"/>
            </w:pPr>
            <w:r>
              <w:rPr>
                <w:rFonts w:ascii="Consolas" w:hAnsi="Consolas" w:eastAsia="Consolas"/>
                <w:b w:val="0"/>
                <w:sz w:val="21"/>
              </w:rPr>
              <w:t>points</w:t>
            </w:r>
          </w:p>
        </w:tc>
        <w:tc>
          <w:tcPr>
            <w:tcW w:type="dxa" w:w="2197"/>
            <w:vAlign w:val="center"/>
          </w:tcPr>
          <w:p>
            <w:pPr>
              <w:spacing w:line="240" w:lineRule="auto"/>
              <w:jc w:val="center"/>
            </w:pPr>
            <w:r>
              <w:rPr>
                <w:rFonts w:ascii="Times New Roman" w:hAnsi="Times New Roman" w:eastAsia="宋体"/>
                <w:b w:val="0"/>
                <w:sz w:val="21"/>
              </w:rPr>
              <w:t>点邻域 CSR</w:t>
            </w:r>
          </w:p>
        </w:tc>
        <w:tc>
          <w:tcPr>
            <w:tcW w:type="dxa" w:w="2197"/>
            <w:vAlign w:val="center"/>
          </w:tcPr>
          <w:p>
            <w:pPr>
              <w:spacing w:line="240" w:lineRule="auto"/>
              <w:jc w:val="center"/>
            </w:pPr>
            <w:r>
              <w:rPr>
                <w:rFonts w:ascii="Times New Roman" w:hAnsi="Times New Roman" w:eastAsia="宋体"/>
                <w:b w:val="0"/>
                <w:sz w:val="21"/>
              </w:rPr>
              <w:t>点字段</w:t>
            </w:r>
          </w:p>
        </w:tc>
      </w:tr>
      <w:tr>
        <w:tc>
          <w:tcPr>
            <w:tcW w:type="dxa" w:w="2197"/>
            <w:vAlign w:val="center"/>
          </w:tcPr>
          <w:p>
            <w:pPr>
              <w:spacing w:line="240" w:lineRule="auto"/>
              <w:jc w:val="center"/>
            </w:pPr>
            <w:r>
              <w:rPr>
                <w:rFonts w:ascii="Times New Roman" w:hAnsi="Times New Roman" w:eastAsia="宋体"/>
                <w:b w:val="0"/>
                <w:sz w:val="21"/>
              </w:rPr>
              <w:t>单元数据</w:t>
            </w:r>
          </w:p>
        </w:tc>
        <w:tc>
          <w:tcPr>
            <w:tcW w:type="dxa" w:w="2197"/>
            <w:vAlign w:val="center"/>
          </w:tcPr>
          <w:p>
            <w:pPr>
              <w:spacing w:line="240" w:lineRule="auto"/>
              <w:jc w:val="center"/>
            </w:pPr>
            <w:r>
              <w:rPr>
                <w:rFonts w:ascii="Consolas" w:hAnsi="Consolas" w:eastAsia="Consolas"/>
                <w:b w:val="0"/>
                <w:sz w:val="21"/>
              </w:rPr>
              <w:t>cellCenters</w:t>
            </w:r>
          </w:p>
        </w:tc>
        <w:tc>
          <w:tcPr>
            <w:tcW w:type="dxa" w:w="2197"/>
            <w:vAlign w:val="center"/>
          </w:tcPr>
          <w:p>
            <w:pPr>
              <w:spacing w:line="240" w:lineRule="auto"/>
              <w:jc w:val="center"/>
            </w:pPr>
            <w:r>
              <w:rPr>
                <w:rFonts w:ascii="Times New Roman" w:hAnsi="Times New Roman" w:eastAsia="宋体"/>
                <w:b w:val="0"/>
                <w:sz w:val="21"/>
              </w:rPr>
              <w:t>单元邻域 CSR</w:t>
            </w:r>
          </w:p>
        </w:tc>
        <w:tc>
          <w:tcPr>
            <w:tcW w:type="dxa" w:w="2197"/>
            <w:vAlign w:val="center"/>
          </w:tcPr>
          <w:p>
            <w:pPr>
              <w:spacing w:line="240" w:lineRule="auto"/>
              <w:jc w:val="center"/>
            </w:pPr>
            <w:r>
              <w:rPr>
                <w:rFonts w:ascii="Times New Roman" w:hAnsi="Times New Roman" w:eastAsia="宋体"/>
                <w:b w:val="0"/>
                <w:sz w:val="21"/>
              </w:rPr>
              <w:t>单元字段</w:t>
            </w:r>
          </w:p>
        </w:tc>
      </w:tr>
    </w:tbl>
    <w:p/>
    <w:p>
      <w:pPr>
        <w:spacing w:line="360" w:lineRule="auto" w:after="0"/>
        <w:ind w:firstLine="420"/>
      </w:pPr>
      <w:r>
        <w:rPr>
          <w:rFonts w:ascii="Times New Roman" w:hAnsi="Times New Roman" w:eastAsia="宋体"/>
          <w:sz w:val="24"/>
        </w:rPr>
        <w:t>结构化网格的数据优化使用由维度生成的 6 邻域图，非结构化网格的数据优化使用拓扑邻域。通过统一 CSR 邻域接口，</w:t>
      </w:r>
      <w:r>
        <w:rPr>
          <w:rFonts w:ascii="Consolas" w:hAnsi="Consolas" w:eastAsia="Consolas"/>
          <w:sz w:val="24"/>
        </w:rPr>
        <w:t>GLFilterEngine</w:t>
      </w:r>
      <w:r>
        <w:rPr>
          <w:rFonts w:ascii="Times New Roman" w:hAnsi="Times New Roman" w:eastAsia="宋体"/>
          <w:sz w:val="24"/>
        </w:rPr>
        <w:t xml:space="preserve"> 能够在不同网格类型和字段关联方式下复用同一套滤波流程。</w:t>
      </w:r>
    </w:p>
    <w:p>
      <w:pPr>
        <w:pStyle w:val="3"/>
        <w:spacing w:line="360" w:lineRule="auto" w:before="120" w:after="120"/>
        <w:jc w:val="left"/>
      </w:pPr>
      <w:r>
        <w:rPr>
          <w:rFonts w:ascii="Times New Roman" w:hAnsi="Times New Roman" w:eastAsia="黑体"/>
          <w:b/>
          <w:sz w:val="24"/>
        </w:rPr>
        <w:t>4.4.4 GPU 实现</w:t>
      </w:r>
    </w:p>
    <w:p>
      <w:pPr>
        <w:spacing w:line="360" w:lineRule="auto" w:after="0"/>
        <w:ind w:firstLine="420"/>
      </w:pPr>
      <w:r>
        <w:rPr>
          <w:rFonts w:ascii="Times New Roman" w:hAnsi="Times New Roman" w:eastAsia="宋体"/>
          <w:sz w:val="24"/>
        </w:rPr>
        <w:t xml:space="preserve">数据优化的 GPU 实现分为滤波和融合两个阶段。滤波阶段上传位置数组、字段值数组、邻域 offset 数组和邻居索引数组，由 </w:t>
      </w:r>
      <w:r>
        <w:rPr>
          <w:rFonts w:ascii="Consolas" w:hAnsi="Consolas" w:eastAsia="Consolas"/>
          <w:sz w:val="24"/>
        </w:rPr>
        <w:t>Bilateral.glsl</w:t>
      </w:r>
      <w:r>
        <w:rPr>
          <w:rFonts w:ascii="Times New Roman" w:hAnsi="Times New Roman" w:eastAsia="宋体"/>
          <w:sz w:val="24"/>
        </w:rPr>
        <w:t xml:space="preserve"> 对每个采样对象执行局部加权平均。融合阶段上传多尺度平滑结果和细节层权重，由 </w:t>
      </w:r>
      <w:r>
        <w:rPr>
          <w:rFonts w:ascii="Consolas" w:hAnsi="Consolas" w:eastAsia="Consolas"/>
          <w:sz w:val="24"/>
        </w:rPr>
        <w:t>MultiScaleFuse.glsl</w:t>
      </w:r>
      <w:r>
        <w:rPr>
          <w:rFonts w:ascii="Times New Roman" w:hAnsi="Times New Roman" w:eastAsia="宋体"/>
          <w:sz w:val="24"/>
        </w:rPr>
        <w:t xml:space="preserve"> 计算最终融合字段。</w:t>
      </w:r>
    </w:p>
    <w:p>
      <w:pPr>
        <w:spacing w:line="360" w:lineRule="auto" w:after="0"/>
        <w:ind w:firstLine="420"/>
      </w:pPr>
      <w:r>
        <w:rPr>
          <w:rFonts w:ascii="Times New Roman" w:hAnsi="Times New Roman" w:eastAsia="宋体"/>
          <w:sz w:val="24"/>
        </w:rPr>
        <w:t>与梯度计算类似，数据优化模块也按采样对象并行执行。每个线程只写入自身对应的输出位置，避免多个线程同时写同一字段值。计算完成后，CPU 侧读取输出缓冲，并以新增字段形式写回内部数据对象。</w:t>
      </w:r>
    </w:p>
    <w:p>
      <w:pPr>
        <w:pStyle w:val="2"/>
        <w:spacing w:line="360" w:lineRule="auto" w:before="120" w:after="120"/>
        <w:jc w:val="left"/>
      </w:pPr>
      <w:r>
        <w:rPr>
          <w:rFonts w:ascii="Times New Roman" w:hAnsi="Times New Roman" w:eastAsia="黑体"/>
          <w:b/>
          <w:sz w:val="28"/>
        </w:rPr>
        <w:t>4.5 OpenGL 计算组织与结果写回</w:t>
      </w:r>
    </w:p>
    <w:p>
      <w:pPr>
        <w:spacing w:line="360" w:lineRule="auto" w:after="0"/>
        <w:ind w:firstLine="420"/>
      </w:pPr>
      <w:r>
        <w:rPr>
          <w:rFonts w:ascii="Times New Roman" w:hAnsi="Times New Roman" w:eastAsia="宋体"/>
          <w:sz w:val="24"/>
        </w:rPr>
        <w:t>系统中的核心算法均通过 OpenGL Compute Shader 执行。OpenGL 计算组织包括缓冲区准备、参数设置、计算调度、同步和结果读回五个环节。其通用流程如下：</w:t>
      </w:r>
    </w:p>
    <w:p>
      <w:pPr>
        <w:spacing w:line="360" w:lineRule="auto" w:after="0"/>
        <w:ind w:firstLine="420"/>
      </w:pPr>
      <w:r>
        <w:rPr>
          <w:rFonts w:ascii="Times New Roman" w:hAnsi="Times New Roman" w:eastAsia="宋体"/>
          <w:sz w:val="24"/>
        </w:rPr>
        <w:t>1. 根据算法路径准备输入数组和输出数组；</w:t>
      </w:r>
    </w:p>
    <w:p>
      <w:pPr>
        <w:spacing w:line="360" w:lineRule="auto" w:after="0"/>
        <w:ind w:firstLine="420"/>
      </w:pPr>
      <w:r>
        <w:rPr>
          <w:rFonts w:ascii="Times New Roman" w:hAnsi="Times New Roman" w:eastAsia="宋体"/>
          <w:sz w:val="24"/>
        </w:rPr>
        <w:t>2. 创建或更新 SSBO，并绑定到着色器指定绑定点；</w:t>
      </w:r>
    </w:p>
    <w:p>
      <w:pPr>
        <w:spacing w:line="360" w:lineRule="auto" w:after="0"/>
        <w:ind w:firstLine="420"/>
      </w:pPr>
      <w:r>
        <w:rPr>
          <w:rFonts w:ascii="Times New Roman" w:hAnsi="Times New Roman" w:eastAsia="宋体"/>
          <w:sz w:val="24"/>
        </w:rPr>
        <w:t>3. 设置网格维度、字段分量数、采样对象数量和算法参数；</w:t>
      </w:r>
    </w:p>
    <w:p>
      <w:pPr>
        <w:spacing w:line="360" w:lineRule="auto" w:after="0"/>
        <w:ind w:firstLine="420"/>
      </w:pPr>
      <w:r>
        <w:rPr>
          <w:rFonts w:ascii="Times New Roman" w:hAnsi="Times New Roman" w:eastAsia="宋体"/>
          <w:sz w:val="24"/>
        </w:rPr>
        <w:t xml:space="preserve">4. 调用 </w:t>
      </w:r>
      <w:r>
        <w:rPr>
          <w:rFonts w:ascii="Consolas" w:hAnsi="Consolas" w:eastAsia="Consolas"/>
          <w:sz w:val="24"/>
        </w:rPr>
        <w:t>glDispatchCompute</w:t>
      </w:r>
      <w:r>
        <w:rPr>
          <w:rFonts w:ascii="Times New Roman" w:hAnsi="Times New Roman" w:eastAsia="宋体"/>
          <w:sz w:val="24"/>
        </w:rPr>
        <w:t xml:space="preserve"> 启动计算；</w:t>
      </w:r>
    </w:p>
    <w:p>
      <w:pPr>
        <w:spacing w:line="360" w:lineRule="auto" w:after="0"/>
        <w:ind w:firstLine="420"/>
      </w:pPr>
      <w:r>
        <w:rPr>
          <w:rFonts w:ascii="Times New Roman" w:hAnsi="Times New Roman" w:eastAsia="宋体"/>
          <w:sz w:val="24"/>
        </w:rPr>
        <w:t>5. 使用内存屏障保证写入结果对后续读回可见；</w:t>
      </w:r>
    </w:p>
    <w:p>
      <w:pPr>
        <w:spacing w:line="360" w:lineRule="auto" w:after="0"/>
        <w:ind w:firstLine="420"/>
      </w:pPr>
      <w:r>
        <w:rPr>
          <w:rFonts w:ascii="Times New Roman" w:hAnsi="Times New Roman" w:eastAsia="宋体"/>
          <w:sz w:val="24"/>
        </w:rPr>
        <w:t xml:space="preserve">6. 读取输出缓冲并写回 </w:t>
      </w:r>
      <w:r>
        <w:rPr>
          <w:rFonts w:ascii="Consolas" w:hAnsi="Consolas" w:eastAsia="Consolas"/>
          <w:sz w:val="24"/>
        </w:rPr>
        <w:t>dataArrays</w:t>
      </w:r>
      <w:r>
        <w:rPr>
          <w:rFonts w:ascii="Times New Roman" w:hAnsi="Times New Roman" w:eastAsia="宋体"/>
          <w:sz w:val="24"/>
        </w:rPr>
        <w:t>。</w:t>
      </w:r>
    </w:p>
    <w:p>
      <w:pPr>
        <w:spacing w:line="360" w:lineRule="auto" w:after="0"/>
        <w:ind w:firstLine="420"/>
      </w:pPr>
      <w:r>
        <w:rPr>
          <w:rFonts w:ascii="Times New Roman" w:hAnsi="Times New Roman" w:eastAsia="宋体"/>
          <w:sz w:val="24"/>
        </w:rPr>
        <w:t>在具体实现中，系统主要从数据布局和数据传输两个方面降低 GPU 端访问复杂度。点坐标、单元中心、字段值和输出结果均采用连续数组组织，便于 SSBO 按索引读取；非结构化网格中的变长关系通过 offset 数组和索引数组表示，使线程能够根据自身编号定位对应邻域；结构化网格梯度计算不上传显式邻接表，而是由维度直接恢复相邻样本，以减少缓冲区规模；各算法在 GPU 端完成一轮或多轮计算后再统一读回结果，减少计算过程中 CPU 与 GPU 之间的频繁数据传输。</w:t>
      </w:r>
    </w:p>
    <w:p>
      <w:pPr>
        <w:spacing w:line="360" w:lineRule="auto" w:after="0"/>
        <w:ind w:firstLine="420"/>
      </w:pPr>
      <w:r>
        <w:rPr>
          <w:rFonts w:ascii="Times New Roman" w:hAnsi="Times New Roman" w:eastAsia="宋体"/>
          <w:sz w:val="24"/>
        </w:rPr>
        <w:t xml:space="preserve">梯度计算和数据优化在输出布局上存在差异。若输入字段分量数为 </w:t>
      </w:r>
      <w:r>
        <w:rPr>
          <w:rFonts w:ascii="Consolas" w:hAnsi="Consolas" w:eastAsia="Consolas"/>
          <w:sz w:val="24"/>
        </w:rPr>
        <w:t>m</w:t>
      </w:r>
      <w:r>
        <w:rPr>
          <w:rFonts w:ascii="Times New Roman" w:hAnsi="Times New Roman" w:eastAsia="宋体"/>
          <w:sz w:val="24"/>
        </w:rPr>
        <w:t xml:space="preserve">，梯度计算输出 </w:t>
      </w:r>
      <w:r>
        <w:rPr>
          <w:rFonts w:ascii="Consolas" w:hAnsi="Consolas" w:eastAsia="Consolas"/>
          <w:sz w:val="24"/>
        </w:rPr>
        <w:t>3m</w:t>
      </w:r>
      <w:r>
        <w:rPr>
          <w:rFonts w:ascii="Times New Roman" w:hAnsi="Times New Roman" w:eastAsia="宋体"/>
          <w:sz w:val="24"/>
        </w:rPr>
        <w:t xml:space="preserve"> 个分量，依次表示每个输入分量在三个空间方向上的导数；数据优化输出仍为 </w:t>
      </w:r>
      <w:r>
        <w:rPr>
          <w:rFonts w:ascii="Consolas" w:hAnsi="Consolas" w:eastAsia="Consolas"/>
          <w:sz w:val="24"/>
        </w:rPr>
        <w:t>m</w:t>
      </w:r>
      <w:r>
        <w:rPr>
          <w:rFonts w:ascii="Times New Roman" w:hAnsi="Times New Roman" w:eastAsia="宋体"/>
          <w:sz w:val="24"/>
        </w:rPr>
        <w:t xml:space="preserve"> 个分量，与原字段保持相同关联方式。系统在写回字段时同时保存字段名称、字段分量数和字段关联方式，使导出后的 VTK 数据能够被 ParaView 正确识别。</w:t>
      </w:r>
    </w:p>
    <w:p>
      <w:pPr>
        <w:spacing w:line="360" w:lineRule="auto" w:after="0"/>
        <w:ind w:firstLine="420"/>
      </w:pPr>
      <w:r>
        <w:rPr>
          <w:rFonts w:ascii="Times New Roman" w:hAnsi="Times New Roman" w:eastAsia="宋体"/>
          <w:sz w:val="24"/>
        </w:rPr>
        <w:t>系统还记录 GPU 计算时间和总运行时间。GPU 时间通过 OpenGL 时间查询获得，用于描述计算着色器执行阶段耗时；总运行时间包含数据准备、调度、结果读回和写回等过程，用于第五章性能实验中的整体对比。通过区分两类时间指标，能够分别分析 GPU 核心计算效率和系统端到端处理开销。</w:t>
      </w:r>
    </w:p>
    <w:p>
      <w:pPr>
        <w:pStyle w:val="2"/>
        <w:spacing w:line="360" w:lineRule="auto" w:before="120" w:after="120"/>
        <w:jc w:val="left"/>
      </w:pPr>
      <w:r>
        <w:rPr>
          <w:rFonts w:ascii="Times New Roman" w:hAnsi="Times New Roman" w:eastAsia="黑体"/>
          <w:b/>
          <w:sz w:val="28"/>
        </w:rPr>
        <w:t>4.6 本章小结</w:t>
      </w:r>
    </w:p>
    <w:p>
      <w:pPr>
        <w:spacing w:line="360" w:lineRule="auto" w:after="0"/>
        <w:ind w:firstLine="420"/>
      </w:pPr>
      <w:r>
        <w:rPr>
          <w:rFonts w:ascii="Times New Roman" w:hAnsi="Times New Roman" w:eastAsia="宋体"/>
          <w:sz w:val="24"/>
        </w:rPr>
        <w:t>本章说明了系统核心算法的实现方式。结构化网格梯度计算采用有限差分路径，通过逻辑索引访问相邻样本，并结合 Jacobian 关系恢复物理空间梯度；非结构化网格梯度计算采用形函数导数路径，围绕三角形、四边形、四面体和六面体单元组织点数据和单元数据处理；数据优化模块基于图双边滤波和多尺度融合，对点字段和单元字段分别使用对应邻域图。最后，本章说明了 OpenGL 计算调度、SSBO 数据传输、结果读回和字段写回方式，为第五章实验验证提供算法实现基础。</w:t>
      </w:r>
    </w:p>
    <w:p>
      <w:pPr>
        <w:pStyle w:val="2"/>
        <w:spacing w:line="360" w:lineRule="auto" w:before="120" w:after="120"/>
        <w:jc w:val="left"/>
      </w:pPr>
      <w:r>
        <w:rPr>
          <w:rFonts w:ascii="Times New Roman" w:hAnsi="Times New Roman" w:eastAsia="黑体"/>
          <w:b/>
          <w:sz w:val="28"/>
        </w:rPr>
        <w:t>4.7 本章参考文献</w:t>
      </w:r>
    </w:p>
    <w:p>
      <w:pPr>
        <w:spacing w:line="360" w:lineRule="auto" w:after="0"/>
        <w:ind w:firstLine="420"/>
      </w:pPr>
      <w:r>
        <w:rPr>
          <w:rFonts w:ascii="Times New Roman" w:hAnsi="Times New Roman" w:eastAsia="宋体"/>
          <w:sz w:val="24"/>
        </w:rPr>
        <w:t>本章引用文献：[8]、[9]、[10]、[11]、[12]、[13]、[14]、[15]、[21]、[22]、[23]、[24]。</w:t>
      </w:r>
    </w:p>
    <w:p>
      <w:r>
        <w:br w:type="page"/>
      </w:r>
    </w:p>
    <w:p>
      <w:pPr>
        <w:pStyle w:val="1"/>
        <w:spacing w:line="360" w:lineRule="auto" w:before="240" w:after="120"/>
        <w:jc w:val="center"/>
      </w:pPr>
      <w:r>
        <w:rPr>
          <w:rFonts w:ascii="Times New Roman" w:hAnsi="Times New Roman" w:eastAsia="黑体"/>
          <w:b/>
          <w:sz w:val="32"/>
        </w:rPr>
        <w:t>第五章 实验设计与结果分析</w:t>
      </w:r>
    </w:p>
    <w:p>
      <w:pPr>
        <w:pStyle w:val="2"/>
        <w:spacing w:line="360" w:lineRule="auto" w:before="120" w:after="120"/>
        <w:jc w:val="left"/>
      </w:pPr>
      <w:r>
        <w:rPr>
          <w:rFonts w:ascii="Times New Roman" w:hAnsi="Times New Roman" w:eastAsia="黑体"/>
          <w:b/>
          <w:sz w:val="28"/>
        </w:rPr>
        <w:t>5.1 实验目标、环境与数据集</w:t>
      </w:r>
    </w:p>
    <w:p>
      <w:pPr>
        <w:spacing w:line="360" w:lineRule="auto" w:after="0"/>
        <w:ind w:firstLine="420"/>
      </w:pPr>
      <w:r>
        <w:rPr>
          <w:rFonts w:ascii="Times New Roman" w:hAnsi="Times New Roman" w:eastAsia="宋体"/>
          <w:sz w:val="24"/>
        </w:rPr>
        <w:t>本文实验围绕核心算法和系统实现展开，主要包括解析场验证、与 VTK 结果一致性对比、与 VTK 的时间性能对比和数据优化实验。解析场验证用于检查梯度计算算法的数值正确性；VTK 一致性对比用于分析系统输出与成熟工具结果之间的差异；时间性能对比用于评价当前 OpenGL 实现的运行效率；数据优化实验用于验证系统对局部随机高频扰动的抑制效果。四组实验分别从解析真值、工程参考、运行效率和字段平滑效果四个方面评价本文系统。</w:t>
      </w:r>
    </w:p>
    <w:p>
      <w:pPr>
        <w:spacing w:line="360" w:lineRule="auto" w:after="0"/>
        <w:ind w:firstLine="420"/>
      </w:pPr>
      <w:r>
        <w:rPr>
          <w:rFonts w:ascii="Times New Roman" w:hAnsi="Times New Roman" w:eastAsia="宋体"/>
          <w:sz w:val="24"/>
        </w:rPr>
        <w:t>实验环境如表 5-1 所示。</w:t>
      </w:r>
    </w:p>
    <w:tbl>
      <w:tblPr>
        <w:tblStyle w:val="a6"/>
        <w:tblW w:type="auto" w:w="0"/>
        <w:jc w:val="center"/>
        <w:tblLayout w:type="autofit"/>
        <w:tblLook w:firstColumn="1" w:firstRow="1" w:lastColumn="0" w:lastRow="0" w:noHBand="0" w:noVBand="1" w:val="04A0"/>
      </w:tblPr>
      <w:tblGrid>
        <w:gridCol w:w="4394"/>
        <w:gridCol w:w="4394"/>
      </w:tblGrid>
      <w:tr>
        <w:tc>
          <w:tcPr>
            <w:tcW w:type="dxa" w:w="4394"/>
            <w:vAlign w:val="center"/>
          </w:tcPr>
          <w:p>
            <w:pPr>
              <w:spacing w:line="240" w:lineRule="auto"/>
              <w:jc w:val="center"/>
            </w:pPr>
            <w:r>
              <w:rPr>
                <w:rFonts w:ascii="Times New Roman" w:hAnsi="Times New Roman" w:eastAsia="宋体"/>
                <w:b/>
                <w:sz w:val="21"/>
              </w:rPr>
              <w:t>项目</w:t>
            </w:r>
          </w:p>
        </w:tc>
        <w:tc>
          <w:tcPr>
            <w:tcW w:type="dxa" w:w="4394"/>
            <w:vAlign w:val="center"/>
          </w:tcPr>
          <w:p>
            <w:pPr>
              <w:spacing w:line="240" w:lineRule="auto"/>
              <w:jc w:val="center"/>
            </w:pPr>
            <w:r>
              <w:rPr>
                <w:rFonts w:ascii="Times New Roman" w:hAnsi="Times New Roman" w:eastAsia="宋体"/>
                <w:b/>
                <w:sz w:val="21"/>
              </w:rPr>
              <w:t>配置</w:t>
            </w:r>
          </w:p>
        </w:tc>
      </w:tr>
      <w:tr>
        <w:tc>
          <w:tcPr>
            <w:tcW w:type="dxa" w:w="4394"/>
            <w:vAlign w:val="center"/>
          </w:tcPr>
          <w:p>
            <w:pPr>
              <w:spacing w:line="240" w:lineRule="auto"/>
              <w:jc w:val="center"/>
            </w:pPr>
            <w:r>
              <w:rPr>
                <w:rFonts w:ascii="Times New Roman" w:hAnsi="Times New Roman" w:eastAsia="宋体"/>
                <w:b w:val="0"/>
                <w:sz w:val="21"/>
              </w:rPr>
              <w:t>操作系统</w:t>
            </w:r>
          </w:p>
        </w:tc>
        <w:tc>
          <w:tcPr>
            <w:tcW w:type="dxa" w:w="4394"/>
            <w:vAlign w:val="center"/>
          </w:tcPr>
          <w:p>
            <w:pPr>
              <w:spacing w:line="240" w:lineRule="auto"/>
              <w:jc w:val="center"/>
            </w:pPr>
            <w:r>
              <w:rPr>
                <w:rFonts w:ascii="Times New Roman" w:hAnsi="Times New Roman" w:eastAsia="宋体"/>
                <w:b w:val="0"/>
                <w:sz w:val="21"/>
              </w:rPr>
              <w:t>Windows x64</w:t>
            </w:r>
          </w:p>
        </w:tc>
      </w:tr>
      <w:tr>
        <w:tc>
          <w:tcPr>
            <w:tcW w:type="dxa" w:w="4394"/>
            <w:vAlign w:val="center"/>
          </w:tcPr>
          <w:p>
            <w:pPr>
              <w:spacing w:line="240" w:lineRule="auto"/>
              <w:jc w:val="center"/>
            </w:pPr>
            <w:r>
              <w:rPr>
                <w:rFonts w:ascii="Times New Roman" w:hAnsi="Times New Roman" w:eastAsia="宋体"/>
                <w:b w:val="0"/>
                <w:sz w:val="21"/>
              </w:rPr>
              <w:t>编译工具</w:t>
            </w:r>
          </w:p>
        </w:tc>
        <w:tc>
          <w:tcPr>
            <w:tcW w:type="dxa" w:w="4394"/>
            <w:vAlign w:val="center"/>
          </w:tcPr>
          <w:p>
            <w:pPr>
              <w:spacing w:line="240" w:lineRule="auto"/>
              <w:jc w:val="center"/>
            </w:pPr>
            <w:r>
              <w:rPr>
                <w:rFonts w:ascii="Times New Roman" w:hAnsi="Times New Roman" w:eastAsia="宋体"/>
                <w:b w:val="0"/>
                <w:sz w:val="21"/>
              </w:rPr>
              <w:t>Visual Studio 2022</w:t>
            </w:r>
          </w:p>
        </w:tc>
      </w:tr>
      <w:tr>
        <w:tc>
          <w:tcPr>
            <w:tcW w:type="dxa" w:w="4394"/>
            <w:vAlign w:val="center"/>
          </w:tcPr>
          <w:p>
            <w:pPr>
              <w:spacing w:line="240" w:lineRule="auto"/>
              <w:jc w:val="center"/>
            </w:pPr>
            <w:r>
              <w:rPr>
                <w:rFonts w:ascii="Times New Roman" w:hAnsi="Times New Roman" w:eastAsia="宋体"/>
                <w:b w:val="0"/>
                <w:sz w:val="21"/>
              </w:rPr>
              <w:t>构建系统</w:t>
            </w:r>
          </w:p>
        </w:tc>
        <w:tc>
          <w:tcPr>
            <w:tcW w:type="dxa" w:w="4394"/>
            <w:vAlign w:val="center"/>
          </w:tcPr>
          <w:p>
            <w:pPr>
              <w:spacing w:line="240" w:lineRule="auto"/>
              <w:jc w:val="center"/>
            </w:pPr>
            <w:r>
              <w:rPr>
                <w:rFonts w:ascii="Times New Roman" w:hAnsi="Times New Roman" w:eastAsia="宋体"/>
                <w:b w:val="0"/>
                <w:sz w:val="21"/>
              </w:rPr>
              <w:t>CMake</w:t>
            </w:r>
          </w:p>
        </w:tc>
      </w:tr>
      <w:tr>
        <w:tc>
          <w:tcPr>
            <w:tcW w:type="dxa" w:w="4394"/>
            <w:vAlign w:val="center"/>
          </w:tcPr>
          <w:p>
            <w:pPr>
              <w:spacing w:line="240" w:lineRule="auto"/>
              <w:jc w:val="center"/>
            </w:pPr>
            <w:r>
              <w:rPr>
                <w:rFonts w:ascii="Times New Roman" w:hAnsi="Times New Roman" w:eastAsia="宋体"/>
                <w:b w:val="0"/>
                <w:sz w:val="21"/>
              </w:rPr>
              <w:t>图形接口</w:t>
            </w:r>
          </w:p>
        </w:tc>
        <w:tc>
          <w:tcPr>
            <w:tcW w:type="dxa" w:w="4394"/>
            <w:vAlign w:val="center"/>
          </w:tcPr>
          <w:p>
            <w:pPr>
              <w:spacing w:line="240" w:lineRule="auto"/>
              <w:jc w:val="center"/>
            </w:pPr>
            <w:r>
              <w:rPr>
                <w:rFonts w:ascii="Times New Roman" w:hAnsi="Times New Roman" w:eastAsia="宋体"/>
                <w:b w:val="0"/>
                <w:sz w:val="21"/>
              </w:rPr>
              <w:t>OpenGL 4.6</w:t>
            </w:r>
          </w:p>
        </w:tc>
      </w:tr>
      <w:tr>
        <w:tc>
          <w:tcPr>
            <w:tcW w:type="dxa" w:w="4394"/>
            <w:vAlign w:val="center"/>
          </w:tcPr>
          <w:p>
            <w:pPr>
              <w:spacing w:line="240" w:lineRule="auto"/>
              <w:jc w:val="center"/>
            </w:pPr>
            <w:r>
              <w:rPr>
                <w:rFonts w:ascii="Times New Roman" w:hAnsi="Times New Roman" w:eastAsia="宋体"/>
                <w:b w:val="0"/>
                <w:sz w:val="21"/>
              </w:rPr>
              <w:t>数据读写与参考库</w:t>
            </w:r>
          </w:p>
        </w:tc>
        <w:tc>
          <w:tcPr>
            <w:tcW w:type="dxa" w:w="4394"/>
            <w:vAlign w:val="center"/>
          </w:tcPr>
          <w:p>
            <w:pPr>
              <w:spacing w:line="240" w:lineRule="auto"/>
              <w:jc w:val="center"/>
            </w:pPr>
            <w:r>
              <w:rPr>
                <w:rFonts w:ascii="Times New Roman" w:hAnsi="Times New Roman" w:eastAsia="宋体"/>
                <w:b w:val="0"/>
                <w:sz w:val="21"/>
              </w:rPr>
              <w:t>VTK 9.5</w:t>
            </w:r>
          </w:p>
        </w:tc>
      </w:tr>
      <w:tr>
        <w:tc>
          <w:tcPr>
            <w:tcW w:type="dxa" w:w="4394"/>
            <w:vAlign w:val="center"/>
          </w:tcPr>
          <w:p>
            <w:pPr>
              <w:spacing w:line="240" w:lineRule="auto"/>
              <w:jc w:val="center"/>
            </w:pPr>
            <w:r>
              <w:rPr>
                <w:rFonts w:ascii="Times New Roman" w:hAnsi="Times New Roman" w:eastAsia="宋体"/>
                <w:b w:val="0"/>
                <w:sz w:val="21"/>
              </w:rPr>
              <w:t>界面库</w:t>
            </w:r>
          </w:p>
        </w:tc>
        <w:tc>
          <w:tcPr>
            <w:tcW w:type="dxa" w:w="4394"/>
            <w:vAlign w:val="center"/>
          </w:tcPr>
          <w:p>
            <w:pPr>
              <w:spacing w:line="240" w:lineRule="auto"/>
              <w:jc w:val="center"/>
            </w:pPr>
            <w:r>
              <w:rPr>
                <w:rFonts w:ascii="Times New Roman" w:hAnsi="Times New Roman" w:eastAsia="宋体"/>
                <w:b w:val="0"/>
                <w:sz w:val="21"/>
              </w:rPr>
              <w:t>Qt 5</w:t>
            </w:r>
          </w:p>
        </w:tc>
      </w:tr>
    </w:tbl>
    <w:p/>
    <w:p>
      <w:pPr>
        <w:spacing w:line="360" w:lineRule="auto" w:after="0"/>
        <w:ind w:firstLine="420"/>
      </w:pPr>
      <w:r>
        <w:rPr>
          <w:rFonts w:ascii="Times New Roman" w:hAnsi="Times New Roman" w:eastAsia="宋体"/>
          <w:sz w:val="24"/>
        </w:rPr>
        <w:t>所有实验均在同一软件环境下完成。梯度计算实验使用相同输入文件和相同字段名称进行对比，时间实验使用统一生成的数据集进行测试，以减少模型来源差异对结果分析的影响。</w:t>
      </w:r>
    </w:p>
    <w:p>
      <w:pPr>
        <w:spacing w:line="360" w:lineRule="auto" w:after="0"/>
        <w:ind w:firstLine="420"/>
      </w:pPr>
      <w:r>
        <w:rPr>
          <w:rFonts w:ascii="Times New Roman" w:hAnsi="Times New Roman" w:eastAsia="宋体"/>
          <w:sz w:val="24"/>
        </w:rPr>
        <w:t>实验数据集包括结构化网格、非结构化体网格、非结构化曲面网格、工程曲面数据以及统一生成的时间测试网格。不同数据集对应不同验证目标，其用途如表 5-2 所示。</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数据集</w:t>
            </w:r>
          </w:p>
        </w:tc>
        <w:tc>
          <w:tcPr>
            <w:tcW w:type="dxa" w:w="2197"/>
            <w:vAlign w:val="center"/>
          </w:tcPr>
          <w:p>
            <w:pPr>
              <w:spacing w:line="240" w:lineRule="auto"/>
              <w:jc w:val="center"/>
            </w:pPr>
            <w:r>
              <w:rPr>
                <w:rFonts w:ascii="Times New Roman" w:hAnsi="Times New Roman" w:eastAsia="宋体"/>
                <w:b/>
                <w:sz w:val="21"/>
              </w:rPr>
              <w:t>网格类型</w:t>
            </w:r>
          </w:p>
        </w:tc>
        <w:tc>
          <w:tcPr>
            <w:tcW w:type="dxa" w:w="2197"/>
            <w:vAlign w:val="center"/>
          </w:tcPr>
          <w:p>
            <w:pPr>
              <w:spacing w:line="240" w:lineRule="auto"/>
              <w:jc w:val="center"/>
            </w:pPr>
            <w:r>
              <w:rPr>
                <w:rFonts w:ascii="Times New Roman" w:hAnsi="Times New Roman" w:eastAsia="宋体"/>
                <w:b/>
                <w:sz w:val="21"/>
              </w:rPr>
              <w:t>主要用途</w:t>
            </w:r>
          </w:p>
        </w:tc>
        <w:tc>
          <w:tcPr>
            <w:tcW w:type="dxa" w:w="2197"/>
            <w:vAlign w:val="center"/>
          </w:tcPr>
          <w:p>
            <w:pPr>
              <w:spacing w:line="240" w:lineRule="auto"/>
              <w:jc w:val="center"/>
            </w:pPr>
            <w:r>
              <w:rPr>
                <w:rFonts w:ascii="Times New Roman" w:hAnsi="Times New Roman" w:eastAsia="宋体"/>
                <w:b/>
                <w:sz w:val="21"/>
              </w:rPr>
              <w:t>说明</w:t>
            </w:r>
          </w:p>
        </w:tc>
      </w:tr>
      <w:tr>
        <w:tc>
          <w:tcPr>
            <w:tcW w:type="dxa" w:w="2197"/>
            <w:vAlign w:val="center"/>
          </w:tcPr>
          <w:p>
            <w:pPr>
              <w:spacing w:line="240" w:lineRule="auto"/>
              <w:jc w:val="center"/>
            </w:pPr>
            <w:r>
              <w:rPr>
                <w:rFonts w:ascii="Times New Roman" w:hAnsi="Times New Roman" w:eastAsia="宋体"/>
                <w:b w:val="0"/>
                <w:sz w:val="21"/>
              </w:rPr>
              <w:t>SampleStructGrid</w:t>
            </w:r>
          </w:p>
        </w:tc>
        <w:tc>
          <w:tcPr>
            <w:tcW w:type="dxa" w:w="2197"/>
            <w:vAlign w:val="center"/>
          </w:tcPr>
          <w:p>
            <w:pPr>
              <w:spacing w:line="240" w:lineRule="auto"/>
              <w:jc w:val="center"/>
            </w:pPr>
            <w:r>
              <w:rPr>
                <w:rFonts w:ascii="Times New Roman" w:hAnsi="Times New Roman" w:eastAsia="宋体"/>
                <w:b w:val="0"/>
                <w:sz w:val="21"/>
              </w:rPr>
              <w:t>结构化网格</w:t>
            </w:r>
          </w:p>
        </w:tc>
        <w:tc>
          <w:tcPr>
            <w:tcW w:type="dxa" w:w="2197"/>
            <w:vAlign w:val="center"/>
          </w:tcPr>
          <w:p>
            <w:pPr>
              <w:spacing w:line="240" w:lineRule="auto"/>
              <w:jc w:val="center"/>
            </w:pPr>
            <w:r>
              <w:rPr>
                <w:rFonts w:ascii="Times New Roman" w:hAnsi="Times New Roman" w:eastAsia="宋体"/>
                <w:b w:val="0"/>
                <w:sz w:val="21"/>
              </w:rPr>
              <w:t>结构化网格梯度验证、VTK 一致性对比</w:t>
            </w:r>
          </w:p>
        </w:tc>
        <w:tc>
          <w:tcPr>
            <w:tcW w:type="dxa" w:w="2197"/>
            <w:vAlign w:val="center"/>
          </w:tcPr>
          <w:p>
            <w:pPr>
              <w:spacing w:line="240" w:lineRule="auto"/>
              <w:jc w:val="center"/>
            </w:pPr>
            <w:r>
              <w:rPr>
                <w:rFonts w:ascii="Times New Roman" w:hAnsi="Times New Roman" w:eastAsia="宋体"/>
                <w:b w:val="0"/>
                <w:sz w:val="21"/>
              </w:rPr>
              <w:t>用于验证有限差分路径</w:t>
            </w:r>
          </w:p>
        </w:tc>
      </w:tr>
      <w:tr>
        <w:tc>
          <w:tcPr>
            <w:tcW w:type="dxa" w:w="2197"/>
            <w:vAlign w:val="center"/>
          </w:tcPr>
          <w:p>
            <w:pPr>
              <w:spacing w:line="240" w:lineRule="auto"/>
              <w:jc w:val="center"/>
            </w:pPr>
            <w:r>
              <w:rPr>
                <w:rFonts w:ascii="Times New Roman" w:hAnsi="Times New Roman" w:eastAsia="宋体"/>
                <w:b w:val="0"/>
                <w:sz w:val="21"/>
              </w:rPr>
              <w:t>hexa</w:t>
            </w:r>
          </w:p>
        </w:tc>
        <w:tc>
          <w:tcPr>
            <w:tcW w:type="dxa" w:w="2197"/>
            <w:vAlign w:val="center"/>
          </w:tcPr>
          <w:p>
            <w:pPr>
              <w:spacing w:line="240" w:lineRule="auto"/>
              <w:jc w:val="center"/>
            </w:pPr>
            <w:r>
              <w:rPr>
                <w:rFonts w:ascii="Times New Roman" w:hAnsi="Times New Roman" w:eastAsia="宋体"/>
                <w:b w:val="0"/>
                <w:sz w:val="21"/>
              </w:rPr>
              <w:t>非结构化体网格</w:t>
            </w:r>
          </w:p>
        </w:tc>
        <w:tc>
          <w:tcPr>
            <w:tcW w:type="dxa" w:w="2197"/>
            <w:vAlign w:val="center"/>
          </w:tcPr>
          <w:p>
            <w:pPr>
              <w:spacing w:line="240" w:lineRule="auto"/>
              <w:jc w:val="center"/>
            </w:pPr>
            <w:r>
              <w:rPr>
                <w:rFonts w:ascii="Times New Roman" w:hAnsi="Times New Roman" w:eastAsia="宋体"/>
                <w:b w:val="0"/>
                <w:sz w:val="21"/>
              </w:rPr>
              <w:t>非结构化点数据与单元数据解析场验证</w:t>
            </w:r>
          </w:p>
        </w:tc>
        <w:tc>
          <w:tcPr>
            <w:tcW w:type="dxa" w:w="2197"/>
            <w:vAlign w:val="center"/>
          </w:tcPr>
          <w:p>
            <w:pPr>
              <w:spacing w:line="240" w:lineRule="auto"/>
              <w:jc w:val="center"/>
            </w:pPr>
            <w:r>
              <w:rPr>
                <w:rFonts w:ascii="Times New Roman" w:hAnsi="Times New Roman" w:eastAsia="宋体"/>
                <w:b w:val="0"/>
                <w:sz w:val="21"/>
              </w:rPr>
              <w:t>用于验证六面体相关路径</w:t>
            </w:r>
          </w:p>
        </w:tc>
      </w:tr>
      <w:tr>
        <w:tc>
          <w:tcPr>
            <w:tcW w:type="dxa" w:w="2197"/>
            <w:vAlign w:val="center"/>
          </w:tcPr>
          <w:p>
            <w:pPr>
              <w:spacing w:line="240" w:lineRule="auto"/>
              <w:jc w:val="center"/>
            </w:pPr>
            <w:r>
              <w:rPr>
                <w:rFonts w:ascii="Times New Roman" w:hAnsi="Times New Roman" w:eastAsia="宋体"/>
                <w:b w:val="0"/>
                <w:sz w:val="21"/>
              </w:rPr>
              <w:t>limb</w:t>
            </w:r>
          </w:p>
        </w:tc>
        <w:tc>
          <w:tcPr>
            <w:tcW w:type="dxa" w:w="2197"/>
            <w:vAlign w:val="center"/>
          </w:tcPr>
          <w:p>
            <w:pPr>
              <w:spacing w:line="240" w:lineRule="auto"/>
              <w:jc w:val="center"/>
            </w:pPr>
            <w:r>
              <w:rPr>
                <w:rFonts w:ascii="Times New Roman" w:hAnsi="Times New Roman" w:eastAsia="宋体"/>
                <w:b w:val="0"/>
                <w:sz w:val="21"/>
              </w:rPr>
              <w:t>非结构化体网格</w:t>
            </w:r>
          </w:p>
        </w:tc>
        <w:tc>
          <w:tcPr>
            <w:tcW w:type="dxa" w:w="2197"/>
            <w:vAlign w:val="center"/>
          </w:tcPr>
          <w:p>
            <w:pPr>
              <w:spacing w:line="240" w:lineRule="auto"/>
              <w:jc w:val="center"/>
            </w:pPr>
            <w:r>
              <w:rPr>
                <w:rFonts w:ascii="Times New Roman" w:hAnsi="Times New Roman" w:eastAsia="宋体"/>
                <w:b w:val="0"/>
                <w:sz w:val="21"/>
              </w:rPr>
              <w:t>非结构化真实单元字段一致性对比</w:t>
            </w:r>
          </w:p>
        </w:tc>
        <w:tc>
          <w:tcPr>
            <w:tcW w:type="dxa" w:w="2197"/>
            <w:vAlign w:val="center"/>
          </w:tcPr>
          <w:p>
            <w:pPr>
              <w:spacing w:line="240" w:lineRule="auto"/>
              <w:jc w:val="center"/>
            </w:pPr>
            <w:r>
              <w:rPr>
                <w:rFonts w:ascii="Times New Roman" w:hAnsi="Times New Roman" w:eastAsia="宋体"/>
                <w:b w:val="0"/>
                <w:sz w:val="21"/>
              </w:rPr>
              <w:t>用于补充真实单元字段对照</w:t>
            </w:r>
          </w:p>
        </w:tc>
      </w:tr>
      <w:tr>
        <w:tc>
          <w:tcPr>
            <w:tcW w:type="dxa" w:w="2197"/>
            <w:vAlign w:val="center"/>
          </w:tcPr>
          <w:p>
            <w:pPr>
              <w:spacing w:line="240" w:lineRule="auto"/>
              <w:jc w:val="center"/>
            </w:pPr>
            <w:r>
              <w:rPr>
                <w:rFonts w:ascii="Times New Roman" w:hAnsi="Times New Roman" w:eastAsia="宋体"/>
                <w:b w:val="0"/>
                <w:sz w:val="21"/>
              </w:rPr>
              <w:t>1_0</w:t>
            </w:r>
          </w:p>
        </w:tc>
        <w:tc>
          <w:tcPr>
            <w:tcW w:type="dxa" w:w="2197"/>
            <w:vAlign w:val="center"/>
          </w:tcPr>
          <w:p>
            <w:pPr>
              <w:spacing w:line="240" w:lineRule="auto"/>
              <w:jc w:val="center"/>
            </w:pPr>
            <w:r>
              <w:rPr>
                <w:rFonts w:ascii="Times New Roman" w:hAnsi="Times New Roman" w:eastAsia="宋体"/>
                <w:b w:val="0"/>
                <w:sz w:val="21"/>
              </w:rPr>
              <w:t>非结构化曲面网格</w:t>
            </w:r>
          </w:p>
        </w:tc>
        <w:tc>
          <w:tcPr>
            <w:tcW w:type="dxa" w:w="2197"/>
            <w:vAlign w:val="center"/>
          </w:tcPr>
          <w:p>
            <w:pPr>
              <w:spacing w:line="240" w:lineRule="auto"/>
              <w:jc w:val="center"/>
            </w:pPr>
            <w:r>
              <w:rPr>
                <w:rFonts w:ascii="Times New Roman" w:hAnsi="Times New Roman" w:eastAsia="宋体"/>
                <w:b w:val="0"/>
                <w:sz w:val="21"/>
              </w:rPr>
              <w:t>曲面点数据与单元数据梯度验证</w:t>
            </w:r>
          </w:p>
        </w:tc>
        <w:tc>
          <w:tcPr>
            <w:tcW w:type="dxa" w:w="2197"/>
            <w:vAlign w:val="center"/>
          </w:tcPr>
          <w:p>
            <w:pPr>
              <w:spacing w:line="240" w:lineRule="auto"/>
              <w:jc w:val="center"/>
            </w:pPr>
            <w:r>
              <w:rPr>
                <w:rFonts w:ascii="Times New Roman" w:hAnsi="Times New Roman" w:eastAsia="宋体"/>
                <w:b w:val="0"/>
                <w:sz w:val="21"/>
              </w:rPr>
              <w:t>用于曲面场结果分析</w:t>
            </w:r>
          </w:p>
        </w:tc>
      </w:tr>
      <w:tr>
        <w:tc>
          <w:tcPr>
            <w:tcW w:type="dxa" w:w="2197"/>
            <w:vAlign w:val="center"/>
          </w:tcPr>
          <w:p>
            <w:pPr>
              <w:spacing w:line="240" w:lineRule="auto"/>
              <w:jc w:val="center"/>
            </w:pPr>
            <w:r>
              <w:rPr>
                <w:rFonts w:ascii="Times New Roman" w:hAnsi="Times New Roman" w:eastAsia="宋体"/>
                <w:b w:val="0"/>
                <w:sz w:val="21"/>
              </w:rPr>
              <w:t>ShipHull_0</w:t>
            </w:r>
          </w:p>
        </w:tc>
        <w:tc>
          <w:tcPr>
            <w:tcW w:type="dxa" w:w="2197"/>
            <w:vAlign w:val="center"/>
          </w:tcPr>
          <w:p>
            <w:pPr>
              <w:spacing w:line="240" w:lineRule="auto"/>
              <w:jc w:val="center"/>
            </w:pPr>
            <w:r>
              <w:rPr>
                <w:rFonts w:ascii="Times New Roman" w:hAnsi="Times New Roman" w:eastAsia="宋体"/>
                <w:b w:val="0"/>
                <w:sz w:val="21"/>
              </w:rPr>
              <w:t>工程曲面数据</w:t>
            </w:r>
          </w:p>
        </w:tc>
        <w:tc>
          <w:tcPr>
            <w:tcW w:type="dxa" w:w="2197"/>
            <w:vAlign w:val="center"/>
          </w:tcPr>
          <w:p>
            <w:pPr>
              <w:spacing w:line="240" w:lineRule="auto"/>
              <w:jc w:val="center"/>
            </w:pPr>
            <w:r>
              <w:rPr>
                <w:rFonts w:ascii="Times New Roman" w:hAnsi="Times New Roman" w:eastAsia="宋体"/>
                <w:b w:val="0"/>
                <w:sz w:val="21"/>
              </w:rPr>
              <w:t>数据优化实验</w:t>
            </w:r>
          </w:p>
        </w:tc>
        <w:tc>
          <w:tcPr>
            <w:tcW w:type="dxa" w:w="2197"/>
            <w:vAlign w:val="center"/>
          </w:tcPr>
          <w:p>
            <w:pPr>
              <w:spacing w:line="240" w:lineRule="auto"/>
              <w:jc w:val="center"/>
            </w:pPr>
            <w:r>
              <w:rPr>
                <w:rFonts w:ascii="Times New Roman" w:hAnsi="Times New Roman" w:eastAsia="宋体"/>
                <w:b w:val="0"/>
                <w:sz w:val="21"/>
              </w:rPr>
              <w:t>用于构造高斯扰动并验证平滑效果</w:t>
            </w:r>
          </w:p>
        </w:tc>
      </w:tr>
      <w:tr>
        <w:tc>
          <w:tcPr>
            <w:tcW w:type="dxa" w:w="2197"/>
            <w:vAlign w:val="center"/>
          </w:tcPr>
          <w:p>
            <w:pPr>
              <w:spacing w:line="240" w:lineRule="auto"/>
              <w:jc w:val="center"/>
            </w:pPr>
            <w:r>
              <w:rPr>
                <w:rFonts w:ascii="Times New Roman" w:hAnsi="Times New Roman" w:eastAsia="宋体"/>
                <w:b w:val="0"/>
                <w:sz w:val="21"/>
              </w:rPr>
              <w:t>timing_struct_*</w:t>
            </w:r>
          </w:p>
        </w:tc>
        <w:tc>
          <w:tcPr>
            <w:tcW w:type="dxa" w:w="2197"/>
            <w:vAlign w:val="center"/>
          </w:tcPr>
          <w:p>
            <w:pPr>
              <w:spacing w:line="240" w:lineRule="auto"/>
              <w:jc w:val="center"/>
            </w:pPr>
            <w:r>
              <w:rPr>
                <w:rFonts w:ascii="Times New Roman" w:hAnsi="Times New Roman" w:eastAsia="宋体"/>
                <w:b w:val="0"/>
                <w:sz w:val="21"/>
              </w:rPr>
              <w:t>结构化网格族</w:t>
            </w:r>
          </w:p>
        </w:tc>
        <w:tc>
          <w:tcPr>
            <w:tcW w:type="dxa" w:w="2197"/>
            <w:vAlign w:val="center"/>
          </w:tcPr>
          <w:p>
            <w:pPr>
              <w:spacing w:line="240" w:lineRule="auto"/>
              <w:jc w:val="center"/>
            </w:pPr>
            <w:r>
              <w:rPr>
                <w:rFonts w:ascii="Times New Roman" w:hAnsi="Times New Roman" w:eastAsia="宋体"/>
                <w:b w:val="0"/>
                <w:sz w:val="21"/>
              </w:rPr>
              <w:t>时间性能对比</w:t>
            </w:r>
          </w:p>
        </w:tc>
        <w:tc>
          <w:tcPr>
            <w:tcW w:type="dxa" w:w="2197"/>
            <w:vAlign w:val="center"/>
          </w:tcPr>
          <w:p>
            <w:pPr>
              <w:spacing w:line="240" w:lineRule="auto"/>
              <w:jc w:val="center"/>
            </w:pPr>
            <w:r>
              <w:rPr>
                <w:rFonts w:ascii="Times New Roman" w:hAnsi="Times New Roman" w:eastAsia="宋体"/>
                <w:b w:val="0"/>
                <w:sz w:val="21"/>
              </w:rPr>
              <w:t>由统一规模生成</w:t>
            </w:r>
          </w:p>
        </w:tc>
      </w:tr>
      <w:tr>
        <w:tc>
          <w:tcPr>
            <w:tcW w:type="dxa" w:w="2197"/>
            <w:vAlign w:val="center"/>
          </w:tcPr>
          <w:p>
            <w:pPr>
              <w:spacing w:line="240" w:lineRule="auto"/>
              <w:jc w:val="center"/>
            </w:pPr>
            <w:r>
              <w:rPr>
                <w:rFonts w:ascii="Times New Roman" w:hAnsi="Times New Roman" w:eastAsia="宋体"/>
                <w:b w:val="0"/>
                <w:sz w:val="21"/>
              </w:rPr>
              <w:t>timing_uhex_*</w:t>
            </w:r>
          </w:p>
        </w:tc>
        <w:tc>
          <w:tcPr>
            <w:tcW w:type="dxa" w:w="2197"/>
            <w:vAlign w:val="center"/>
          </w:tcPr>
          <w:p>
            <w:pPr>
              <w:spacing w:line="240" w:lineRule="auto"/>
              <w:jc w:val="center"/>
            </w:pPr>
            <w:r>
              <w:rPr>
                <w:rFonts w:ascii="Times New Roman" w:hAnsi="Times New Roman" w:eastAsia="宋体"/>
                <w:b w:val="0"/>
                <w:sz w:val="21"/>
              </w:rPr>
              <w:t>非结构化六面体网格族</w:t>
            </w:r>
          </w:p>
        </w:tc>
        <w:tc>
          <w:tcPr>
            <w:tcW w:type="dxa" w:w="2197"/>
            <w:vAlign w:val="center"/>
          </w:tcPr>
          <w:p>
            <w:pPr>
              <w:spacing w:line="240" w:lineRule="auto"/>
              <w:jc w:val="center"/>
            </w:pPr>
            <w:r>
              <w:rPr>
                <w:rFonts w:ascii="Times New Roman" w:hAnsi="Times New Roman" w:eastAsia="宋体"/>
                <w:b w:val="0"/>
                <w:sz w:val="21"/>
              </w:rPr>
              <w:t>时间性能对比</w:t>
            </w:r>
          </w:p>
        </w:tc>
        <w:tc>
          <w:tcPr>
            <w:tcW w:type="dxa" w:w="2197"/>
            <w:vAlign w:val="center"/>
          </w:tcPr>
          <w:p>
            <w:pPr>
              <w:spacing w:line="240" w:lineRule="auto"/>
              <w:jc w:val="center"/>
            </w:pPr>
            <w:r>
              <w:rPr>
                <w:rFonts w:ascii="Times New Roman" w:hAnsi="Times New Roman" w:eastAsia="宋体"/>
                <w:b w:val="0"/>
                <w:sz w:val="21"/>
              </w:rPr>
              <w:t>用于比较非结构化路径耗时</w:t>
            </w:r>
          </w:p>
        </w:tc>
      </w:tr>
    </w:tbl>
    <w:p/>
    <w:p>
      <w:pPr>
        <w:spacing w:line="360" w:lineRule="auto" w:after="0"/>
        <w:ind w:firstLine="420"/>
      </w:pPr>
      <w:r>
        <w:rPr>
          <w:rFonts w:ascii="Times New Roman" w:hAnsi="Times New Roman" w:eastAsia="宋体"/>
          <w:sz w:val="24"/>
        </w:rPr>
        <w:t>上述数据集覆盖本文系统的主要算法路径。</w:t>
      </w:r>
      <w:r>
        <w:rPr>
          <w:rFonts w:ascii="Consolas" w:hAnsi="Consolas" w:eastAsia="Consolas"/>
          <w:sz w:val="24"/>
        </w:rPr>
        <w:t>SampleStructGrid</w:t>
      </w:r>
      <w:r>
        <w:rPr>
          <w:rFonts w:ascii="Times New Roman" w:hAnsi="Times New Roman" w:eastAsia="宋体"/>
          <w:sz w:val="24"/>
        </w:rPr>
        <w:t xml:space="preserve"> 对应结构化网格有限差分路径，</w:t>
      </w:r>
      <w:r>
        <w:rPr>
          <w:rFonts w:ascii="Consolas" w:hAnsi="Consolas" w:eastAsia="Consolas"/>
          <w:sz w:val="24"/>
        </w:rPr>
        <w:t>hexa</w:t>
      </w:r>
      <w:r>
        <w:rPr>
          <w:rFonts w:ascii="Times New Roman" w:hAnsi="Times New Roman" w:eastAsia="宋体"/>
          <w:sz w:val="24"/>
        </w:rPr>
        <w:t xml:space="preserve"> 和 </w:t>
      </w:r>
      <w:r>
        <w:rPr>
          <w:rFonts w:ascii="Consolas" w:hAnsi="Consolas" w:eastAsia="Consolas"/>
          <w:sz w:val="24"/>
        </w:rPr>
        <w:t>limb</w:t>
      </w:r>
      <w:r>
        <w:rPr>
          <w:rFonts w:ascii="Times New Roman" w:hAnsi="Times New Roman" w:eastAsia="宋体"/>
          <w:sz w:val="24"/>
        </w:rPr>
        <w:t xml:space="preserve"> 对应非结构化体网格处理路径，</w:t>
      </w:r>
      <w:r>
        <w:rPr>
          <w:rFonts w:ascii="Consolas" w:hAnsi="Consolas" w:eastAsia="Consolas"/>
          <w:sz w:val="24"/>
        </w:rPr>
        <w:t>1_0</w:t>
      </w:r>
      <w:r>
        <w:rPr>
          <w:rFonts w:ascii="Times New Roman" w:hAnsi="Times New Roman" w:eastAsia="宋体"/>
          <w:sz w:val="24"/>
        </w:rPr>
        <w:t xml:space="preserve"> 对应非结构化曲面网格处理路径，时间测试网格用于观察数据规模变化对耗时的影响。</w:t>
      </w:r>
      <w:r>
        <w:rPr>
          <w:rFonts w:ascii="Consolas" w:hAnsi="Consolas" w:eastAsia="Consolas"/>
          <w:sz w:val="24"/>
        </w:rPr>
        <w:t>ShipHull_0</w:t>
      </w:r>
      <w:r>
        <w:rPr>
          <w:rFonts w:ascii="Times New Roman" w:hAnsi="Times New Roman" w:eastAsia="宋体"/>
          <w:sz w:val="24"/>
        </w:rPr>
        <w:t xml:space="preserve"> 主要用于数据优化实验，不纳入梯度一致性对比。</w:t>
      </w:r>
    </w:p>
    <w:p>
      <w:pPr>
        <w:pStyle w:val="2"/>
        <w:spacing w:line="360" w:lineRule="auto" w:before="120" w:after="120"/>
        <w:jc w:val="left"/>
      </w:pPr>
      <w:r>
        <w:rPr>
          <w:rFonts w:ascii="Times New Roman" w:hAnsi="Times New Roman" w:eastAsia="黑体"/>
          <w:b/>
          <w:sz w:val="28"/>
        </w:rPr>
        <w:t>5.2 实验指标</w:t>
      </w:r>
    </w:p>
    <w:p>
      <w:pPr>
        <w:spacing w:line="360" w:lineRule="auto" w:after="0"/>
        <w:ind w:firstLine="420"/>
      </w:pPr>
      <w:r>
        <w:rPr>
          <w:rFonts w:ascii="Times New Roman" w:hAnsi="Times New Roman" w:eastAsia="宋体"/>
          <w:sz w:val="24"/>
        </w:rPr>
        <w:t>解析场验证和 VTK 一致性对比采用平均相对误差作为主要指标，用于评价梯度向量之间的整体相对偏差：</w:t>
      </w:r>
    </w:p>
    <w:p>
      <w:pPr>
        <w:spacing w:line="240" w:lineRule="auto" w:before="80" w:after="80"/>
        <w:ind w:firstLine="0"/>
        <w:jc w:val="center"/>
      </w:pPr>
      <m:oMath>
        <m:sSub>
          <m:e>
            <m:r>
              <m:t>E</m:t>
            </m:r>
          </m:e>
          <m:sub>
            <m:r>
              <m:t>r</m:t>
            </m:r>
            <m:r>
              <m:t>e</m:t>
            </m:r>
            <m:r>
              <m:t>l</m:t>
            </m:r>
          </m:sub>
        </m:sSub>
        <m:r>
          <m:t>=</m:t>
        </m:r>
        <m:f>
          <m:num>
            <m:r>
              <m:t>1</m:t>
            </m:r>
          </m:num>
          <m:den>
            <m:r>
              <m:t>n</m:t>
            </m:r>
          </m:den>
        </m:f>
        <m:sSubSup>
          <m:e>
            <m:r>
              <m:t>∑</m:t>
            </m:r>
          </m:e>
          <m:sub>
            <m:r>
              <m:t>i</m:t>
            </m:r>
            <m:r>
              <m:t>=</m:t>
            </m:r>
            <m:r>
              <m:t>1</m:t>
            </m:r>
          </m:sub>
          <m:sup>
            <m:r>
              <m:t>n</m:t>
            </m:r>
          </m:sup>
        </m:sSubSup>
        <m:f>
          <m:num>
            <m:r>
              <m:t>‖</m:t>
            </m:r>
            <m:sSub>
              <m:e>
                <m:r>
                  <m:t>g</m:t>
                </m:r>
              </m:e>
              <m:sub>
                <m:r>
                  <m:t>i</m:t>
                </m:r>
              </m:sub>
            </m:sSub>
            <m:r>
              <m:t>−</m:t>
            </m:r>
            <m:sSubSup>
              <m:e>
                <m:r>
                  <m:t>g</m:t>
                </m:r>
              </m:e>
              <m:sub>
                <m:r>
                  <m:t>i</m:t>
                </m:r>
              </m:sub>
              <m:sup>
                <m:r>
                  <m:t>*</m:t>
                </m:r>
              </m:sup>
            </m:sSubSup>
            <m:sSub>
              <m:e>
                <m:r>
                  <m:t>‖</m:t>
                </m:r>
              </m:e>
              <m:sub>
                <m:r>
                  <m:t>2</m:t>
                </m:r>
              </m:sub>
            </m:sSub>
          </m:num>
          <m:den>
            <m:r>
              <m:t>‖</m:t>
            </m:r>
            <m:sSubSup>
              <m:e>
                <m:r>
                  <m:t>g</m:t>
                </m:r>
              </m:e>
              <m:sub>
                <m:r>
                  <m:t>i</m:t>
                </m:r>
              </m:sub>
              <m:sup>
                <m:r>
                  <m:t>*</m:t>
                </m:r>
              </m:sup>
            </m:sSubSup>
            <m:sSub>
              <m:e>
                <m:r>
                  <m:t>‖</m:t>
                </m:r>
              </m:e>
              <m:sub>
                <m:r>
                  <m:t>2</m:t>
                </m:r>
              </m:sub>
            </m:sSub>
            <m:r>
              <m:t>+</m:t>
            </m:r>
            <m:r>
              <m:t>ε</m:t>
            </m:r>
          </m:den>
        </m:f>
        <m:r>
          <m:t>.</m:t>
        </m:r>
      </m:oMath>
    </w:p>
    <w:p>
      <w:pPr>
        <w:spacing w:line="360" w:lineRule="auto" w:after="0"/>
        <w:ind w:firstLine="420"/>
      </w:pPr>
      <w:r>
        <w:rPr>
          <w:rFonts w:ascii="Times New Roman" w:hAnsi="Times New Roman" w:eastAsia="宋体"/>
          <w:sz w:val="24"/>
        </w:rPr>
        <w:t>其中，</w:t>
      </w:r>
      <m:oMath>
        <m:sSub>
          <m:e>
            <m:r>
              <m:t>g</m:t>
            </m:r>
          </m:e>
          <m:sub>
            <m:r>
              <m:t>i</m:t>
            </m:r>
          </m:sub>
        </m:sSub>
      </m:oMath>
      <w:r>
        <w:rPr>
          <w:rFonts w:ascii="Times New Roman" w:hAnsi="Times New Roman" w:eastAsia="宋体"/>
          <w:sz w:val="24"/>
        </w:rPr>
        <w:t xml:space="preserve"> 为系统计算结果，</w:t>
      </w:r>
      <m:oMath>
        <m:sSubSup>
          <m:e>
            <m:r>
              <m:t>g</m:t>
            </m:r>
          </m:e>
          <m:sub>
            <m:r>
              <m:t>i</m:t>
            </m:r>
          </m:sub>
          <m:sup>
            <m:r>
              <m:t>*</m:t>
            </m:r>
          </m:sup>
        </m:sSubSup>
      </m:oMath>
      <w:r>
        <w:rPr>
          <w:rFonts w:ascii="Times New Roman" w:hAnsi="Times New Roman" w:eastAsia="宋体"/>
          <w:sz w:val="24"/>
        </w:rPr>
        <w:t xml:space="preserve"> 为解析真值或 VTK 参考结果，</w:t>
      </w:r>
      <m:oMath>
        <m:r>
          <m:t>ε</m:t>
        </m:r>
      </m:oMath>
      <w:r>
        <w:rPr>
          <w:rFonts w:ascii="Times New Roman" w:hAnsi="Times New Roman" w:eastAsia="宋体"/>
          <w:sz w:val="24"/>
        </w:rPr>
        <w:t xml:space="preserve"> 为稳定项。稳定项用于减小参考梯度范数接近零时分母过小对相对误差的影响。平均相对误差适合比较不同字段尺度下的梯度结果，因此作为解析场验证和一致性对比的主要评价指标。</w:t>
      </w:r>
    </w:p>
    <w:p>
      <w:pPr>
        <w:spacing w:line="360" w:lineRule="auto" w:after="0"/>
        <w:ind w:firstLine="420"/>
      </w:pPr>
      <w:r>
        <w:rPr>
          <w:rFonts w:ascii="Times New Roman" w:hAnsi="Times New Roman" w:eastAsia="宋体"/>
          <w:sz w:val="24"/>
        </w:rPr>
        <w:t>部分实验同时给出平均绝对误差和相对软误差均值。平均绝对误差用于反映结果在原始量纲下的偏差，其定义为</w:t>
      </w:r>
    </w:p>
    <w:p>
      <w:pPr>
        <w:spacing w:line="240" w:lineRule="auto" w:before="80" w:after="80"/>
        <w:ind w:firstLine="0"/>
        <w:jc w:val="center"/>
      </w:pPr>
      <m:oMath>
        <m:sSub>
          <m:e>
            <m:r>
              <m:t>E</m:t>
            </m:r>
          </m:e>
          <m:sub>
            <m:r>
              <m:t>a</m:t>
            </m:r>
            <m:r>
              <m:t>b</m:t>
            </m:r>
            <m:r>
              <m:t>s</m:t>
            </m:r>
          </m:sub>
        </m:sSub>
        <m:r>
          <m:t>=</m:t>
        </m:r>
        <m:f>
          <m:num>
            <m:r>
              <m:t>1</m:t>
            </m:r>
          </m:num>
          <m:den>
            <m:r>
              <m:t>n</m:t>
            </m:r>
          </m:den>
        </m:f>
        <m:sSubSup>
          <m:e>
            <m:r>
              <m:t>∑</m:t>
            </m:r>
          </m:e>
          <m:sub>
            <m:r>
              <m:t>i</m:t>
            </m:r>
            <m:r>
              <m:t>=</m:t>
            </m:r>
            <m:r>
              <m:t>1</m:t>
            </m:r>
          </m:sub>
          <m:sup>
            <m:r>
              <m:t>n</m:t>
            </m:r>
          </m:sup>
        </m:sSubSup>
        <m:r>
          <m:t>‖</m:t>
        </m:r>
        <m:sSub>
          <m:e>
            <m:r>
              <m:t>g</m:t>
            </m:r>
          </m:e>
          <m:sub>
            <m:r>
              <m:t>i</m:t>
            </m:r>
          </m:sub>
        </m:sSub>
        <m:r>
          <m:t>−</m:t>
        </m:r>
        <m:sSubSup>
          <m:e>
            <m:r>
              <m:t>g</m:t>
            </m:r>
          </m:e>
          <m:sub>
            <m:r>
              <m:t>i</m:t>
            </m:r>
          </m:sub>
          <m:sup>
            <m:r>
              <m:t>*</m:t>
            </m:r>
          </m:sup>
        </m:sSubSup>
        <m:sSub>
          <m:e>
            <m:r>
              <m:t>‖</m:t>
            </m:r>
          </m:e>
          <m:sub>
            <m:r>
              <m:t>2</m:t>
            </m:r>
          </m:sub>
        </m:sSub>
        <m:r>
          <m:t>.</m:t>
        </m:r>
      </m:oMath>
    </w:p>
    <w:p>
      <w:pPr>
        <w:spacing w:line="360" w:lineRule="auto" w:after="0"/>
        <w:ind w:firstLine="420"/>
      </w:pPr>
      <w:r>
        <w:rPr>
          <w:rFonts w:ascii="Times New Roman" w:hAnsi="Times New Roman" w:eastAsia="宋体"/>
          <w:sz w:val="24"/>
        </w:rPr>
        <w:t>相对软误差均值采用带尺度项的分母计算，用于降低低参考范数样本对相对误差统计的放大影响。上述指标共同用于观察误差的绝对大小、相对大小和稳定化后的分布特征。</w:t>
      </w:r>
    </w:p>
    <w:p>
      <w:pPr>
        <w:spacing w:line="360" w:lineRule="auto" w:after="0"/>
        <w:ind w:firstLine="420"/>
      </w:pPr>
      <w:r>
        <w:rPr>
          <w:rFonts w:ascii="Times New Roman" w:hAnsi="Times New Roman" w:eastAsia="宋体"/>
          <w:sz w:val="24"/>
        </w:rPr>
        <w:t>时间实验记录系统总时间、GPU 计算时间和 VTK 并行时间。系统总时间包含当前测试流程中的数据准备、计算调度、结果读回和字段写回等环节；GPU 时间表示 Compute Shader 执行阶段耗时。相对 VTK 并行时间的加速比定义为</w:t>
      </w:r>
    </w:p>
    <w:p>
      <w:pPr>
        <w:spacing w:line="240" w:lineRule="auto" w:before="80" w:after="80"/>
        <w:ind w:firstLine="0"/>
        <w:jc w:val="center"/>
      </w:pPr>
      <m:oMath>
        <m:sSub>
          <m:e>
            <m:r>
              <m:t>S</m:t>
            </m:r>
          </m:e>
          <m:sub>
            <m:r>
              <m:t>V</m:t>
            </m:r>
            <m:r>
              <m:t>T</m:t>
            </m:r>
            <m:r>
              <m:t>K</m:t>
            </m:r>
          </m:sub>
        </m:sSub>
        <m:r>
          <m:t>=</m:t>
        </m:r>
        <m:f>
          <m:num>
            <m:sSub>
              <m:e>
                <m:r>
                  <m:t>T</m:t>
                </m:r>
              </m:e>
              <m:sub>
                <m:r>
                  <m:t>V</m:t>
                </m:r>
                <m:r>
                  <m:t>T</m:t>
                </m:r>
                <m:r>
                  <m:t>K</m:t>
                </m:r>
              </m:sub>
            </m:sSub>
          </m:num>
          <m:den>
            <m:sSub>
              <m:e>
                <m:r>
                  <m:t>T</m:t>
                </m:r>
              </m:e>
              <m:sub>
                <m:r>
                  <m:t>s</m:t>
                </m:r>
                <m:r>
                  <m:t>y</m:t>
                </m:r>
                <m:r>
                  <m:t>s</m:t>
                </m:r>
              </m:sub>
            </m:sSub>
          </m:den>
        </m:f>
        <m:r>
          <m:t>.</m:t>
        </m:r>
      </m:oMath>
    </w:p>
    <w:p>
      <w:pPr>
        <w:spacing w:line="360" w:lineRule="auto" w:after="0"/>
        <w:ind w:firstLine="420"/>
      </w:pPr>
      <w:r>
        <w:rPr>
          <w:rFonts w:ascii="Times New Roman" w:hAnsi="Times New Roman" w:eastAsia="宋体"/>
          <w:sz w:val="24"/>
        </w:rPr>
        <w:t>其中，</w:t>
      </w:r>
      <m:oMath>
        <m:sSub>
          <m:e>
            <m:r>
              <m:t>T</m:t>
            </m:r>
          </m:e>
          <m:sub>
            <m:r>
              <m:t>V</m:t>
            </m:r>
            <m:r>
              <m:t>T</m:t>
            </m:r>
            <m:r>
              <m:t>K</m:t>
            </m:r>
          </m:sub>
        </m:sSub>
      </m:oMath>
      <w:r>
        <w:rPr>
          <w:rFonts w:ascii="Times New Roman" w:hAnsi="Times New Roman" w:eastAsia="宋体"/>
          <w:sz w:val="24"/>
        </w:rPr>
        <w:t xml:space="preserve"> 为 VTK 并行参考时间，</w:t>
      </w:r>
      <m:oMath>
        <m:sSub>
          <m:e>
            <m:r>
              <m:t>T</m:t>
            </m:r>
          </m:e>
          <m:sub>
            <m:r>
              <m:t>s</m:t>
            </m:r>
            <m:r>
              <m:t>y</m:t>
            </m:r>
            <m:r>
              <m:t>s</m:t>
            </m:r>
          </m:sub>
        </m:sSub>
      </m:oMath>
      <w:r>
        <w:rPr>
          <w:rFonts w:ascii="Times New Roman" w:hAnsi="Times New Roman" w:eastAsia="宋体"/>
          <w:sz w:val="24"/>
        </w:rPr>
        <w:t xml:space="preserve"> 为系统总时间。</w:t>
      </w:r>
    </w:p>
    <w:p>
      <w:pPr>
        <w:spacing w:line="360" w:lineRule="auto" w:after="0"/>
        <w:ind w:firstLine="420"/>
      </w:pPr>
      <w:r>
        <w:rPr>
          <w:rFonts w:ascii="Times New Roman" w:hAnsi="Times New Roman" w:eastAsia="宋体"/>
          <w:sz w:val="24"/>
        </w:rPr>
        <w:t>数据优化实验采用改进比评价优化前后误差变化：</w:t>
      </w:r>
    </w:p>
    <w:p>
      <w:pPr>
        <w:spacing w:line="240" w:lineRule="auto" w:before="80" w:after="80"/>
        <w:ind w:firstLine="0"/>
        <w:jc w:val="center"/>
      </w:pPr>
      <m:oMath>
        <m:sSub>
          <m:e>
            <m:r>
              <m:t>R</m:t>
            </m:r>
          </m:e>
          <m:sub>
            <m:r>
              <m:t>i</m:t>
            </m:r>
            <m:r>
              <m:t>m</m:t>
            </m:r>
            <m:r>
              <m:t>p</m:t>
            </m:r>
          </m:sub>
        </m:sSub>
        <m:r>
          <m:t>=</m:t>
        </m:r>
        <m:f>
          <m:num>
            <m:sSub>
              <m:e>
                <m:r>
                  <m:t>E</m:t>
                </m:r>
              </m:e>
              <m:sub>
                <m:r>
                  <m:t>a</m:t>
                </m:r>
                <m:r>
                  <m:t>f</m:t>
                </m:r>
                <m:r>
                  <m:t>t</m:t>
                </m:r>
                <m:r>
                  <m:t>e</m:t>
                </m:r>
                <m:r>
                  <m:t>r</m:t>
                </m:r>
              </m:sub>
            </m:sSub>
          </m:num>
          <m:den>
            <m:sSub>
              <m:e>
                <m:r>
                  <m:t>E</m:t>
                </m:r>
              </m:e>
              <m:sub>
                <m:r>
                  <m:t>b</m:t>
                </m:r>
                <m:r>
                  <m:t>e</m:t>
                </m:r>
                <m:r>
                  <m:t>f</m:t>
                </m:r>
                <m:r>
                  <m:t>o</m:t>
                </m:r>
                <m:r>
                  <m:t>r</m:t>
                </m:r>
                <m:r>
                  <m:t>e</m:t>
                </m:r>
              </m:sub>
            </m:sSub>
          </m:den>
        </m:f>
        <m:r>
          <m:t>.</m:t>
        </m:r>
      </m:oMath>
    </w:p>
    <w:p>
      <w:pPr>
        <w:spacing w:line="360" w:lineRule="auto" w:after="0"/>
        <w:ind w:firstLine="420"/>
      </w:pPr>
      <w:r>
        <w:rPr>
          <w:rFonts w:ascii="Times New Roman" w:hAnsi="Times New Roman" w:eastAsia="宋体"/>
          <w:sz w:val="24"/>
        </w:rPr>
        <w:t>其中，</w:t>
      </w:r>
      <m:oMath>
        <m:sSub>
          <m:e>
            <m:r>
              <m:t>E</m:t>
            </m:r>
          </m:e>
          <m:sub>
            <m:r>
              <m:t>b</m:t>
            </m:r>
            <m:r>
              <m:t>e</m:t>
            </m:r>
            <m:r>
              <m:t>f</m:t>
            </m:r>
            <m:r>
              <m:t>o</m:t>
            </m:r>
            <m:r>
              <m:t>r</m:t>
            </m:r>
            <m:r>
              <m:t>e</m:t>
            </m:r>
          </m:sub>
        </m:sSub>
      </m:oMath>
      <w:r>
        <w:rPr>
          <w:rFonts w:ascii="Times New Roman" w:hAnsi="Times New Roman" w:eastAsia="宋体"/>
          <w:sz w:val="24"/>
        </w:rPr>
        <w:t xml:space="preserve"> 为扰动输入场相对无扰动参考场的误差，</w:t>
      </w:r>
      <m:oMath>
        <m:sSub>
          <m:e>
            <m:r>
              <m:t>E</m:t>
            </m:r>
          </m:e>
          <m:sub>
            <m:r>
              <m:t>a</m:t>
            </m:r>
            <m:r>
              <m:t>f</m:t>
            </m:r>
            <m:r>
              <m:t>t</m:t>
            </m:r>
            <m:r>
              <m:t>e</m:t>
            </m:r>
            <m:r>
              <m:t>r</m:t>
            </m:r>
          </m:sub>
        </m:sSub>
      </m:oMath>
      <w:r>
        <w:rPr>
          <w:rFonts w:ascii="Times New Roman" w:hAnsi="Times New Roman" w:eastAsia="宋体"/>
          <w:sz w:val="24"/>
        </w:rPr>
        <w:t xml:space="preserve"> 为优化输出场相对无扰动参考场的误差。当 </w:t>
      </w:r>
      <m:oMath>
        <m:sSub>
          <m:e>
            <m:r>
              <m:t>R</m:t>
            </m:r>
          </m:e>
          <m:sub>
            <m:r>
              <m:t>i</m:t>
            </m:r>
            <m:r>
              <m:t>m</m:t>
            </m:r>
            <m:r>
              <m:t>p</m:t>
            </m:r>
          </m:sub>
        </m:sSub>
        <m:r>
          <m:t>&lt;</m:t>
        </m:r>
        <m:r>
          <m:t>1</m:t>
        </m:r>
      </m:oMath>
      <w:r>
        <w:rPr>
          <w:rFonts w:ascii="Times New Roman" w:hAnsi="Times New Roman" w:eastAsia="宋体"/>
          <w:sz w:val="24"/>
        </w:rPr>
        <w:t xml:space="preserve"> 时，表示优化后误差下降。</w:t>
      </w:r>
    </w:p>
    <w:p>
      <w:pPr>
        <w:spacing w:line="360" w:lineRule="auto" w:after="0"/>
        <w:ind w:firstLine="420"/>
      </w:pPr>
      <w:r>
        <w:rPr>
          <w:rFonts w:ascii="Times New Roman" w:hAnsi="Times New Roman" w:eastAsia="宋体"/>
          <w:sz w:val="24"/>
        </w:rPr>
        <w:t>VTK 一致性对比中的 VTK 结果作为工程参考，不作为解析真值。解析场验证用于检验算法与数学真值的接近程度，VTK 一致性对比用于检验系统输出与成熟工具输出的一致程度，两类实验的评价目的不同。</w:t>
      </w:r>
    </w:p>
    <w:p>
      <w:pPr>
        <w:pStyle w:val="2"/>
        <w:spacing w:line="360" w:lineRule="auto" w:before="120" w:after="120"/>
        <w:jc w:val="left"/>
      </w:pPr>
      <w:r>
        <w:rPr>
          <w:rFonts w:ascii="Times New Roman" w:hAnsi="Times New Roman" w:eastAsia="黑体"/>
          <w:b/>
          <w:sz w:val="28"/>
        </w:rPr>
        <w:t>5.3 解析场验证实验</w:t>
      </w:r>
    </w:p>
    <w:p>
      <w:pPr>
        <w:spacing w:line="360" w:lineRule="auto" w:after="0"/>
        <w:ind w:firstLine="420"/>
      </w:pPr>
      <w:r>
        <w:rPr>
          <w:rFonts w:ascii="Times New Roman" w:hAnsi="Times New Roman" w:eastAsia="宋体"/>
          <w:sz w:val="24"/>
        </w:rPr>
        <w:t>解析场验证使用具有已知梯度真值的线性标量场和线性向量场。线性场的理论梯度为常量，适合检查有限差分、形函数导数、坐标映射和多分量字段组织是否正确。本文分别在结构化网格、非结构化体网格和非结构化曲面网格上进行验证，以覆盖结构化网格路径、非结构化体单元路径和曲面单元路径。</w:t>
      </w:r>
    </w:p>
    <w:p>
      <w:pPr>
        <w:pStyle w:val="3"/>
        <w:spacing w:line="360" w:lineRule="auto" w:before="120" w:after="120"/>
        <w:jc w:val="left"/>
      </w:pPr>
      <w:r>
        <w:rPr>
          <w:rFonts w:ascii="Times New Roman" w:hAnsi="Times New Roman" w:eastAsia="黑体"/>
          <w:b/>
          <w:sz w:val="24"/>
        </w:rPr>
        <w:t>5.3.1 点数据解析场</w:t>
      </w:r>
    </w:p>
    <w:p>
      <w:pPr>
        <w:spacing w:line="360" w:lineRule="auto" w:after="0"/>
        <w:ind w:firstLine="420"/>
      </w:pPr>
      <w:r>
        <w:rPr>
          <w:rFonts w:ascii="Times New Roman" w:hAnsi="Times New Roman" w:eastAsia="宋体"/>
          <w:sz w:val="24"/>
        </w:rPr>
        <w:t>点数据解析场结果如表 5-3 所示。表中误差均为系统输出相对解析真值的平均相对误差。</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数据集</w:t>
            </w:r>
          </w:p>
        </w:tc>
        <w:tc>
          <w:tcPr>
            <w:tcW w:type="dxa" w:w="2197"/>
            <w:vAlign w:val="center"/>
          </w:tcPr>
          <w:p>
            <w:pPr>
              <w:spacing w:line="240" w:lineRule="auto"/>
              <w:jc w:val="center"/>
            </w:pPr>
            <w:r>
              <w:rPr>
                <w:rFonts w:ascii="Times New Roman" w:hAnsi="Times New Roman" w:eastAsia="宋体"/>
                <w:b/>
                <w:sz w:val="21"/>
              </w:rPr>
              <w:t>字段类型</w:t>
            </w:r>
          </w:p>
        </w:tc>
        <w:tc>
          <w:tcPr>
            <w:tcW w:type="dxa" w:w="2197"/>
            <w:vAlign w:val="center"/>
          </w:tcPr>
          <w:p>
            <w:pPr>
              <w:spacing w:line="240" w:lineRule="auto"/>
              <w:jc w:val="center"/>
            </w:pPr>
            <w:r>
              <w:rPr>
                <w:rFonts w:ascii="Times New Roman" w:hAnsi="Times New Roman" w:eastAsia="宋体"/>
                <w:b/>
                <w:sz w:val="21"/>
              </w:rPr>
              <w:t>线性标量场 NMAE</w:t>
            </w:r>
          </w:p>
        </w:tc>
        <w:tc>
          <w:tcPr>
            <w:tcW w:type="dxa" w:w="2197"/>
            <w:vAlign w:val="center"/>
          </w:tcPr>
          <w:p>
            <w:pPr>
              <w:spacing w:line="240" w:lineRule="auto"/>
              <w:jc w:val="center"/>
            </w:pPr>
            <w:r>
              <w:rPr>
                <w:rFonts w:ascii="Times New Roman" w:hAnsi="Times New Roman" w:eastAsia="宋体"/>
                <w:b/>
                <w:sz w:val="21"/>
              </w:rPr>
              <w:t>线性向量场 NMAE</w:t>
            </w:r>
          </w:p>
        </w:tc>
      </w:tr>
      <w:tr>
        <w:tc>
          <w:tcPr>
            <w:tcW w:type="dxa" w:w="2197"/>
            <w:vAlign w:val="center"/>
          </w:tcPr>
          <w:p>
            <w:pPr>
              <w:spacing w:line="240" w:lineRule="auto"/>
              <w:jc w:val="center"/>
            </w:pPr>
            <w:r>
              <w:rPr>
                <w:rFonts w:ascii="Times New Roman" w:hAnsi="Times New Roman" w:eastAsia="宋体"/>
                <w:b w:val="0"/>
                <w:sz w:val="21"/>
              </w:rPr>
              <w:t>SampleStructGrid</w:t>
            </w:r>
          </w:p>
        </w:tc>
        <w:tc>
          <w:tcPr>
            <w:tcW w:type="dxa" w:w="2197"/>
            <w:vAlign w:val="center"/>
          </w:tcPr>
          <w:p>
            <w:pPr>
              <w:spacing w:line="240" w:lineRule="auto"/>
              <w:jc w:val="center"/>
            </w:pPr>
            <w:r>
              <w:rPr>
                <w:rFonts w:ascii="Times New Roman" w:hAnsi="Times New Roman" w:eastAsia="宋体"/>
                <w:b w:val="0"/>
                <w:sz w:val="21"/>
              </w:rPr>
              <w:t>结构化网格点数据</w:t>
            </w:r>
          </w:p>
        </w:tc>
        <w:tc>
          <w:tcPr>
            <w:tcW w:type="dxa" w:w="2197"/>
            <w:vAlign w:val="center"/>
          </w:tcPr>
          <w:p>
            <w:pPr>
              <w:spacing w:line="240" w:lineRule="auto"/>
              <w:jc w:val="center"/>
            </w:pPr>
            <w:r>
              <w:rPr>
                <w:rFonts w:ascii="Times New Roman" w:hAnsi="Times New Roman" w:eastAsia="宋体"/>
                <w:b w:val="0"/>
                <w:sz w:val="21"/>
              </w:rPr>
              <w:t>2.12896e-07</w:t>
            </w:r>
          </w:p>
        </w:tc>
        <w:tc>
          <w:tcPr>
            <w:tcW w:type="dxa" w:w="2197"/>
            <w:vAlign w:val="center"/>
          </w:tcPr>
          <w:p>
            <w:pPr>
              <w:spacing w:line="240" w:lineRule="auto"/>
              <w:jc w:val="center"/>
            </w:pPr>
            <w:r>
              <w:rPr>
                <w:rFonts w:ascii="Times New Roman" w:hAnsi="Times New Roman" w:eastAsia="宋体"/>
                <w:b w:val="0"/>
                <w:sz w:val="21"/>
              </w:rPr>
              <w:t>2.56902e-07</w:t>
            </w:r>
          </w:p>
        </w:tc>
      </w:tr>
      <w:tr>
        <w:tc>
          <w:tcPr>
            <w:tcW w:type="dxa" w:w="2197"/>
            <w:vAlign w:val="center"/>
          </w:tcPr>
          <w:p>
            <w:pPr>
              <w:spacing w:line="240" w:lineRule="auto"/>
              <w:jc w:val="center"/>
            </w:pPr>
            <w:r>
              <w:rPr>
                <w:rFonts w:ascii="Times New Roman" w:hAnsi="Times New Roman" w:eastAsia="宋体"/>
                <w:b w:val="0"/>
                <w:sz w:val="21"/>
              </w:rPr>
              <w:t>hexa</w:t>
            </w:r>
          </w:p>
        </w:tc>
        <w:tc>
          <w:tcPr>
            <w:tcW w:type="dxa" w:w="2197"/>
            <w:vAlign w:val="center"/>
          </w:tcPr>
          <w:p>
            <w:pPr>
              <w:spacing w:line="240" w:lineRule="auto"/>
              <w:jc w:val="center"/>
            </w:pPr>
            <w:r>
              <w:rPr>
                <w:rFonts w:ascii="Times New Roman" w:hAnsi="Times New Roman" w:eastAsia="宋体"/>
                <w:b w:val="0"/>
                <w:sz w:val="21"/>
              </w:rPr>
              <w:t>非结构化体点数据</w:t>
            </w:r>
          </w:p>
        </w:tc>
        <w:tc>
          <w:tcPr>
            <w:tcW w:type="dxa" w:w="2197"/>
            <w:vAlign w:val="center"/>
          </w:tcPr>
          <w:p>
            <w:pPr>
              <w:spacing w:line="240" w:lineRule="auto"/>
              <w:jc w:val="center"/>
            </w:pPr>
            <w:r>
              <w:rPr>
                <w:rFonts w:ascii="Times New Roman" w:hAnsi="Times New Roman" w:eastAsia="宋体"/>
                <w:b w:val="0"/>
                <w:sz w:val="21"/>
              </w:rPr>
              <w:t>1.14546e-07</w:t>
            </w:r>
          </w:p>
        </w:tc>
        <w:tc>
          <w:tcPr>
            <w:tcW w:type="dxa" w:w="2197"/>
            <w:vAlign w:val="center"/>
          </w:tcPr>
          <w:p>
            <w:pPr>
              <w:spacing w:line="240" w:lineRule="auto"/>
              <w:jc w:val="center"/>
            </w:pPr>
            <w:r>
              <w:rPr>
                <w:rFonts w:ascii="Times New Roman" w:hAnsi="Times New Roman" w:eastAsia="宋体"/>
                <w:b w:val="0"/>
                <w:sz w:val="21"/>
              </w:rPr>
              <w:t>1.83220e-07</w:t>
            </w:r>
          </w:p>
        </w:tc>
      </w:tr>
      <w:tr>
        <w:tc>
          <w:tcPr>
            <w:tcW w:type="dxa" w:w="2197"/>
            <w:vAlign w:val="center"/>
          </w:tcPr>
          <w:p>
            <w:pPr>
              <w:spacing w:line="240" w:lineRule="auto"/>
              <w:jc w:val="center"/>
            </w:pPr>
            <w:r>
              <w:rPr>
                <w:rFonts w:ascii="Times New Roman" w:hAnsi="Times New Roman" w:eastAsia="宋体"/>
                <w:b w:val="0"/>
                <w:sz w:val="21"/>
              </w:rPr>
              <w:t>1_0</w:t>
            </w:r>
          </w:p>
        </w:tc>
        <w:tc>
          <w:tcPr>
            <w:tcW w:type="dxa" w:w="2197"/>
            <w:vAlign w:val="center"/>
          </w:tcPr>
          <w:p>
            <w:pPr>
              <w:spacing w:line="240" w:lineRule="auto"/>
              <w:jc w:val="center"/>
            </w:pPr>
            <w:r>
              <w:rPr>
                <w:rFonts w:ascii="Times New Roman" w:hAnsi="Times New Roman" w:eastAsia="宋体"/>
                <w:b w:val="0"/>
                <w:sz w:val="21"/>
              </w:rPr>
              <w:t>非结构化曲面点数据</w:t>
            </w:r>
          </w:p>
        </w:tc>
        <w:tc>
          <w:tcPr>
            <w:tcW w:type="dxa" w:w="2197"/>
            <w:vAlign w:val="center"/>
          </w:tcPr>
          <w:p>
            <w:pPr>
              <w:spacing w:line="240" w:lineRule="auto"/>
              <w:jc w:val="center"/>
            </w:pPr>
            <w:r>
              <w:rPr>
                <w:rFonts w:ascii="Times New Roman" w:hAnsi="Times New Roman" w:eastAsia="宋体"/>
                <w:b w:val="0"/>
                <w:sz w:val="21"/>
              </w:rPr>
              <w:t>5.92162e-08</w:t>
            </w:r>
          </w:p>
        </w:tc>
        <w:tc>
          <w:tcPr>
            <w:tcW w:type="dxa" w:w="2197"/>
            <w:vAlign w:val="center"/>
          </w:tcPr>
          <w:p>
            <w:pPr>
              <w:spacing w:line="240" w:lineRule="auto"/>
              <w:jc w:val="center"/>
            </w:pPr>
            <w:r>
              <w:rPr>
                <w:rFonts w:ascii="Times New Roman" w:hAnsi="Times New Roman" w:eastAsia="宋体"/>
                <w:b w:val="0"/>
                <w:sz w:val="21"/>
              </w:rPr>
              <w:t>1.11066e-07</w:t>
            </w:r>
          </w:p>
        </w:tc>
      </w:tr>
    </w:tbl>
    <w:p/>
    <w:p>
      <w:pPr>
        <w:spacing w:line="360" w:lineRule="auto" w:after="0"/>
        <w:ind w:firstLine="420"/>
      </w:pPr>
      <w:r>
        <w:rPr>
          <w:rFonts w:ascii="Times New Roman" w:hAnsi="Times New Roman" w:eastAsia="宋体"/>
          <w:sz w:val="24"/>
        </w:rPr>
        <w:t xml:space="preserve">表 5-3 中，结构化网格和非结构化网格的线性场误差均保持在 </w:t>
      </w:r>
      <m:oMath>
        <m:sSup>
          <m:e>
            <m:r>
              <m:t>10</m:t>
            </m:r>
          </m:e>
          <m:sup>
            <m:r>
              <m:t>−</m:t>
            </m:r>
            <m:r>
              <m:t>7</m:t>
            </m:r>
          </m:sup>
        </m:sSup>
      </m:oMath>
      <w:r>
        <w:rPr>
          <w:rFonts w:ascii="Times New Roman" w:hAnsi="Times New Roman" w:eastAsia="宋体"/>
          <w:sz w:val="24"/>
        </w:rPr>
        <w:t xml:space="preserve"> 量级附近。该结果说明，结构化网格有限差分路径和非结构化网格形函数导数路径在点数据上能够正确恢复线性场梯度。对于 </w:t>
      </w:r>
      <w:r>
        <w:rPr>
          <w:rFonts w:ascii="Consolas" w:hAnsi="Consolas" w:eastAsia="Consolas"/>
          <w:sz w:val="24"/>
        </w:rPr>
        <w:t>1_0</w:t>
      </w:r>
      <w:r>
        <w:rPr>
          <w:rFonts w:ascii="Times New Roman" w:hAnsi="Times New Roman" w:eastAsia="宋体"/>
          <w:sz w:val="24"/>
        </w:rPr>
        <w:t xml:space="preserve"> 曲面数据，表中采用曲面场更适用的内蕴评价结果，以减少曲面法向分量对梯度误差统计的影响。线性向量场结果同时验证了多分量字段的循环计算、输出分量排列和字段写回过程。</w:t>
      </w:r>
    </w:p>
    <w:p>
      <w:pPr>
        <w:pStyle w:val="3"/>
        <w:spacing w:line="360" w:lineRule="auto" w:before="120" w:after="120"/>
        <w:jc w:val="left"/>
      </w:pPr>
      <w:r>
        <w:rPr>
          <w:rFonts w:ascii="Times New Roman" w:hAnsi="Times New Roman" w:eastAsia="黑体"/>
          <w:b/>
          <w:sz w:val="24"/>
        </w:rPr>
        <w:t>5.3.2 单元数据解析场</w:t>
      </w:r>
    </w:p>
    <w:p>
      <w:pPr>
        <w:spacing w:line="360" w:lineRule="auto" w:after="0"/>
        <w:ind w:firstLine="420"/>
      </w:pPr>
      <w:r>
        <w:rPr>
          <w:rFonts w:ascii="Times New Roman" w:hAnsi="Times New Roman" w:eastAsia="宋体"/>
          <w:sz w:val="24"/>
        </w:rPr>
        <w:t>单元数据定义在单元上，其梯度计算需要经过单元场提升或单元中心差分等处理。表 5-4 给出单元数据解析场结果，并列出 VTK 路径的对应误差作为参考。</w:t>
      </w:r>
    </w:p>
    <w:tbl>
      <w:tblPr>
        <w:tblStyle w:val="a6"/>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tcPr>
          <w:p>
            <w:pPr>
              <w:spacing w:line="240" w:lineRule="auto"/>
              <w:jc w:val="center"/>
            </w:pPr>
            <w:r>
              <w:rPr>
                <w:rFonts w:ascii="Times New Roman" w:hAnsi="Times New Roman" w:eastAsia="宋体"/>
                <w:b/>
                <w:sz w:val="17"/>
              </w:rPr>
              <w:t>数据集</w:t>
            </w:r>
          </w:p>
        </w:tc>
        <w:tc>
          <w:tcPr>
            <w:tcW w:type="dxa" w:w="1465"/>
            <w:vAlign w:val="center"/>
          </w:tcPr>
          <w:p>
            <w:pPr>
              <w:spacing w:line="240" w:lineRule="auto"/>
              <w:jc w:val="center"/>
            </w:pPr>
            <w:r>
              <w:rPr>
                <w:rFonts w:ascii="Times New Roman" w:hAnsi="Times New Roman" w:eastAsia="宋体"/>
                <w:b/>
                <w:sz w:val="17"/>
              </w:rPr>
              <w:t>字段类型</w:t>
            </w:r>
          </w:p>
        </w:tc>
        <w:tc>
          <w:tcPr>
            <w:tcW w:type="dxa" w:w="1465"/>
            <w:vAlign w:val="center"/>
          </w:tcPr>
          <w:p>
            <w:pPr>
              <w:spacing w:line="240" w:lineRule="auto"/>
              <w:jc w:val="center"/>
            </w:pPr>
            <w:r>
              <w:rPr>
                <w:rFonts w:ascii="Times New Roman" w:hAnsi="Times New Roman" w:eastAsia="宋体"/>
                <w:b/>
                <w:sz w:val="17"/>
              </w:rPr>
              <w:t>OpenGL 标量场 NMAE</w:t>
            </w:r>
          </w:p>
        </w:tc>
        <w:tc>
          <w:tcPr>
            <w:tcW w:type="dxa" w:w="1465"/>
            <w:vAlign w:val="center"/>
          </w:tcPr>
          <w:p>
            <w:pPr>
              <w:spacing w:line="240" w:lineRule="auto"/>
              <w:jc w:val="center"/>
            </w:pPr>
            <w:r>
              <w:rPr>
                <w:rFonts w:ascii="Times New Roman" w:hAnsi="Times New Roman" w:eastAsia="宋体"/>
                <w:b/>
                <w:sz w:val="17"/>
              </w:rPr>
              <w:t>OpenGL 向量场 NMAE</w:t>
            </w:r>
          </w:p>
        </w:tc>
        <w:tc>
          <w:tcPr>
            <w:tcW w:type="dxa" w:w="1465"/>
            <w:vAlign w:val="center"/>
          </w:tcPr>
          <w:p>
            <w:pPr>
              <w:spacing w:line="240" w:lineRule="auto"/>
              <w:jc w:val="center"/>
            </w:pPr>
            <w:r>
              <w:rPr>
                <w:rFonts w:ascii="Times New Roman" w:hAnsi="Times New Roman" w:eastAsia="宋体"/>
                <w:b/>
                <w:sz w:val="17"/>
              </w:rPr>
              <w:t>VTK 标量场 NMAE</w:t>
            </w:r>
          </w:p>
        </w:tc>
        <w:tc>
          <w:tcPr>
            <w:tcW w:type="dxa" w:w="1465"/>
            <w:vAlign w:val="center"/>
          </w:tcPr>
          <w:p>
            <w:pPr>
              <w:spacing w:line="240" w:lineRule="auto"/>
              <w:jc w:val="center"/>
            </w:pPr>
            <w:r>
              <w:rPr>
                <w:rFonts w:ascii="Times New Roman" w:hAnsi="Times New Roman" w:eastAsia="宋体"/>
                <w:b/>
                <w:sz w:val="17"/>
              </w:rPr>
              <w:t>VTK 向量场 NMAE</w:t>
            </w:r>
          </w:p>
        </w:tc>
      </w:tr>
      <w:tr>
        <w:tc>
          <w:tcPr>
            <w:tcW w:type="dxa" w:w="1465"/>
            <w:vAlign w:val="center"/>
          </w:tcPr>
          <w:p>
            <w:pPr>
              <w:spacing w:line="240" w:lineRule="auto"/>
              <w:jc w:val="center"/>
            </w:pPr>
            <w:r>
              <w:rPr>
                <w:rFonts w:ascii="Times New Roman" w:hAnsi="Times New Roman" w:eastAsia="宋体"/>
                <w:b w:val="0"/>
                <w:sz w:val="17"/>
              </w:rPr>
              <w:t>SampleStructGrid</w:t>
            </w:r>
          </w:p>
        </w:tc>
        <w:tc>
          <w:tcPr>
            <w:tcW w:type="dxa" w:w="1465"/>
            <w:vAlign w:val="center"/>
          </w:tcPr>
          <w:p>
            <w:pPr>
              <w:spacing w:line="240" w:lineRule="auto"/>
              <w:jc w:val="center"/>
            </w:pPr>
            <w:r>
              <w:rPr>
                <w:rFonts w:ascii="Times New Roman" w:hAnsi="Times New Roman" w:eastAsia="宋体"/>
                <w:b w:val="0"/>
                <w:sz w:val="17"/>
              </w:rPr>
              <w:t>结构化网格单元数据</w:t>
            </w:r>
          </w:p>
        </w:tc>
        <w:tc>
          <w:tcPr>
            <w:tcW w:type="dxa" w:w="1465"/>
            <w:vAlign w:val="center"/>
          </w:tcPr>
          <w:p>
            <w:pPr>
              <w:spacing w:line="240" w:lineRule="auto"/>
              <w:jc w:val="center"/>
            </w:pPr>
            <w:r>
              <w:rPr>
                <w:rFonts w:ascii="Times New Roman" w:hAnsi="Times New Roman" w:eastAsia="宋体"/>
                <w:b w:val="0"/>
                <w:sz w:val="17"/>
              </w:rPr>
              <w:t>2.03698e-07</w:t>
            </w:r>
          </w:p>
        </w:tc>
        <w:tc>
          <w:tcPr>
            <w:tcW w:type="dxa" w:w="1465"/>
            <w:vAlign w:val="center"/>
          </w:tcPr>
          <w:p>
            <w:pPr>
              <w:spacing w:line="240" w:lineRule="auto"/>
              <w:jc w:val="center"/>
            </w:pPr>
            <w:r>
              <w:rPr>
                <w:rFonts w:ascii="Times New Roman" w:hAnsi="Times New Roman" w:eastAsia="宋体"/>
                <w:b w:val="0"/>
                <w:sz w:val="17"/>
              </w:rPr>
              <w:t>2.47084e-07</w:t>
            </w:r>
          </w:p>
        </w:tc>
        <w:tc>
          <w:tcPr>
            <w:tcW w:type="dxa" w:w="1465"/>
            <w:vAlign w:val="center"/>
          </w:tcPr>
          <w:p>
            <w:pPr>
              <w:spacing w:line="240" w:lineRule="auto"/>
              <w:jc w:val="center"/>
            </w:pPr>
            <w:r>
              <w:rPr>
                <w:rFonts w:ascii="Times New Roman" w:hAnsi="Times New Roman" w:eastAsia="宋体"/>
                <w:b w:val="0"/>
                <w:sz w:val="17"/>
              </w:rPr>
              <w:t>4.61893e-07</w:t>
            </w:r>
          </w:p>
        </w:tc>
        <w:tc>
          <w:tcPr>
            <w:tcW w:type="dxa" w:w="1465"/>
            <w:vAlign w:val="center"/>
          </w:tcPr>
          <w:p>
            <w:pPr>
              <w:spacing w:line="240" w:lineRule="auto"/>
              <w:jc w:val="center"/>
            </w:pPr>
            <w:r>
              <w:rPr>
                <w:rFonts w:ascii="Times New Roman" w:hAnsi="Times New Roman" w:eastAsia="宋体"/>
                <w:b w:val="0"/>
                <w:sz w:val="17"/>
              </w:rPr>
              <w:t>5.57695e-07</w:t>
            </w:r>
          </w:p>
        </w:tc>
      </w:tr>
      <w:tr>
        <w:tc>
          <w:tcPr>
            <w:tcW w:type="dxa" w:w="1465"/>
            <w:vAlign w:val="center"/>
          </w:tcPr>
          <w:p>
            <w:pPr>
              <w:spacing w:line="240" w:lineRule="auto"/>
              <w:jc w:val="center"/>
            </w:pPr>
            <w:r>
              <w:rPr>
                <w:rFonts w:ascii="Times New Roman" w:hAnsi="Times New Roman" w:eastAsia="宋体"/>
                <w:b w:val="0"/>
                <w:sz w:val="17"/>
              </w:rPr>
              <w:t>hexa</w:t>
            </w:r>
          </w:p>
        </w:tc>
        <w:tc>
          <w:tcPr>
            <w:tcW w:type="dxa" w:w="1465"/>
            <w:vAlign w:val="center"/>
          </w:tcPr>
          <w:p>
            <w:pPr>
              <w:spacing w:line="240" w:lineRule="auto"/>
              <w:jc w:val="center"/>
            </w:pPr>
            <w:r>
              <w:rPr>
                <w:rFonts w:ascii="Times New Roman" w:hAnsi="Times New Roman" w:eastAsia="宋体"/>
                <w:b w:val="0"/>
                <w:sz w:val="17"/>
              </w:rPr>
              <w:t>非结构化体单元数据</w:t>
            </w:r>
          </w:p>
        </w:tc>
        <w:tc>
          <w:tcPr>
            <w:tcW w:type="dxa" w:w="1465"/>
            <w:vAlign w:val="center"/>
          </w:tcPr>
          <w:p>
            <w:pPr>
              <w:spacing w:line="240" w:lineRule="auto"/>
              <w:jc w:val="center"/>
            </w:pPr>
            <w:r>
              <w:rPr>
                <w:rFonts w:ascii="Times New Roman" w:hAnsi="Times New Roman" w:eastAsia="宋体"/>
                <w:b w:val="0"/>
                <w:sz w:val="17"/>
              </w:rPr>
              <w:t>7.01308e-02</w:t>
            </w:r>
          </w:p>
        </w:tc>
        <w:tc>
          <w:tcPr>
            <w:tcW w:type="dxa" w:w="1465"/>
            <w:vAlign w:val="center"/>
          </w:tcPr>
          <w:p>
            <w:pPr>
              <w:spacing w:line="240" w:lineRule="auto"/>
              <w:jc w:val="center"/>
            </w:pPr>
            <w:r>
              <w:rPr>
                <w:rFonts w:ascii="Times New Roman" w:hAnsi="Times New Roman" w:eastAsia="宋体"/>
                <w:b w:val="0"/>
                <w:sz w:val="17"/>
              </w:rPr>
              <w:t>6.78263e-02</w:t>
            </w:r>
          </w:p>
        </w:tc>
        <w:tc>
          <w:tcPr>
            <w:tcW w:type="dxa" w:w="1465"/>
            <w:vAlign w:val="center"/>
          </w:tcPr>
          <w:p>
            <w:pPr>
              <w:spacing w:line="240" w:lineRule="auto"/>
              <w:jc w:val="center"/>
            </w:pPr>
            <w:r>
              <w:rPr>
                <w:rFonts w:ascii="Times New Roman" w:hAnsi="Times New Roman" w:eastAsia="宋体"/>
                <w:b w:val="0"/>
                <w:sz w:val="17"/>
              </w:rPr>
              <w:t>7.01308e-02</w:t>
            </w:r>
          </w:p>
        </w:tc>
        <w:tc>
          <w:tcPr>
            <w:tcW w:type="dxa" w:w="1465"/>
            <w:vAlign w:val="center"/>
          </w:tcPr>
          <w:p>
            <w:pPr>
              <w:spacing w:line="240" w:lineRule="auto"/>
              <w:jc w:val="center"/>
            </w:pPr>
            <w:r>
              <w:rPr>
                <w:rFonts w:ascii="Times New Roman" w:hAnsi="Times New Roman" w:eastAsia="宋体"/>
                <w:b w:val="0"/>
                <w:sz w:val="17"/>
              </w:rPr>
              <w:t>6.78263e-02</w:t>
            </w:r>
          </w:p>
        </w:tc>
      </w:tr>
      <w:tr>
        <w:tc>
          <w:tcPr>
            <w:tcW w:type="dxa" w:w="1465"/>
            <w:vAlign w:val="center"/>
          </w:tcPr>
          <w:p>
            <w:pPr>
              <w:spacing w:line="240" w:lineRule="auto"/>
              <w:jc w:val="center"/>
            </w:pPr>
            <w:r>
              <w:rPr>
                <w:rFonts w:ascii="Times New Roman" w:hAnsi="Times New Roman" w:eastAsia="宋体"/>
                <w:b w:val="0"/>
                <w:sz w:val="17"/>
              </w:rPr>
              <w:t>1_0</w:t>
            </w:r>
          </w:p>
        </w:tc>
        <w:tc>
          <w:tcPr>
            <w:tcW w:type="dxa" w:w="1465"/>
            <w:vAlign w:val="center"/>
          </w:tcPr>
          <w:p>
            <w:pPr>
              <w:spacing w:line="240" w:lineRule="auto"/>
              <w:jc w:val="center"/>
            </w:pPr>
            <w:r>
              <w:rPr>
                <w:rFonts w:ascii="Times New Roman" w:hAnsi="Times New Roman" w:eastAsia="宋体"/>
                <w:b w:val="0"/>
                <w:sz w:val="17"/>
              </w:rPr>
              <w:t>非结构化曲面单元数据</w:t>
            </w:r>
          </w:p>
        </w:tc>
        <w:tc>
          <w:tcPr>
            <w:tcW w:type="dxa" w:w="1465"/>
            <w:vAlign w:val="center"/>
          </w:tcPr>
          <w:p>
            <w:pPr>
              <w:spacing w:line="240" w:lineRule="auto"/>
              <w:jc w:val="center"/>
            </w:pPr>
            <w:r>
              <w:rPr>
                <w:rFonts w:ascii="Times New Roman" w:hAnsi="Times New Roman" w:eastAsia="宋体"/>
                <w:b w:val="0"/>
                <w:sz w:val="17"/>
              </w:rPr>
              <w:t>1.05548e-01</w:t>
            </w:r>
          </w:p>
        </w:tc>
        <w:tc>
          <w:tcPr>
            <w:tcW w:type="dxa" w:w="1465"/>
            <w:vAlign w:val="center"/>
          </w:tcPr>
          <w:p>
            <w:pPr>
              <w:spacing w:line="240" w:lineRule="auto"/>
              <w:jc w:val="center"/>
            </w:pPr>
            <w:r>
              <w:rPr>
                <w:rFonts w:ascii="Times New Roman" w:hAnsi="Times New Roman" w:eastAsia="宋体"/>
                <w:b w:val="0"/>
                <w:sz w:val="17"/>
              </w:rPr>
              <w:t>1.00933e-01</w:t>
            </w:r>
          </w:p>
        </w:tc>
        <w:tc>
          <w:tcPr>
            <w:tcW w:type="dxa" w:w="1465"/>
            <w:vAlign w:val="center"/>
          </w:tcPr>
          <w:p>
            <w:pPr>
              <w:spacing w:line="240" w:lineRule="auto"/>
              <w:jc w:val="center"/>
            </w:pPr>
            <w:r>
              <w:rPr>
                <w:rFonts w:ascii="Times New Roman" w:hAnsi="Times New Roman" w:eastAsia="宋体"/>
                <w:b w:val="0"/>
                <w:sz w:val="17"/>
              </w:rPr>
              <w:t>1.05548e-01</w:t>
            </w:r>
          </w:p>
        </w:tc>
        <w:tc>
          <w:tcPr>
            <w:tcW w:type="dxa" w:w="1465"/>
            <w:vAlign w:val="center"/>
          </w:tcPr>
          <w:p>
            <w:pPr>
              <w:spacing w:line="240" w:lineRule="auto"/>
              <w:jc w:val="center"/>
            </w:pPr>
            <w:r>
              <w:rPr>
                <w:rFonts w:ascii="Times New Roman" w:hAnsi="Times New Roman" w:eastAsia="宋体"/>
                <w:b w:val="0"/>
                <w:sz w:val="17"/>
              </w:rPr>
              <w:t>9.68753e-02</w:t>
            </w:r>
          </w:p>
        </w:tc>
      </w:tr>
    </w:tbl>
    <w:p/>
    <w:p>
      <w:pPr>
        <w:spacing w:line="360" w:lineRule="auto" w:after="0"/>
        <w:ind w:firstLine="420"/>
      </w:pPr>
      <w:r>
        <w:rPr>
          <w:rFonts w:ascii="Times New Roman" w:hAnsi="Times New Roman" w:eastAsia="宋体"/>
          <w:sz w:val="24"/>
        </w:rPr>
        <w:t xml:space="preserve">结构化网格单元数据误差达到 </w:t>
      </w:r>
      <m:oMath>
        <m:sSup>
          <m:e>
            <m:r>
              <m:t>10</m:t>
            </m:r>
          </m:e>
          <m:sup>
            <m:r>
              <m:t>−</m:t>
            </m:r>
            <m:r>
              <m:t>7</m:t>
            </m:r>
          </m:sup>
        </m:sSup>
      </m:oMath>
      <w:r>
        <w:rPr>
          <w:rFonts w:ascii="Times New Roman" w:hAnsi="Times New Roman" w:eastAsia="宋体"/>
          <w:sz w:val="24"/>
        </w:rPr>
        <w:t xml:space="preserve"> 量级，说明结构化网格单元中心差分路径具有较高精度。非结构化体单元数据和曲面单元数据误差高于点数据，主要与单元场提升、单元中心评价以及曲面场评价方式有关。</w:t>
      </w:r>
      <w:r>
        <w:rPr>
          <w:rFonts w:ascii="Consolas" w:hAnsi="Consolas" w:eastAsia="Consolas"/>
          <w:sz w:val="24"/>
        </w:rPr>
        <w:t>hexa</w:t>
      </w:r>
      <w:r>
        <w:rPr>
          <w:rFonts w:ascii="Times New Roman" w:hAnsi="Times New Roman" w:eastAsia="宋体"/>
          <w:sz w:val="24"/>
        </w:rPr>
        <w:t xml:space="preserve"> 中 OpenGL 路径与 VTK 路径误差一致，说明该偏差主要反映单元场恢复方式的影响。相比点数据，单元数据没有可直接代入形函数公式的节点值，梯度恢复前需要构造点级中间场或单元中心差分对象，因此误差表现更依赖字段关联方式。</w:t>
      </w:r>
    </w:p>
    <w:p>
      <w:pPr>
        <w:pStyle w:val="3"/>
        <w:spacing w:line="360" w:lineRule="auto" w:before="120" w:after="120"/>
        <w:jc w:val="left"/>
      </w:pPr>
      <w:r>
        <w:rPr>
          <w:rFonts w:ascii="Times New Roman" w:hAnsi="Times New Roman" w:eastAsia="黑体"/>
          <w:b/>
          <w:sz w:val="24"/>
        </w:rPr>
        <w:t>5.3.3 解析场实验结论</w:t>
      </w:r>
    </w:p>
    <w:p>
      <w:pPr>
        <w:spacing w:line="360" w:lineRule="auto" w:after="0"/>
        <w:ind w:firstLine="420"/>
      </w:pPr>
      <w:r>
        <w:rPr>
          <w:rFonts w:ascii="Times New Roman" w:hAnsi="Times New Roman" w:eastAsia="宋体"/>
          <w:sz w:val="24"/>
        </w:rPr>
        <w:t>解析场实验表明，点数据梯度结果与解析真值保持较高一致性，是验证梯度计算正确性的主要依据。单元数据结果体现了单元场恢复和评价方式对误差的影响，可作为点数据验证之外的补充证据。综合点数据和单元数据结果可以看出，系统能够处理不同字段关联方式下的线性解析场，但单元数据结果需要结合其采样位置和重构过程进行分析。</w:t>
      </w:r>
    </w:p>
    <w:p>
      <w:pPr>
        <w:pStyle w:val="2"/>
        <w:spacing w:line="360" w:lineRule="auto" w:before="120" w:after="120"/>
        <w:jc w:val="left"/>
      </w:pPr>
      <w:r>
        <w:rPr>
          <w:rFonts w:ascii="Times New Roman" w:hAnsi="Times New Roman" w:eastAsia="黑体"/>
          <w:b/>
          <w:sz w:val="28"/>
        </w:rPr>
        <w:t>5.4 与 VTK 结果一致性对比实验</w:t>
      </w:r>
    </w:p>
    <w:p>
      <w:pPr>
        <w:spacing w:line="360" w:lineRule="auto" w:after="0"/>
        <w:ind w:firstLine="420"/>
      </w:pPr>
      <w:r>
        <w:rPr>
          <w:rFonts w:ascii="Times New Roman" w:hAnsi="Times New Roman" w:eastAsia="宋体"/>
          <w:sz w:val="24"/>
        </w:rPr>
        <w:t xml:space="preserve">真实字段通常没有解析梯度真值，因此本文使用 </w:t>
      </w:r>
      <w:r>
        <w:rPr>
          <w:rFonts w:ascii="Consolas" w:hAnsi="Consolas" w:eastAsia="Consolas"/>
          <w:sz w:val="24"/>
        </w:rPr>
        <w:t>vtkGradientFilter</w:t>
      </w:r>
      <w:r>
        <w:rPr>
          <w:rFonts w:ascii="Times New Roman" w:hAnsi="Times New Roman" w:eastAsia="宋体"/>
          <w:sz w:val="24"/>
        </w:rPr>
        <w:t xml:space="preserve"> 作为工程参考。VTK 文档说明，该过滤器用于估计数据集中字段的梯度，输出数组与输入字段关联方式保持一致[19]。本节选取结构化网格、非结构化体网格和非结构化曲面网格进行对比，分析系统结果与 VTK 结果的一致性。点数据对比使用 </w:t>
      </w:r>
      <w:r>
        <w:rPr>
          <w:rFonts w:ascii="Consolas" w:hAnsi="Consolas" w:eastAsia="Consolas"/>
          <w:sz w:val="24"/>
        </w:rPr>
        <w:t>SampleStructGrid</w:t>
      </w:r>
      <w:r>
        <w:rPr>
          <w:rFonts w:ascii="Times New Roman" w:hAnsi="Times New Roman" w:eastAsia="宋体"/>
          <w:sz w:val="24"/>
        </w:rPr>
        <w:t>、</w:t>
      </w:r>
      <w:r>
        <w:rPr>
          <w:rFonts w:ascii="Consolas" w:hAnsi="Consolas" w:eastAsia="Consolas"/>
          <w:sz w:val="24"/>
        </w:rPr>
        <w:t>hexa</w:t>
      </w:r>
      <w:r>
        <w:rPr>
          <w:rFonts w:ascii="Times New Roman" w:hAnsi="Times New Roman" w:eastAsia="宋体"/>
          <w:sz w:val="24"/>
        </w:rPr>
        <w:t xml:space="preserve"> 和 </w:t>
      </w:r>
      <w:r>
        <w:rPr>
          <w:rFonts w:ascii="Consolas" w:hAnsi="Consolas" w:eastAsia="Consolas"/>
          <w:sz w:val="24"/>
        </w:rPr>
        <w:t>1_0</w:t>
      </w:r>
      <w:r>
        <w:rPr>
          <w:rFonts w:ascii="Times New Roman" w:hAnsi="Times New Roman" w:eastAsia="宋体"/>
          <w:sz w:val="24"/>
        </w:rPr>
        <w:t xml:space="preserve">，单元数据对比使用 </w:t>
      </w:r>
      <w:r>
        <w:rPr>
          <w:rFonts w:ascii="Consolas" w:hAnsi="Consolas" w:eastAsia="Consolas"/>
          <w:sz w:val="24"/>
        </w:rPr>
        <w:t>SampleStructGrid</w:t>
      </w:r>
      <w:r>
        <w:rPr>
          <w:rFonts w:ascii="Times New Roman" w:hAnsi="Times New Roman" w:eastAsia="宋体"/>
          <w:sz w:val="24"/>
        </w:rPr>
        <w:t>、</w:t>
      </w:r>
      <w:r>
        <w:rPr>
          <w:rFonts w:ascii="Consolas" w:hAnsi="Consolas" w:eastAsia="Consolas"/>
          <w:sz w:val="24"/>
        </w:rPr>
        <w:t>limb</w:t>
      </w:r>
      <w:r>
        <w:rPr>
          <w:rFonts w:ascii="Times New Roman" w:hAnsi="Times New Roman" w:eastAsia="宋体"/>
          <w:sz w:val="24"/>
        </w:rPr>
        <w:t xml:space="preserve"> 和 </w:t>
      </w:r>
      <w:r>
        <w:rPr>
          <w:rFonts w:ascii="Consolas" w:hAnsi="Consolas" w:eastAsia="Consolas"/>
          <w:sz w:val="24"/>
        </w:rPr>
        <w:t>1_0</w:t>
      </w:r>
      <w:r>
        <w:rPr>
          <w:rFonts w:ascii="Times New Roman" w:hAnsi="Times New Roman" w:eastAsia="宋体"/>
          <w:sz w:val="24"/>
        </w:rPr>
        <w:t>，分别覆盖结构化网格、非结构化体网格和曲面网格场景。</w:t>
      </w:r>
    </w:p>
    <w:p>
      <w:pPr>
        <w:pStyle w:val="3"/>
        <w:spacing w:line="360" w:lineRule="auto" w:before="120" w:after="120"/>
        <w:jc w:val="left"/>
      </w:pPr>
      <w:r>
        <w:rPr>
          <w:rFonts w:ascii="Times New Roman" w:hAnsi="Times New Roman" w:eastAsia="黑体"/>
          <w:b/>
          <w:sz w:val="24"/>
        </w:rPr>
        <w:t>5.4.1 点数据对比</w:t>
      </w:r>
    </w:p>
    <w:p>
      <w:pPr>
        <w:spacing w:line="360" w:lineRule="auto" w:after="0"/>
        <w:ind w:firstLine="420"/>
      </w:pPr>
      <w:r>
        <w:rPr>
          <w:rFonts w:ascii="Times New Roman" w:hAnsi="Times New Roman" w:eastAsia="宋体"/>
          <w:sz w:val="24"/>
        </w:rPr>
        <w:t>点数据一致性对比结果如表 5-5 所示。</w:t>
      </w:r>
    </w:p>
    <w:tbl>
      <w:tblPr>
        <w:tblStyle w:val="a6"/>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tcPr>
          <w:p>
            <w:pPr>
              <w:spacing w:line="240" w:lineRule="auto"/>
              <w:jc w:val="center"/>
            </w:pPr>
            <w:r>
              <w:rPr>
                <w:rFonts w:ascii="Times New Roman" w:hAnsi="Times New Roman" w:eastAsia="宋体"/>
                <w:b/>
                <w:sz w:val="21"/>
              </w:rPr>
              <w:t>数据集</w:t>
            </w:r>
          </w:p>
        </w:tc>
        <w:tc>
          <w:tcPr>
            <w:tcW w:type="dxa" w:w="1758"/>
            <w:vAlign w:val="center"/>
          </w:tcPr>
          <w:p>
            <w:pPr>
              <w:spacing w:line="240" w:lineRule="auto"/>
              <w:jc w:val="center"/>
            </w:pPr>
            <w:r>
              <w:rPr>
                <w:rFonts w:ascii="Times New Roman" w:hAnsi="Times New Roman" w:eastAsia="宋体"/>
                <w:b/>
                <w:sz w:val="21"/>
              </w:rPr>
              <w:t>字段</w:t>
            </w:r>
          </w:p>
        </w:tc>
        <w:tc>
          <w:tcPr>
            <w:tcW w:type="dxa" w:w="1758"/>
            <w:vAlign w:val="center"/>
          </w:tcPr>
          <w:p>
            <w:pPr>
              <w:spacing w:line="240" w:lineRule="auto"/>
              <w:jc w:val="center"/>
            </w:pPr>
            <w:r>
              <w:rPr>
                <w:rFonts w:ascii="Times New Roman" w:hAnsi="Times New Roman" w:eastAsia="宋体"/>
                <w:b/>
                <w:sz w:val="21"/>
              </w:rPr>
              <w:t>平均相对误差 NMAE</w:t>
            </w:r>
          </w:p>
        </w:tc>
        <w:tc>
          <w:tcPr>
            <w:tcW w:type="dxa" w:w="1758"/>
            <w:vAlign w:val="center"/>
          </w:tcPr>
          <w:p>
            <w:pPr>
              <w:spacing w:line="240" w:lineRule="auto"/>
              <w:jc w:val="center"/>
            </w:pPr>
            <w:r>
              <w:rPr>
                <w:rFonts w:ascii="Times New Roman" w:hAnsi="Times New Roman" w:eastAsia="宋体"/>
                <w:b/>
                <w:sz w:val="21"/>
              </w:rPr>
              <w:t>平均绝对误差 MAE</w:t>
            </w:r>
          </w:p>
        </w:tc>
        <w:tc>
          <w:tcPr>
            <w:tcW w:type="dxa" w:w="1758"/>
            <w:vAlign w:val="center"/>
          </w:tcPr>
          <w:p>
            <w:pPr>
              <w:spacing w:line="240" w:lineRule="auto"/>
              <w:jc w:val="center"/>
            </w:pPr>
            <w:r>
              <w:rPr>
                <w:rFonts w:ascii="Times New Roman" w:hAnsi="Times New Roman" w:eastAsia="宋体"/>
                <w:b/>
                <w:sz w:val="21"/>
              </w:rPr>
              <w:t>相对软误差均值</w:t>
            </w:r>
          </w:p>
        </w:tc>
      </w:tr>
      <w:tr>
        <w:tc>
          <w:tcPr>
            <w:tcW w:type="dxa" w:w="1758"/>
            <w:vAlign w:val="center"/>
          </w:tcPr>
          <w:p>
            <w:pPr>
              <w:spacing w:line="240" w:lineRule="auto"/>
              <w:jc w:val="center"/>
            </w:pPr>
            <w:r>
              <w:rPr>
                <w:rFonts w:ascii="Times New Roman" w:hAnsi="Times New Roman" w:eastAsia="宋体"/>
                <w:b w:val="0"/>
                <w:sz w:val="21"/>
              </w:rPr>
              <w:t>SampleStructGrid</w:t>
            </w:r>
          </w:p>
        </w:tc>
        <w:tc>
          <w:tcPr>
            <w:tcW w:type="dxa" w:w="1758"/>
            <w:vAlign w:val="center"/>
          </w:tcPr>
          <w:p>
            <w:pPr>
              <w:spacing w:line="240" w:lineRule="auto"/>
              <w:jc w:val="center"/>
            </w:pPr>
            <w:r>
              <w:rPr>
                <w:rFonts w:ascii="Times New Roman" w:hAnsi="Times New Roman" w:eastAsia="宋体"/>
                <w:b w:val="0"/>
                <w:sz w:val="21"/>
              </w:rPr>
              <w:t>scalars</w:t>
            </w:r>
          </w:p>
        </w:tc>
        <w:tc>
          <w:tcPr>
            <w:tcW w:type="dxa" w:w="1758"/>
            <w:vAlign w:val="center"/>
          </w:tcPr>
          <w:p>
            <w:pPr>
              <w:spacing w:line="240" w:lineRule="auto"/>
              <w:jc w:val="center"/>
            </w:pPr>
            <w:r>
              <w:rPr>
                <w:rFonts w:ascii="Times New Roman" w:hAnsi="Times New Roman" w:eastAsia="宋体"/>
                <w:b w:val="0"/>
                <w:sz w:val="21"/>
              </w:rPr>
              <w:t>7.01208e-08</w:t>
            </w:r>
          </w:p>
        </w:tc>
        <w:tc>
          <w:tcPr>
            <w:tcW w:type="dxa" w:w="1758"/>
            <w:vAlign w:val="center"/>
          </w:tcPr>
          <w:p>
            <w:pPr>
              <w:spacing w:line="240" w:lineRule="auto"/>
              <w:jc w:val="center"/>
            </w:pPr>
            <w:r>
              <w:rPr>
                <w:rFonts w:ascii="Times New Roman" w:hAnsi="Times New Roman" w:eastAsia="宋体"/>
                <w:b w:val="0"/>
                <w:sz w:val="21"/>
              </w:rPr>
              <w:t>7.12407e-08</w:t>
            </w:r>
          </w:p>
        </w:tc>
        <w:tc>
          <w:tcPr>
            <w:tcW w:type="dxa" w:w="1758"/>
            <w:vAlign w:val="center"/>
          </w:tcPr>
          <w:p>
            <w:pPr>
              <w:spacing w:line="240" w:lineRule="auto"/>
              <w:jc w:val="center"/>
            </w:pPr>
            <w:r>
              <w:rPr>
                <w:rFonts w:ascii="Times New Roman" w:hAnsi="Times New Roman" w:eastAsia="宋体"/>
                <w:b w:val="0"/>
                <w:sz w:val="21"/>
              </w:rPr>
              <w:t>7.02685e-08</w:t>
            </w:r>
          </w:p>
        </w:tc>
      </w:tr>
      <w:tr>
        <w:tc>
          <w:tcPr>
            <w:tcW w:type="dxa" w:w="1758"/>
            <w:vAlign w:val="center"/>
          </w:tcPr>
          <w:p>
            <w:pPr>
              <w:spacing w:line="240" w:lineRule="auto"/>
              <w:jc w:val="center"/>
            </w:pPr>
            <w:r>
              <w:rPr>
                <w:rFonts w:ascii="Times New Roman" w:hAnsi="Times New Roman" w:eastAsia="宋体"/>
                <w:b w:val="0"/>
                <w:sz w:val="21"/>
              </w:rPr>
              <w:t>hexa</w:t>
            </w:r>
          </w:p>
        </w:tc>
        <w:tc>
          <w:tcPr>
            <w:tcW w:type="dxa" w:w="1758"/>
            <w:vAlign w:val="center"/>
          </w:tcPr>
          <w:p>
            <w:pPr>
              <w:spacing w:line="240" w:lineRule="auto"/>
              <w:jc w:val="center"/>
            </w:pPr>
            <w:r>
              <w:rPr>
                <w:rFonts w:ascii="Times New Roman" w:hAnsi="Times New Roman" w:eastAsia="宋体"/>
                <w:b w:val="0"/>
                <w:sz w:val="21"/>
              </w:rPr>
              <w:t>scalars</w:t>
            </w:r>
          </w:p>
        </w:tc>
        <w:tc>
          <w:tcPr>
            <w:tcW w:type="dxa" w:w="1758"/>
            <w:vAlign w:val="center"/>
          </w:tcPr>
          <w:p>
            <w:pPr>
              <w:spacing w:line="240" w:lineRule="auto"/>
              <w:jc w:val="center"/>
            </w:pPr>
            <w:r>
              <w:rPr>
                <w:rFonts w:ascii="Times New Roman" w:hAnsi="Times New Roman" w:eastAsia="宋体"/>
                <w:b w:val="0"/>
                <w:sz w:val="21"/>
              </w:rPr>
              <w:t>5.16345e-08</w:t>
            </w:r>
          </w:p>
        </w:tc>
        <w:tc>
          <w:tcPr>
            <w:tcW w:type="dxa" w:w="1758"/>
            <w:vAlign w:val="center"/>
          </w:tcPr>
          <w:p>
            <w:pPr>
              <w:spacing w:line="240" w:lineRule="auto"/>
              <w:jc w:val="center"/>
            </w:pPr>
            <w:r>
              <w:rPr>
                <w:rFonts w:ascii="Times New Roman" w:hAnsi="Times New Roman" w:eastAsia="宋体"/>
                <w:b w:val="0"/>
                <w:sz w:val="21"/>
              </w:rPr>
              <w:t>1.02708e-06</w:t>
            </w:r>
          </w:p>
        </w:tc>
        <w:tc>
          <w:tcPr>
            <w:tcW w:type="dxa" w:w="1758"/>
            <w:vAlign w:val="center"/>
          </w:tcPr>
          <w:p>
            <w:pPr>
              <w:spacing w:line="240" w:lineRule="auto"/>
              <w:jc w:val="center"/>
            </w:pPr>
            <w:r>
              <w:rPr>
                <w:rFonts w:ascii="Times New Roman" w:hAnsi="Times New Roman" w:eastAsia="宋体"/>
                <w:b w:val="0"/>
                <w:sz w:val="21"/>
              </w:rPr>
              <w:t>5.16076e-08</w:t>
            </w:r>
          </w:p>
        </w:tc>
      </w:tr>
      <w:tr>
        <w:tc>
          <w:tcPr>
            <w:tcW w:type="dxa" w:w="1758"/>
            <w:vAlign w:val="center"/>
          </w:tcPr>
          <w:p>
            <w:pPr>
              <w:spacing w:line="240" w:lineRule="auto"/>
              <w:jc w:val="center"/>
            </w:pPr>
            <w:r>
              <w:rPr>
                <w:rFonts w:ascii="Times New Roman" w:hAnsi="Times New Roman" w:eastAsia="宋体"/>
                <w:b w:val="0"/>
                <w:sz w:val="21"/>
              </w:rPr>
              <w:t>1_0</w:t>
            </w:r>
          </w:p>
        </w:tc>
        <w:tc>
          <w:tcPr>
            <w:tcW w:type="dxa" w:w="1758"/>
            <w:vAlign w:val="center"/>
          </w:tcPr>
          <w:p>
            <w:pPr>
              <w:spacing w:line="240" w:lineRule="auto"/>
              <w:jc w:val="center"/>
            </w:pPr>
            <w:r>
              <w:rPr>
                <w:rFonts w:ascii="Times New Roman" w:hAnsi="Times New Roman" w:eastAsia="宋体"/>
                <w:b w:val="0"/>
                <w:sz w:val="21"/>
              </w:rPr>
              <w:t>RF</w:t>
            </w:r>
          </w:p>
        </w:tc>
        <w:tc>
          <w:tcPr>
            <w:tcW w:type="dxa" w:w="1758"/>
            <w:vAlign w:val="center"/>
          </w:tcPr>
          <w:p>
            <w:pPr>
              <w:spacing w:line="240" w:lineRule="auto"/>
              <w:jc w:val="center"/>
            </w:pPr>
            <w:r>
              <w:rPr>
                <w:rFonts w:ascii="Times New Roman" w:hAnsi="Times New Roman" w:eastAsia="宋体"/>
                <w:b w:val="0"/>
                <w:sz w:val="21"/>
              </w:rPr>
              <w:t>2.91327e-08</w:t>
            </w:r>
          </w:p>
        </w:tc>
        <w:tc>
          <w:tcPr>
            <w:tcW w:type="dxa" w:w="1758"/>
            <w:vAlign w:val="center"/>
          </w:tcPr>
          <w:p>
            <w:pPr>
              <w:spacing w:line="240" w:lineRule="auto"/>
              <w:jc w:val="center"/>
            </w:pPr>
            <w:r>
              <w:rPr>
                <w:rFonts w:ascii="Times New Roman" w:hAnsi="Times New Roman" w:eastAsia="宋体"/>
                <w:b w:val="0"/>
                <w:sz w:val="21"/>
              </w:rPr>
              <w:t>4.69850e-10</w:t>
            </w:r>
          </w:p>
        </w:tc>
        <w:tc>
          <w:tcPr>
            <w:tcW w:type="dxa" w:w="1758"/>
            <w:vAlign w:val="center"/>
          </w:tcPr>
          <w:p>
            <w:pPr>
              <w:spacing w:line="240" w:lineRule="auto"/>
              <w:jc w:val="center"/>
            </w:pPr>
            <w:r>
              <w:rPr>
                <w:rFonts w:ascii="Times New Roman" w:hAnsi="Times New Roman" w:eastAsia="宋体"/>
                <w:b w:val="0"/>
                <w:sz w:val="21"/>
              </w:rPr>
              <w:t>3.42126e-10</w:t>
            </w:r>
          </w:p>
        </w:tc>
      </w:tr>
    </w:tbl>
    <w:p/>
    <w:p>
      <w:pPr>
        <w:spacing w:line="360" w:lineRule="auto" w:after="0"/>
        <w:ind w:firstLine="420"/>
      </w:pPr>
      <w:r>
        <w:rPr>
          <w:rFonts w:ascii="Times New Roman" w:hAnsi="Times New Roman" w:eastAsia="宋体"/>
          <w:sz w:val="24"/>
        </w:rPr>
        <w:t xml:space="preserve">点数据结果的平均相对误差均处于 </w:t>
      </w:r>
      <m:oMath>
        <m:sSup>
          <m:e>
            <m:r>
              <m:t>10</m:t>
            </m:r>
          </m:e>
          <m:sup>
            <m:r>
              <m:t>−</m:t>
            </m:r>
            <m:r>
              <m:t>8</m:t>
            </m:r>
          </m:sup>
        </m:sSup>
      </m:oMath>
      <w:r>
        <w:rPr>
          <w:rFonts w:ascii="Times New Roman" w:hAnsi="Times New Roman" w:eastAsia="宋体"/>
          <w:sz w:val="24"/>
        </w:rPr>
        <w:t xml:space="preserve"> 量级，说明系统在结构化网格、非结构化体网格和非结构化曲面网格点字段上均能得到与 VTK 接近的梯度结果。平均绝对误差在不同数据集之间存在差异，主要与字段本身的数值尺度有关；平均相对误差和相对软误差均值则更适合用于判断整体一致性。</w:t>
      </w:r>
    </w:p>
    <w:p>
      <w:pPr>
        <w:pStyle w:val="3"/>
        <w:spacing w:line="360" w:lineRule="auto" w:before="120" w:after="120"/>
        <w:jc w:val="left"/>
      </w:pPr>
      <w:r>
        <w:rPr>
          <w:rFonts w:ascii="Times New Roman" w:hAnsi="Times New Roman" w:eastAsia="黑体"/>
          <w:b/>
          <w:sz w:val="24"/>
        </w:rPr>
        <w:t>5.4.2 单元数据对比</w:t>
      </w:r>
    </w:p>
    <w:p>
      <w:pPr>
        <w:spacing w:line="360" w:lineRule="auto" w:after="0"/>
        <w:ind w:firstLine="420"/>
      </w:pPr>
      <w:r>
        <w:rPr>
          <w:rFonts w:ascii="Times New Roman" w:hAnsi="Times New Roman" w:eastAsia="宋体"/>
          <w:sz w:val="24"/>
        </w:rPr>
        <w:t>单元数据一致性对比结果如表 5-6 所示。</w:t>
      </w:r>
    </w:p>
    <w:tbl>
      <w:tblPr>
        <w:tblStyle w:val="a6"/>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tcPr>
          <w:p>
            <w:pPr>
              <w:spacing w:line="240" w:lineRule="auto"/>
              <w:jc w:val="center"/>
            </w:pPr>
            <w:r>
              <w:rPr>
                <w:rFonts w:ascii="Times New Roman" w:hAnsi="Times New Roman" w:eastAsia="宋体"/>
                <w:b/>
                <w:sz w:val="21"/>
              </w:rPr>
              <w:t>数据集</w:t>
            </w:r>
          </w:p>
        </w:tc>
        <w:tc>
          <w:tcPr>
            <w:tcW w:type="dxa" w:w="1758"/>
            <w:vAlign w:val="center"/>
          </w:tcPr>
          <w:p>
            <w:pPr>
              <w:spacing w:line="240" w:lineRule="auto"/>
              <w:jc w:val="center"/>
            </w:pPr>
            <w:r>
              <w:rPr>
                <w:rFonts w:ascii="Times New Roman" w:hAnsi="Times New Roman" w:eastAsia="宋体"/>
                <w:b/>
                <w:sz w:val="21"/>
              </w:rPr>
              <w:t>字段</w:t>
            </w:r>
          </w:p>
        </w:tc>
        <w:tc>
          <w:tcPr>
            <w:tcW w:type="dxa" w:w="1758"/>
            <w:vAlign w:val="center"/>
          </w:tcPr>
          <w:p>
            <w:pPr>
              <w:spacing w:line="240" w:lineRule="auto"/>
              <w:jc w:val="center"/>
            </w:pPr>
            <w:r>
              <w:rPr>
                <w:rFonts w:ascii="Times New Roman" w:hAnsi="Times New Roman" w:eastAsia="宋体"/>
                <w:b/>
                <w:sz w:val="21"/>
              </w:rPr>
              <w:t>平均相对误差 NMAE</w:t>
            </w:r>
          </w:p>
        </w:tc>
        <w:tc>
          <w:tcPr>
            <w:tcW w:type="dxa" w:w="1758"/>
            <w:vAlign w:val="center"/>
          </w:tcPr>
          <w:p>
            <w:pPr>
              <w:spacing w:line="240" w:lineRule="auto"/>
              <w:jc w:val="center"/>
            </w:pPr>
            <w:r>
              <w:rPr>
                <w:rFonts w:ascii="Times New Roman" w:hAnsi="Times New Roman" w:eastAsia="宋体"/>
                <w:b/>
                <w:sz w:val="21"/>
              </w:rPr>
              <w:t>平均绝对误差 MAE</w:t>
            </w:r>
          </w:p>
        </w:tc>
        <w:tc>
          <w:tcPr>
            <w:tcW w:type="dxa" w:w="1758"/>
            <w:vAlign w:val="center"/>
          </w:tcPr>
          <w:p>
            <w:pPr>
              <w:spacing w:line="240" w:lineRule="auto"/>
              <w:jc w:val="center"/>
            </w:pPr>
            <w:r>
              <w:rPr>
                <w:rFonts w:ascii="Times New Roman" w:hAnsi="Times New Roman" w:eastAsia="宋体"/>
                <w:b/>
                <w:sz w:val="21"/>
              </w:rPr>
              <w:t>相对软误差均值</w:t>
            </w:r>
          </w:p>
        </w:tc>
      </w:tr>
      <w:tr>
        <w:tc>
          <w:tcPr>
            <w:tcW w:type="dxa" w:w="1758"/>
            <w:vAlign w:val="center"/>
          </w:tcPr>
          <w:p>
            <w:pPr>
              <w:spacing w:line="240" w:lineRule="auto"/>
              <w:jc w:val="center"/>
            </w:pPr>
            <w:r>
              <w:rPr>
                <w:rFonts w:ascii="Times New Roman" w:hAnsi="Times New Roman" w:eastAsia="宋体"/>
                <w:b w:val="0"/>
                <w:sz w:val="21"/>
              </w:rPr>
              <w:t>SampleStructGrid</w:t>
            </w:r>
          </w:p>
        </w:tc>
        <w:tc>
          <w:tcPr>
            <w:tcW w:type="dxa" w:w="1758"/>
            <w:vAlign w:val="center"/>
          </w:tcPr>
          <w:p>
            <w:pPr>
              <w:spacing w:line="240" w:lineRule="auto"/>
              <w:jc w:val="center"/>
            </w:pPr>
            <w:r>
              <w:rPr>
                <w:rFonts w:ascii="Times New Roman" w:hAnsi="Times New Roman" w:eastAsia="宋体"/>
                <w:b w:val="0"/>
                <w:sz w:val="21"/>
              </w:rPr>
              <w:t>scalars</w:t>
            </w:r>
          </w:p>
        </w:tc>
        <w:tc>
          <w:tcPr>
            <w:tcW w:type="dxa" w:w="1758"/>
            <w:vAlign w:val="center"/>
          </w:tcPr>
          <w:p>
            <w:pPr>
              <w:spacing w:line="240" w:lineRule="auto"/>
              <w:jc w:val="center"/>
            </w:pPr>
            <w:r>
              <w:rPr>
                <w:rFonts w:ascii="Times New Roman" w:hAnsi="Times New Roman" w:eastAsia="宋体"/>
                <w:b w:val="0"/>
                <w:sz w:val="21"/>
              </w:rPr>
              <w:t>6.62593e-07</w:t>
            </w:r>
          </w:p>
        </w:tc>
        <w:tc>
          <w:tcPr>
            <w:tcW w:type="dxa" w:w="1758"/>
            <w:vAlign w:val="center"/>
          </w:tcPr>
          <w:p>
            <w:pPr>
              <w:spacing w:line="240" w:lineRule="auto"/>
              <w:jc w:val="center"/>
            </w:pPr>
            <w:r>
              <w:rPr>
                <w:rFonts w:ascii="Times New Roman" w:hAnsi="Times New Roman" w:eastAsia="宋体"/>
                <w:b w:val="0"/>
                <w:sz w:val="21"/>
              </w:rPr>
              <w:t>6.63385e-07</w:t>
            </w:r>
          </w:p>
        </w:tc>
        <w:tc>
          <w:tcPr>
            <w:tcW w:type="dxa" w:w="1758"/>
            <w:vAlign w:val="center"/>
          </w:tcPr>
          <w:p>
            <w:pPr>
              <w:spacing w:line="240" w:lineRule="auto"/>
              <w:jc w:val="center"/>
            </w:pPr>
            <w:r>
              <w:rPr>
                <w:rFonts w:ascii="Times New Roman" w:hAnsi="Times New Roman" w:eastAsia="宋体"/>
                <w:b w:val="0"/>
                <w:sz w:val="21"/>
              </w:rPr>
              <w:t>6.62262e-07</w:t>
            </w:r>
          </w:p>
        </w:tc>
      </w:tr>
      <w:tr>
        <w:tc>
          <w:tcPr>
            <w:tcW w:type="dxa" w:w="1758"/>
            <w:vAlign w:val="center"/>
          </w:tcPr>
          <w:p>
            <w:pPr>
              <w:spacing w:line="240" w:lineRule="auto"/>
              <w:jc w:val="center"/>
            </w:pPr>
            <w:r>
              <w:rPr>
                <w:rFonts w:ascii="Times New Roman" w:hAnsi="Times New Roman" w:eastAsia="宋体"/>
                <w:b w:val="0"/>
                <w:sz w:val="21"/>
              </w:rPr>
              <w:t>limb</w:t>
            </w:r>
          </w:p>
        </w:tc>
        <w:tc>
          <w:tcPr>
            <w:tcW w:type="dxa" w:w="1758"/>
            <w:vAlign w:val="center"/>
          </w:tcPr>
          <w:p>
            <w:pPr>
              <w:spacing w:line="240" w:lineRule="auto"/>
              <w:jc w:val="center"/>
            </w:pPr>
            <w:r>
              <w:rPr>
                <w:rFonts w:ascii="Times New Roman" w:hAnsi="Times New Roman" w:eastAsia="宋体"/>
                <w:b w:val="0"/>
                <w:sz w:val="21"/>
              </w:rPr>
              <w:t>chem_0</w:t>
            </w:r>
          </w:p>
        </w:tc>
        <w:tc>
          <w:tcPr>
            <w:tcW w:type="dxa" w:w="1758"/>
            <w:vAlign w:val="center"/>
          </w:tcPr>
          <w:p>
            <w:pPr>
              <w:spacing w:line="240" w:lineRule="auto"/>
              <w:jc w:val="center"/>
            </w:pPr>
            <w:r>
              <w:rPr>
                <w:rFonts w:ascii="Times New Roman" w:hAnsi="Times New Roman" w:eastAsia="宋体"/>
                <w:b w:val="0"/>
                <w:sz w:val="21"/>
              </w:rPr>
              <w:t>4.60322e-07</w:t>
            </w:r>
          </w:p>
        </w:tc>
        <w:tc>
          <w:tcPr>
            <w:tcW w:type="dxa" w:w="1758"/>
            <w:vAlign w:val="center"/>
          </w:tcPr>
          <w:p>
            <w:pPr>
              <w:spacing w:line="240" w:lineRule="auto"/>
              <w:jc w:val="center"/>
            </w:pPr>
            <w:r>
              <w:rPr>
                <w:rFonts w:ascii="Times New Roman" w:hAnsi="Times New Roman" w:eastAsia="宋体"/>
                <w:b w:val="0"/>
                <w:sz w:val="21"/>
              </w:rPr>
              <w:t>1.47255e-09</w:t>
            </w:r>
          </w:p>
        </w:tc>
        <w:tc>
          <w:tcPr>
            <w:tcW w:type="dxa" w:w="1758"/>
            <w:vAlign w:val="center"/>
          </w:tcPr>
          <w:p>
            <w:pPr>
              <w:spacing w:line="240" w:lineRule="auto"/>
              <w:jc w:val="center"/>
            </w:pPr>
            <w:r>
              <w:rPr>
                <w:rFonts w:ascii="Times New Roman" w:hAnsi="Times New Roman" w:eastAsia="宋体"/>
                <w:b w:val="0"/>
                <w:sz w:val="21"/>
              </w:rPr>
              <w:t>2.72555e-06</w:t>
            </w:r>
          </w:p>
        </w:tc>
      </w:tr>
      <w:tr>
        <w:tc>
          <w:tcPr>
            <w:tcW w:type="dxa" w:w="1758"/>
            <w:vAlign w:val="center"/>
          </w:tcPr>
          <w:p>
            <w:pPr>
              <w:spacing w:line="240" w:lineRule="auto"/>
              <w:jc w:val="center"/>
            </w:pPr>
            <w:r>
              <w:rPr>
                <w:rFonts w:ascii="Times New Roman" w:hAnsi="Times New Roman" w:eastAsia="宋体"/>
                <w:b w:val="0"/>
                <w:sz w:val="21"/>
              </w:rPr>
              <w:t>1_0</w:t>
            </w:r>
          </w:p>
        </w:tc>
        <w:tc>
          <w:tcPr>
            <w:tcW w:type="dxa" w:w="1758"/>
            <w:vAlign w:val="center"/>
          </w:tcPr>
          <w:p>
            <w:pPr>
              <w:spacing w:line="240" w:lineRule="auto"/>
              <w:jc w:val="center"/>
            </w:pPr>
            <w:r>
              <w:rPr>
                <w:rFonts w:ascii="Times New Roman" w:hAnsi="Times New Roman" w:eastAsia="宋体"/>
                <w:b w:val="0"/>
                <w:sz w:val="21"/>
              </w:rPr>
              <w:t>S_Mises</w:t>
            </w:r>
          </w:p>
        </w:tc>
        <w:tc>
          <w:tcPr>
            <w:tcW w:type="dxa" w:w="1758"/>
            <w:vAlign w:val="center"/>
          </w:tcPr>
          <w:p>
            <w:pPr>
              <w:spacing w:line="240" w:lineRule="auto"/>
              <w:jc w:val="center"/>
            </w:pPr>
            <w:r>
              <w:rPr>
                <w:rFonts w:ascii="Times New Roman" w:hAnsi="Times New Roman" w:eastAsia="宋体"/>
                <w:b w:val="0"/>
                <w:sz w:val="21"/>
              </w:rPr>
              <w:t>7.08797e-08</w:t>
            </w:r>
          </w:p>
        </w:tc>
        <w:tc>
          <w:tcPr>
            <w:tcW w:type="dxa" w:w="1758"/>
            <w:vAlign w:val="center"/>
          </w:tcPr>
          <w:p>
            <w:pPr>
              <w:spacing w:line="240" w:lineRule="auto"/>
              <w:jc w:val="center"/>
            </w:pPr>
            <w:r>
              <w:rPr>
                <w:rFonts w:ascii="Times New Roman" w:hAnsi="Times New Roman" w:eastAsia="宋体"/>
                <w:b w:val="0"/>
                <w:sz w:val="21"/>
              </w:rPr>
              <w:t>1.78807e-06</w:t>
            </w:r>
          </w:p>
        </w:tc>
        <w:tc>
          <w:tcPr>
            <w:tcW w:type="dxa" w:w="1758"/>
            <w:vAlign w:val="center"/>
          </w:tcPr>
          <w:p>
            <w:pPr>
              <w:spacing w:line="240" w:lineRule="auto"/>
              <w:jc w:val="center"/>
            </w:pPr>
            <w:r>
              <w:rPr>
                <w:rFonts w:ascii="Times New Roman" w:hAnsi="Times New Roman" w:eastAsia="宋体"/>
                <w:b w:val="0"/>
                <w:sz w:val="21"/>
              </w:rPr>
              <w:t>1.37286e-07</w:t>
            </w:r>
          </w:p>
        </w:tc>
      </w:tr>
    </w:tbl>
    <w:p/>
    <w:p>
      <w:pPr>
        <w:spacing w:line="360" w:lineRule="auto" w:after="0"/>
        <w:ind w:firstLine="420"/>
      </w:pPr>
      <w:r>
        <w:rPr>
          <w:rFonts w:ascii="Times New Roman" w:hAnsi="Times New Roman" w:eastAsia="宋体"/>
          <w:sz w:val="24"/>
        </w:rPr>
        <w:t>单元数据对比结果同样保持较低误差。</w:t>
      </w:r>
      <w:r>
        <w:rPr>
          <w:rFonts w:ascii="Consolas" w:hAnsi="Consolas" w:eastAsia="Consolas"/>
          <w:sz w:val="24"/>
        </w:rPr>
        <w:t>SampleStructGrid</w:t>
      </w:r>
      <w:r>
        <w:rPr>
          <w:rFonts w:ascii="Times New Roman" w:hAnsi="Times New Roman" w:eastAsia="宋体"/>
          <w:sz w:val="24"/>
        </w:rPr>
        <w:t xml:space="preserve"> 体现结构化网格单元数据路径的一致性，</w:t>
      </w:r>
      <w:r>
        <w:rPr>
          <w:rFonts w:ascii="Consolas" w:hAnsi="Consolas" w:eastAsia="Consolas"/>
          <w:sz w:val="24"/>
        </w:rPr>
        <w:t>limb</w:t>
      </w:r>
      <w:r>
        <w:rPr>
          <w:rFonts w:ascii="Times New Roman" w:hAnsi="Times New Roman" w:eastAsia="宋体"/>
          <w:sz w:val="24"/>
        </w:rPr>
        <w:t xml:space="preserve"> 用于观察真实非结构化体单元字段，</w:t>
      </w:r>
      <w:r>
        <w:rPr>
          <w:rFonts w:ascii="Consolas" w:hAnsi="Consolas" w:eastAsia="Consolas"/>
          <w:sz w:val="24"/>
        </w:rPr>
        <w:t>1_0</w:t>
      </w:r>
      <w:r>
        <w:rPr>
          <w:rFonts w:ascii="Times New Roman" w:hAnsi="Times New Roman" w:eastAsia="宋体"/>
          <w:sz w:val="24"/>
        </w:rPr>
        <w:t xml:space="preserve"> 用于观察曲面单元字段。三组结果说明，系统在不同字段关联方式和网格类型下均能够保持与 VTK 参考结果的工程一致性。相较点数据，单元数据更依赖字段写回位置和输出分量数是否正确，因此该组实验也验证了结果导出阶段的字段语义保持情况。</w:t>
      </w:r>
    </w:p>
    <w:p>
      <w:pPr>
        <w:pStyle w:val="3"/>
        <w:spacing w:line="360" w:lineRule="auto" w:before="120" w:after="120"/>
        <w:jc w:val="left"/>
      </w:pPr>
      <w:r>
        <w:rPr>
          <w:rFonts w:ascii="Times New Roman" w:hAnsi="Times New Roman" w:eastAsia="黑体"/>
          <w:b/>
          <w:sz w:val="24"/>
        </w:rPr>
        <w:t>5.4.3 一致性分析</w:t>
      </w:r>
    </w:p>
    <w:p>
      <w:pPr>
        <w:spacing w:line="360" w:lineRule="auto" w:after="0"/>
        <w:ind w:firstLine="420"/>
      </w:pPr>
      <w:r>
        <w:rPr>
          <w:rFonts w:ascii="Times New Roman" w:hAnsi="Times New Roman" w:eastAsia="宋体"/>
          <w:sz w:val="24"/>
        </w:rPr>
        <w:t xml:space="preserve">VTK 一致性实验表明，本文系统在真实字段上能够输出与 </w:t>
      </w:r>
      <w:r>
        <w:rPr>
          <w:rFonts w:ascii="Consolas" w:hAnsi="Consolas" w:eastAsia="Consolas"/>
          <w:sz w:val="24"/>
        </w:rPr>
        <w:t>vtkGradientFilter</w:t>
      </w:r>
      <w:r>
        <w:rPr>
          <w:rFonts w:ascii="Times New Roman" w:hAnsi="Times New Roman" w:eastAsia="宋体"/>
          <w:sz w:val="24"/>
        </w:rPr>
        <w:t xml:space="preserve"> 接近的梯度结果。点数据对比误差较小，说明节点字段梯度路径稳定；单元数据对比结果也处于较低误差范围，说明字段关联方式、结果分量数和导出语义能够与 VTK 参考结果保持一致。该实验补充了没有解析真值场景下的工程验证。</w:t>
      </w:r>
    </w:p>
    <w:p>
      <w:pPr>
        <w:pStyle w:val="2"/>
        <w:spacing w:line="360" w:lineRule="auto" w:before="120" w:after="120"/>
        <w:jc w:val="left"/>
      </w:pPr>
      <w:r>
        <w:rPr>
          <w:rFonts w:ascii="Times New Roman" w:hAnsi="Times New Roman" w:eastAsia="黑体"/>
          <w:b/>
          <w:sz w:val="28"/>
        </w:rPr>
        <w:t>5.5 与 VTK 的时间性能对比实验</w:t>
      </w:r>
    </w:p>
    <w:p>
      <w:pPr>
        <w:spacing w:line="360" w:lineRule="auto" w:after="0"/>
        <w:ind w:firstLine="420"/>
      </w:pPr>
      <w:r>
        <w:rPr>
          <w:rFonts w:ascii="Times New Roman" w:hAnsi="Times New Roman" w:eastAsia="宋体"/>
          <w:sz w:val="24"/>
        </w:rPr>
        <w:t>时间实验使用统一生成的结构化网格族和非结构化六面体网格族。实验分别记录点数据和单元数据结果，避免不同字段关联方式混用同一时间指标。表中采样数表示当前实验实际参与梯度计算的点数或单元数；系统总时间为端到端调用时间，GPU 时间为 Compute Shader 执行阶段耗时，VTK 并行时间为 VTK 参考流程的并行执行时间。</w:t>
      </w:r>
    </w:p>
    <w:p>
      <w:pPr>
        <w:pStyle w:val="3"/>
        <w:spacing w:line="360" w:lineRule="auto" w:before="120" w:after="120"/>
        <w:jc w:val="left"/>
      </w:pPr>
      <w:r>
        <w:rPr>
          <w:rFonts w:ascii="Times New Roman" w:hAnsi="Times New Roman" w:eastAsia="黑体"/>
          <w:b/>
          <w:sz w:val="24"/>
        </w:rPr>
        <w:t>5.5.1 结构化网格点数据时间对比</w:t>
      </w:r>
    </w:p>
    <w:tbl>
      <w:tblPr>
        <w:tblStyle w:val="a6"/>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tcPr>
          <w:p>
            <w:pPr>
              <w:spacing w:line="240" w:lineRule="auto"/>
              <w:jc w:val="center"/>
            </w:pPr>
            <w:r>
              <w:rPr>
                <w:rFonts w:ascii="Times New Roman" w:hAnsi="Times New Roman" w:eastAsia="宋体"/>
                <w:b/>
                <w:sz w:val="17"/>
              </w:rPr>
              <w:t>数据集</w:t>
            </w:r>
          </w:p>
        </w:tc>
        <w:tc>
          <w:tcPr>
            <w:tcW w:type="dxa" w:w="1465"/>
            <w:vAlign w:val="center"/>
          </w:tcPr>
          <w:p>
            <w:pPr>
              <w:spacing w:line="240" w:lineRule="auto"/>
              <w:jc w:val="center"/>
            </w:pPr>
            <w:r>
              <w:rPr>
                <w:rFonts w:ascii="Times New Roman" w:hAnsi="Times New Roman" w:eastAsia="宋体"/>
                <w:b/>
                <w:sz w:val="17"/>
              </w:rPr>
              <w:t>采样数</w:t>
            </w:r>
          </w:p>
        </w:tc>
        <w:tc>
          <w:tcPr>
            <w:tcW w:type="dxa" w:w="1465"/>
            <w:vAlign w:val="center"/>
          </w:tcPr>
          <w:p>
            <w:pPr>
              <w:spacing w:line="240" w:lineRule="auto"/>
              <w:jc w:val="center"/>
            </w:pPr>
            <w:r>
              <w:rPr>
                <w:rFonts w:ascii="Times New Roman" w:hAnsi="Times New Roman" w:eastAsia="宋体"/>
                <w:b/>
                <w:sz w:val="17"/>
              </w:rPr>
              <w:t>系统总时间/ms</w:t>
            </w:r>
          </w:p>
        </w:tc>
        <w:tc>
          <w:tcPr>
            <w:tcW w:type="dxa" w:w="1465"/>
            <w:vAlign w:val="center"/>
          </w:tcPr>
          <w:p>
            <w:pPr>
              <w:spacing w:line="240" w:lineRule="auto"/>
              <w:jc w:val="center"/>
            </w:pPr>
            <w:r>
              <w:rPr>
                <w:rFonts w:ascii="Times New Roman" w:hAnsi="Times New Roman" w:eastAsia="宋体"/>
                <w:b/>
                <w:sz w:val="17"/>
              </w:rPr>
              <w:t>GPU 时间/ms</w:t>
            </w:r>
          </w:p>
        </w:tc>
        <w:tc>
          <w:tcPr>
            <w:tcW w:type="dxa" w:w="1465"/>
            <w:vAlign w:val="center"/>
          </w:tcPr>
          <w:p>
            <w:pPr>
              <w:spacing w:line="240" w:lineRule="auto"/>
              <w:jc w:val="center"/>
            </w:pPr>
            <w:r>
              <w:rPr>
                <w:rFonts w:ascii="Times New Roman" w:hAnsi="Times New Roman" w:eastAsia="宋体"/>
                <w:b/>
                <w:sz w:val="17"/>
              </w:rPr>
              <w:t>VTK 并行时间/ms</w:t>
            </w:r>
          </w:p>
        </w:tc>
        <w:tc>
          <w:tcPr>
            <w:tcW w:type="dxa" w:w="1465"/>
            <w:vAlign w:val="center"/>
          </w:tcPr>
          <w:p>
            <w:pPr>
              <w:spacing w:line="240" w:lineRule="auto"/>
              <w:jc w:val="center"/>
            </w:pPr>
            <w:r>
              <w:rPr>
                <w:rFonts w:ascii="Times New Roman" w:hAnsi="Times New Roman" w:eastAsia="宋体"/>
                <w:b/>
                <w:sz w:val="17"/>
              </w:rPr>
              <w:t>加速比</w:t>
            </w:r>
          </w:p>
        </w:tc>
      </w:tr>
      <w:tr>
        <w:tc>
          <w:tcPr>
            <w:tcW w:type="dxa" w:w="1465"/>
            <w:vAlign w:val="center"/>
          </w:tcPr>
          <w:p>
            <w:pPr>
              <w:spacing w:line="240" w:lineRule="auto"/>
              <w:jc w:val="center"/>
            </w:pPr>
            <w:r>
              <w:rPr>
                <w:rFonts w:ascii="Times New Roman" w:hAnsi="Times New Roman" w:eastAsia="宋体"/>
                <w:b w:val="0"/>
                <w:sz w:val="17"/>
              </w:rPr>
              <w:t>timing_struct_20x20x20</w:t>
            </w:r>
          </w:p>
        </w:tc>
        <w:tc>
          <w:tcPr>
            <w:tcW w:type="dxa" w:w="1465"/>
            <w:vAlign w:val="center"/>
          </w:tcPr>
          <w:p>
            <w:pPr>
              <w:spacing w:line="240" w:lineRule="auto"/>
              <w:jc w:val="center"/>
            </w:pPr>
            <w:r>
              <w:rPr>
                <w:rFonts w:ascii="Times New Roman" w:hAnsi="Times New Roman" w:eastAsia="宋体"/>
                <w:b w:val="0"/>
                <w:sz w:val="17"/>
              </w:rPr>
              <w:t>8000</w:t>
            </w:r>
          </w:p>
        </w:tc>
        <w:tc>
          <w:tcPr>
            <w:tcW w:type="dxa" w:w="1465"/>
            <w:vAlign w:val="center"/>
          </w:tcPr>
          <w:p>
            <w:pPr>
              <w:spacing w:line="240" w:lineRule="auto"/>
              <w:jc w:val="center"/>
            </w:pPr>
            <w:r>
              <w:rPr>
                <w:rFonts w:ascii="Times New Roman" w:hAnsi="Times New Roman" w:eastAsia="宋体"/>
                <w:b w:val="0"/>
                <w:sz w:val="17"/>
              </w:rPr>
              <w:t>0.9036</w:t>
            </w:r>
          </w:p>
        </w:tc>
        <w:tc>
          <w:tcPr>
            <w:tcW w:type="dxa" w:w="1465"/>
            <w:vAlign w:val="center"/>
          </w:tcPr>
          <w:p>
            <w:pPr>
              <w:spacing w:line="240" w:lineRule="auto"/>
              <w:jc w:val="center"/>
            </w:pPr>
            <w:r>
              <w:rPr>
                <w:rFonts w:ascii="Times New Roman" w:hAnsi="Times New Roman" w:eastAsia="宋体"/>
                <w:b w:val="0"/>
                <w:sz w:val="17"/>
              </w:rPr>
              <w:t>0.025272</w:t>
            </w:r>
          </w:p>
        </w:tc>
        <w:tc>
          <w:tcPr>
            <w:tcW w:type="dxa" w:w="1465"/>
            <w:vAlign w:val="center"/>
          </w:tcPr>
          <w:p>
            <w:pPr>
              <w:spacing w:line="240" w:lineRule="auto"/>
              <w:jc w:val="center"/>
            </w:pPr>
            <w:r>
              <w:rPr>
                <w:rFonts w:ascii="Times New Roman" w:hAnsi="Times New Roman" w:eastAsia="宋体"/>
                <w:b w:val="0"/>
                <w:sz w:val="17"/>
              </w:rPr>
              <w:t>2.7573</w:t>
            </w:r>
          </w:p>
        </w:tc>
        <w:tc>
          <w:tcPr>
            <w:tcW w:type="dxa" w:w="1465"/>
            <w:vAlign w:val="center"/>
          </w:tcPr>
          <w:p>
            <w:pPr>
              <w:spacing w:line="240" w:lineRule="auto"/>
              <w:jc w:val="center"/>
            </w:pPr>
            <w:r>
              <w:rPr>
                <w:rFonts w:ascii="Times New Roman" w:hAnsi="Times New Roman" w:eastAsia="宋体"/>
                <w:b w:val="0"/>
                <w:sz w:val="17"/>
              </w:rPr>
              <w:t>3.051</w:t>
            </w:r>
          </w:p>
        </w:tc>
      </w:tr>
      <w:tr>
        <w:tc>
          <w:tcPr>
            <w:tcW w:type="dxa" w:w="1465"/>
            <w:vAlign w:val="center"/>
          </w:tcPr>
          <w:p>
            <w:pPr>
              <w:spacing w:line="240" w:lineRule="auto"/>
              <w:jc w:val="center"/>
            </w:pPr>
            <w:r>
              <w:rPr>
                <w:rFonts w:ascii="Times New Roman" w:hAnsi="Times New Roman" w:eastAsia="宋体"/>
                <w:b w:val="0"/>
                <w:sz w:val="17"/>
              </w:rPr>
              <w:t>timing_struct_32x32x32</w:t>
            </w:r>
          </w:p>
        </w:tc>
        <w:tc>
          <w:tcPr>
            <w:tcW w:type="dxa" w:w="1465"/>
            <w:vAlign w:val="center"/>
          </w:tcPr>
          <w:p>
            <w:pPr>
              <w:spacing w:line="240" w:lineRule="auto"/>
              <w:jc w:val="center"/>
            </w:pPr>
            <w:r>
              <w:rPr>
                <w:rFonts w:ascii="Times New Roman" w:hAnsi="Times New Roman" w:eastAsia="宋体"/>
                <w:b w:val="0"/>
                <w:sz w:val="17"/>
              </w:rPr>
              <w:t>32768</w:t>
            </w:r>
          </w:p>
        </w:tc>
        <w:tc>
          <w:tcPr>
            <w:tcW w:type="dxa" w:w="1465"/>
            <w:vAlign w:val="center"/>
          </w:tcPr>
          <w:p>
            <w:pPr>
              <w:spacing w:line="240" w:lineRule="auto"/>
              <w:jc w:val="center"/>
            </w:pPr>
            <w:r>
              <w:rPr>
                <w:rFonts w:ascii="Times New Roman" w:hAnsi="Times New Roman" w:eastAsia="宋体"/>
                <w:b w:val="0"/>
                <w:sz w:val="17"/>
              </w:rPr>
              <w:t>1.4336</w:t>
            </w:r>
          </w:p>
        </w:tc>
        <w:tc>
          <w:tcPr>
            <w:tcW w:type="dxa" w:w="1465"/>
            <w:vAlign w:val="center"/>
          </w:tcPr>
          <w:p>
            <w:pPr>
              <w:spacing w:line="240" w:lineRule="auto"/>
              <w:jc w:val="center"/>
            </w:pPr>
            <w:r>
              <w:rPr>
                <w:rFonts w:ascii="Times New Roman" w:hAnsi="Times New Roman" w:eastAsia="宋体"/>
                <w:b w:val="0"/>
                <w:sz w:val="17"/>
              </w:rPr>
              <w:t>0.043732</w:t>
            </w:r>
          </w:p>
        </w:tc>
        <w:tc>
          <w:tcPr>
            <w:tcW w:type="dxa" w:w="1465"/>
            <w:vAlign w:val="center"/>
          </w:tcPr>
          <w:p>
            <w:pPr>
              <w:spacing w:line="240" w:lineRule="auto"/>
              <w:jc w:val="center"/>
            </w:pPr>
            <w:r>
              <w:rPr>
                <w:rFonts w:ascii="Times New Roman" w:hAnsi="Times New Roman" w:eastAsia="宋体"/>
                <w:b w:val="0"/>
                <w:sz w:val="17"/>
              </w:rPr>
              <w:t>3.5564</w:t>
            </w:r>
          </w:p>
        </w:tc>
        <w:tc>
          <w:tcPr>
            <w:tcW w:type="dxa" w:w="1465"/>
            <w:vAlign w:val="center"/>
          </w:tcPr>
          <w:p>
            <w:pPr>
              <w:spacing w:line="240" w:lineRule="auto"/>
              <w:jc w:val="center"/>
            </w:pPr>
            <w:r>
              <w:rPr>
                <w:rFonts w:ascii="Times New Roman" w:hAnsi="Times New Roman" w:eastAsia="宋体"/>
                <w:b w:val="0"/>
                <w:sz w:val="17"/>
              </w:rPr>
              <w:t>2.481</w:t>
            </w:r>
          </w:p>
        </w:tc>
      </w:tr>
      <w:tr>
        <w:tc>
          <w:tcPr>
            <w:tcW w:type="dxa" w:w="1465"/>
            <w:vAlign w:val="center"/>
          </w:tcPr>
          <w:p>
            <w:pPr>
              <w:spacing w:line="240" w:lineRule="auto"/>
              <w:jc w:val="center"/>
            </w:pPr>
            <w:r>
              <w:rPr>
                <w:rFonts w:ascii="Times New Roman" w:hAnsi="Times New Roman" w:eastAsia="宋体"/>
                <w:b w:val="0"/>
                <w:sz w:val="17"/>
              </w:rPr>
              <w:t>timing_struct_48x48x48</w:t>
            </w:r>
          </w:p>
        </w:tc>
        <w:tc>
          <w:tcPr>
            <w:tcW w:type="dxa" w:w="1465"/>
            <w:vAlign w:val="center"/>
          </w:tcPr>
          <w:p>
            <w:pPr>
              <w:spacing w:line="240" w:lineRule="auto"/>
              <w:jc w:val="center"/>
            </w:pPr>
            <w:r>
              <w:rPr>
                <w:rFonts w:ascii="Times New Roman" w:hAnsi="Times New Roman" w:eastAsia="宋体"/>
                <w:b w:val="0"/>
                <w:sz w:val="17"/>
              </w:rPr>
              <w:t>110592</w:t>
            </w:r>
          </w:p>
        </w:tc>
        <w:tc>
          <w:tcPr>
            <w:tcW w:type="dxa" w:w="1465"/>
            <w:vAlign w:val="center"/>
          </w:tcPr>
          <w:p>
            <w:pPr>
              <w:spacing w:line="240" w:lineRule="auto"/>
              <w:jc w:val="center"/>
            </w:pPr>
            <w:r>
              <w:rPr>
                <w:rFonts w:ascii="Times New Roman" w:hAnsi="Times New Roman" w:eastAsia="宋体"/>
                <w:b w:val="0"/>
                <w:sz w:val="17"/>
              </w:rPr>
              <w:t>4.0996</w:t>
            </w:r>
          </w:p>
        </w:tc>
        <w:tc>
          <w:tcPr>
            <w:tcW w:type="dxa" w:w="1465"/>
            <w:vAlign w:val="center"/>
          </w:tcPr>
          <w:p>
            <w:pPr>
              <w:spacing w:line="240" w:lineRule="auto"/>
              <w:jc w:val="center"/>
            </w:pPr>
            <w:r>
              <w:rPr>
                <w:rFonts w:ascii="Times New Roman" w:hAnsi="Times New Roman" w:eastAsia="宋体"/>
                <w:b w:val="0"/>
                <w:sz w:val="17"/>
              </w:rPr>
              <w:t>0.107692</w:t>
            </w:r>
          </w:p>
        </w:tc>
        <w:tc>
          <w:tcPr>
            <w:tcW w:type="dxa" w:w="1465"/>
            <w:vAlign w:val="center"/>
          </w:tcPr>
          <w:p>
            <w:pPr>
              <w:spacing w:line="240" w:lineRule="auto"/>
              <w:jc w:val="center"/>
            </w:pPr>
            <w:r>
              <w:rPr>
                <w:rFonts w:ascii="Times New Roman" w:hAnsi="Times New Roman" w:eastAsia="宋体"/>
                <w:b w:val="0"/>
                <w:sz w:val="17"/>
              </w:rPr>
              <w:t>8.2716</w:t>
            </w:r>
          </w:p>
        </w:tc>
        <w:tc>
          <w:tcPr>
            <w:tcW w:type="dxa" w:w="1465"/>
            <w:vAlign w:val="center"/>
          </w:tcPr>
          <w:p>
            <w:pPr>
              <w:spacing w:line="240" w:lineRule="auto"/>
              <w:jc w:val="center"/>
            </w:pPr>
            <w:r>
              <w:rPr>
                <w:rFonts w:ascii="Times New Roman" w:hAnsi="Times New Roman" w:eastAsia="宋体"/>
                <w:b w:val="0"/>
                <w:sz w:val="17"/>
              </w:rPr>
              <w:t>2.018</w:t>
            </w:r>
          </w:p>
        </w:tc>
      </w:tr>
    </w:tbl>
    <w:p/>
    <w:p>
      <w:pPr>
        <w:spacing w:line="360" w:lineRule="auto" w:after="0"/>
        <w:ind w:firstLine="420"/>
      </w:pPr>
      <w:r>
        <w:rPr>
          <w:rFonts w:ascii="Times New Roman" w:hAnsi="Times New Roman" w:eastAsia="宋体"/>
          <w:sz w:val="24"/>
        </w:rPr>
        <w:t>结构化网格点数据的 GPU 时间随规模增长而增加，但整体仍保持较低水平。由于结构化网格的邻域可由逻辑维度直接恢复，计算着色器不需要访问显式邻接表，因此核心计算阶段开销较小。系统总时间高于 GPU 时间，说明缓冲区准备、结果读回和字段写回构成了端到端流程中的主要额外开销。</w:t>
      </w:r>
    </w:p>
    <w:p>
      <w:pPr>
        <w:pStyle w:val="3"/>
        <w:spacing w:line="360" w:lineRule="auto" w:before="120" w:after="120"/>
        <w:jc w:val="left"/>
      </w:pPr>
      <w:r>
        <w:rPr>
          <w:rFonts w:ascii="Times New Roman" w:hAnsi="Times New Roman" w:eastAsia="黑体"/>
          <w:b/>
          <w:sz w:val="24"/>
        </w:rPr>
        <w:t>5.5.2 结构化网格单元数据时间对比</w:t>
      </w:r>
    </w:p>
    <w:tbl>
      <w:tblPr>
        <w:tblStyle w:val="a6"/>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tcPr>
          <w:p>
            <w:pPr>
              <w:spacing w:line="240" w:lineRule="auto"/>
              <w:jc w:val="center"/>
            </w:pPr>
            <w:r>
              <w:rPr>
                <w:rFonts w:ascii="Times New Roman" w:hAnsi="Times New Roman" w:eastAsia="宋体"/>
                <w:b/>
                <w:sz w:val="17"/>
              </w:rPr>
              <w:t>数据集</w:t>
            </w:r>
          </w:p>
        </w:tc>
        <w:tc>
          <w:tcPr>
            <w:tcW w:type="dxa" w:w="1465"/>
            <w:vAlign w:val="center"/>
          </w:tcPr>
          <w:p>
            <w:pPr>
              <w:spacing w:line="240" w:lineRule="auto"/>
              <w:jc w:val="center"/>
            </w:pPr>
            <w:r>
              <w:rPr>
                <w:rFonts w:ascii="Times New Roman" w:hAnsi="Times New Roman" w:eastAsia="宋体"/>
                <w:b/>
                <w:sz w:val="17"/>
              </w:rPr>
              <w:t>采样数</w:t>
            </w:r>
          </w:p>
        </w:tc>
        <w:tc>
          <w:tcPr>
            <w:tcW w:type="dxa" w:w="1465"/>
            <w:vAlign w:val="center"/>
          </w:tcPr>
          <w:p>
            <w:pPr>
              <w:spacing w:line="240" w:lineRule="auto"/>
              <w:jc w:val="center"/>
            </w:pPr>
            <w:r>
              <w:rPr>
                <w:rFonts w:ascii="Times New Roman" w:hAnsi="Times New Roman" w:eastAsia="宋体"/>
                <w:b/>
                <w:sz w:val="17"/>
              </w:rPr>
              <w:t>系统总时间/ms</w:t>
            </w:r>
          </w:p>
        </w:tc>
        <w:tc>
          <w:tcPr>
            <w:tcW w:type="dxa" w:w="1465"/>
            <w:vAlign w:val="center"/>
          </w:tcPr>
          <w:p>
            <w:pPr>
              <w:spacing w:line="240" w:lineRule="auto"/>
              <w:jc w:val="center"/>
            </w:pPr>
            <w:r>
              <w:rPr>
                <w:rFonts w:ascii="Times New Roman" w:hAnsi="Times New Roman" w:eastAsia="宋体"/>
                <w:b/>
                <w:sz w:val="17"/>
              </w:rPr>
              <w:t>GPU 时间/ms</w:t>
            </w:r>
          </w:p>
        </w:tc>
        <w:tc>
          <w:tcPr>
            <w:tcW w:type="dxa" w:w="1465"/>
            <w:vAlign w:val="center"/>
          </w:tcPr>
          <w:p>
            <w:pPr>
              <w:spacing w:line="240" w:lineRule="auto"/>
              <w:jc w:val="center"/>
            </w:pPr>
            <w:r>
              <w:rPr>
                <w:rFonts w:ascii="Times New Roman" w:hAnsi="Times New Roman" w:eastAsia="宋体"/>
                <w:b/>
                <w:sz w:val="17"/>
              </w:rPr>
              <w:t>VTK 并行时间/ms</w:t>
            </w:r>
          </w:p>
        </w:tc>
        <w:tc>
          <w:tcPr>
            <w:tcW w:type="dxa" w:w="1465"/>
            <w:vAlign w:val="center"/>
          </w:tcPr>
          <w:p>
            <w:pPr>
              <w:spacing w:line="240" w:lineRule="auto"/>
              <w:jc w:val="center"/>
            </w:pPr>
            <w:r>
              <w:rPr>
                <w:rFonts w:ascii="Times New Roman" w:hAnsi="Times New Roman" w:eastAsia="宋体"/>
                <w:b/>
                <w:sz w:val="17"/>
              </w:rPr>
              <w:t>加速比</w:t>
            </w:r>
          </w:p>
        </w:tc>
      </w:tr>
      <w:tr>
        <w:tc>
          <w:tcPr>
            <w:tcW w:type="dxa" w:w="1465"/>
            <w:vAlign w:val="center"/>
          </w:tcPr>
          <w:p>
            <w:pPr>
              <w:spacing w:line="240" w:lineRule="auto"/>
              <w:jc w:val="center"/>
            </w:pPr>
            <w:r>
              <w:rPr>
                <w:rFonts w:ascii="Times New Roman" w:hAnsi="Times New Roman" w:eastAsia="宋体"/>
                <w:b w:val="0"/>
                <w:sz w:val="17"/>
              </w:rPr>
              <w:t>timing_struct_20x20x20</w:t>
            </w:r>
          </w:p>
        </w:tc>
        <w:tc>
          <w:tcPr>
            <w:tcW w:type="dxa" w:w="1465"/>
            <w:vAlign w:val="center"/>
          </w:tcPr>
          <w:p>
            <w:pPr>
              <w:spacing w:line="240" w:lineRule="auto"/>
              <w:jc w:val="center"/>
            </w:pPr>
            <w:r>
              <w:rPr>
                <w:rFonts w:ascii="Times New Roman" w:hAnsi="Times New Roman" w:eastAsia="宋体"/>
                <w:b w:val="0"/>
                <w:sz w:val="17"/>
              </w:rPr>
              <w:t>6859</w:t>
            </w:r>
          </w:p>
        </w:tc>
        <w:tc>
          <w:tcPr>
            <w:tcW w:type="dxa" w:w="1465"/>
            <w:vAlign w:val="center"/>
          </w:tcPr>
          <w:p>
            <w:pPr>
              <w:spacing w:line="240" w:lineRule="auto"/>
              <w:jc w:val="center"/>
            </w:pPr>
            <w:r>
              <w:rPr>
                <w:rFonts w:ascii="Times New Roman" w:hAnsi="Times New Roman" w:eastAsia="宋体"/>
                <w:b w:val="0"/>
                <w:sz w:val="17"/>
              </w:rPr>
              <w:t>0.8455</w:t>
            </w:r>
          </w:p>
        </w:tc>
        <w:tc>
          <w:tcPr>
            <w:tcW w:type="dxa" w:w="1465"/>
            <w:vAlign w:val="center"/>
          </w:tcPr>
          <w:p>
            <w:pPr>
              <w:spacing w:line="240" w:lineRule="auto"/>
              <w:jc w:val="center"/>
            </w:pPr>
            <w:r>
              <w:rPr>
                <w:rFonts w:ascii="Times New Roman" w:hAnsi="Times New Roman" w:eastAsia="宋体"/>
                <w:b w:val="0"/>
                <w:sz w:val="17"/>
              </w:rPr>
              <w:t>0.023972</w:t>
            </w:r>
          </w:p>
        </w:tc>
        <w:tc>
          <w:tcPr>
            <w:tcW w:type="dxa" w:w="1465"/>
            <w:vAlign w:val="center"/>
          </w:tcPr>
          <w:p>
            <w:pPr>
              <w:spacing w:line="240" w:lineRule="auto"/>
              <w:jc w:val="center"/>
            </w:pPr>
            <w:r>
              <w:rPr>
                <w:rFonts w:ascii="Times New Roman" w:hAnsi="Times New Roman" w:eastAsia="宋体"/>
                <w:b w:val="0"/>
                <w:sz w:val="17"/>
              </w:rPr>
              <w:t>123.967</w:t>
            </w:r>
          </w:p>
        </w:tc>
        <w:tc>
          <w:tcPr>
            <w:tcW w:type="dxa" w:w="1465"/>
            <w:vAlign w:val="center"/>
          </w:tcPr>
          <w:p>
            <w:pPr>
              <w:spacing w:line="240" w:lineRule="auto"/>
              <w:jc w:val="center"/>
            </w:pPr>
            <w:r>
              <w:rPr>
                <w:rFonts w:ascii="Times New Roman" w:hAnsi="Times New Roman" w:eastAsia="宋体"/>
                <w:b w:val="0"/>
                <w:sz w:val="17"/>
              </w:rPr>
              <w:t>146.620</w:t>
            </w:r>
          </w:p>
        </w:tc>
      </w:tr>
      <w:tr>
        <w:tc>
          <w:tcPr>
            <w:tcW w:type="dxa" w:w="1465"/>
            <w:vAlign w:val="center"/>
          </w:tcPr>
          <w:p>
            <w:pPr>
              <w:spacing w:line="240" w:lineRule="auto"/>
              <w:jc w:val="center"/>
            </w:pPr>
            <w:r>
              <w:rPr>
                <w:rFonts w:ascii="Times New Roman" w:hAnsi="Times New Roman" w:eastAsia="宋体"/>
                <w:b w:val="0"/>
                <w:sz w:val="17"/>
              </w:rPr>
              <w:t>timing_struct_32x32x32</w:t>
            </w:r>
          </w:p>
        </w:tc>
        <w:tc>
          <w:tcPr>
            <w:tcW w:type="dxa" w:w="1465"/>
            <w:vAlign w:val="center"/>
          </w:tcPr>
          <w:p>
            <w:pPr>
              <w:spacing w:line="240" w:lineRule="auto"/>
              <w:jc w:val="center"/>
            </w:pPr>
            <w:r>
              <w:rPr>
                <w:rFonts w:ascii="Times New Roman" w:hAnsi="Times New Roman" w:eastAsia="宋体"/>
                <w:b w:val="0"/>
                <w:sz w:val="17"/>
              </w:rPr>
              <w:t>29791</w:t>
            </w:r>
          </w:p>
        </w:tc>
        <w:tc>
          <w:tcPr>
            <w:tcW w:type="dxa" w:w="1465"/>
            <w:vAlign w:val="center"/>
          </w:tcPr>
          <w:p>
            <w:pPr>
              <w:spacing w:line="240" w:lineRule="auto"/>
              <w:jc w:val="center"/>
            </w:pPr>
            <w:r>
              <w:rPr>
                <w:rFonts w:ascii="Times New Roman" w:hAnsi="Times New Roman" w:eastAsia="宋体"/>
                <w:b w:val="0"/>
                <w:sz w:val="17"/>
              </w:rPr>
              <w:t>1.1606</w:t>
            </w:r>
          </w:p>
        </w:tc>
        <w:tc>
          <w:tcPr>
            <w:tcW w:type="dxa" w:w="1465"/>
            <w:vAlign w:val="center"/>
          </w:tcPr>
          <w:p>
            <w:pPr>
              <w:spacing w:line="240" w:lineRule="auto"/>
              <w:jc w:val="center"/>
            </w:pPr>
            <w:r>
              <w:rPr>
                <w:rFonts w:ascii="Times New Roman" w:hAnsi="Times New Roman" w:eastAsia="宋体"/>
                <w:b w:val="0"/>
                <w:sz w:val="17"/>
              </w:rPr>
              <w:t>0.046124</w:t>
            </w:r>
          </w:p>
        </w:tc>
        <w:tc>
          <w:tcPr>
            <w:tcW w:type="dxa" w:w="1465"/>
            <w:vAlign w:val="center"/>
          </w:tcPr>
          <w:p>
            <w:pPr>
              <w:spacing w:line="240" w:lineRule="auto"/>
              <w:jc w:val="center"/>
            </w:pPr>
            <w:r>
              <w:rPr>
                <w:rFonts w:ascii="Times New Roman" w:hAnsi="Times New Roman" w:eastAsia="宋体"/>
                <w:b w:val="0"/>
                <w:sz w:val="17"/>
              </w:rPr>
              <w:t>484.785</w:t>
            </w:r>
          </w:p>
        </w:tc>
        <w:tc>
          <w:tcPr>
            <w:tcW w:type="dxa" w:w="1465"/>
            <w:vAlign w:val="center"/>
          </w:tcPr>
          <w:p>
            <w:pPr>
              <w:spacing w:line="240" w:lineRule="auto"/>
              <w:jc w:val="center"/>
            </w:pPr>
            <w:r>
              <w:rPr>
                <w:rFonts w:ascii="Times New Roman" w:hAnsi="Times New Roman" w:eastAsia="宋体"/>
                <w:b w:val="0"/>
                <w:sz w:val="17"/>
              </w:rPr>
              <w:t>417.702</w:t>
            </w:r>
          </w:p>
        </w:tc>
      </w:tr>
      <w:tr>
        <w:tc>
          <w:tcPr>
            <w:tcW w:type="dxa" w:w="1465"/>
            <w:vAlign w:val="center"/>
          </w:tcPr>
          <w:p>
            <w:pPr>
              <w:spacing w:line="240" w:lineRule="auto"/>
              <w:jc w:val="center"/>
            </w:pPr>
            <w:r>
              <w:rPr>
                <w:rFonts w:ascii="Times New Roman" w:hAnsi="Times New Roman" w:eastAsia="宋体"/>
                <w:b w:val="0"/>
                <w:sz w:val="17"/>
              </w:rPr>
              <w:t>timing_struct_48x48x48</w:t>
            </w:r>
          </w:p>
        </w:tc>
        <w:tc>
          <w:tcPr>
            <w:tcW w:type="dxa" w:w="1465"/>
            <w:vAlign w:val="center"/>
          </w:tcPr>
          <w:p>
            <w:pPr>
              <w:spacing w:line="240" w:lineRule="auto"/>
              <w:jc w:val="center"/>
            </w:pPr>
            <w:r>
              <w:rPr>
                <w:rFonts w:ascii="Times New Roman" w:hAnsi="Times New Roman" w:eastAsia="宋体"/>
                <w:b w:val="0"/>
                <w:sz w:val="17"/>
              </w:rPr>
              <w:t>103823</w:t>
            </w:r>
          </w:p>
        </w:tc>
        <w:tc>
          <w:tcPr>
            <w:tcW w:type="dxa" w:w="1465"/>
            <w:vAlign w:val="center"/>
          </w:tcPr>
          <w:p>
            <w:pPr>
              <w:spacing w:line="240" w:lineRule="auto"/>
              <w:jc w:val="center"/>
            </w:pPr>
            <w:r>
              <w:rPr>
                <w:rFonts w:ascii="Times New Roman" w:hAnsi="Times New Roman" w:eastAsia="宋体"/>
                <w:b w:val="0"/>
                <w:sz w:val="17"/>
              </w:rPr>
              <w:t>2.01384</w:t>
            </w:r>
          </w:p>
        </w:tc>
        <w:tc>
          <w:tcPr>
            <w:tcW w:type="dxa" w:w="1465"/>
            <w:vAlign w:val="center"/>
          </w:tcPr>
          <w:p>
            <w:pPr>
              <w:spacing w:line="240" w:lineRule="auto"/>
              <w:jc w:val="center"/>
            </w:pPr>
            <w:r>
              <w:rPr>
                <w:rFonts w:ascii="Times New Roman" w:hAnsi="Times New Roman" w:eastAsia="宋体"/>
                <w:b w:val="0"/>
                <w:sz w:val="17"/>
              </w:rPr>
              <w:t>0.115846</w:t>
            </w:r>
          </w:p>
        </w:tc>
        <w:tc>
          <w:tcPr>
            <w:tcW w:type="dxa" w:w="1465"/>
            <w:vAlign w:val="center"/>
          </w:tcPr>
          <w:p>
            <w:pPr>
              <w:spacing w:line="240" w:lineRule="auto"/>
              <w:jc w:val="center"/>
            </w:pPr>
            <w:r>
              <w:rPr>
                <w:rFonts w:ascii="Times New Roman" w:hAnsi="Times New Roman" w:eastAsia="宋体"/>
                <w:b w:val="0"/>
                <w:sz w:val="17"/>
              </w:rPr>
              <w:t>1701.75</w:t>
            </w:r>
          </w:p>
        </w:tc>
        <w:tc>
          <w:tcPr>
            <w:tcW w:type="dxa" w:w="1465"/>
            <w:vAlign w:val="center"/>
          </w:tcPr>
          <w:p>
            <w:pPr>
              <w:spacing w:line="240" w:lineRule="auto"/>
              <w:jc w:val="center"/>
            </w:pPr>
            <w:r>
              <w:rPr>
                <w:rFonts w:ascii="Times New Roman" w:hAnsi="Times New Roman" w:eastAsia="宋体"/>
                <w:b w:val="0"/>
                <w:sz w:val="17"/>
              </w:rPr>
              <w:t>845.027</w:t>
            </w:r>
          </w:p>
        </w:tc>
      </w:tr>
    </w:tbl>
    <w:p/>
    <w:p>
      <w:pPr>
        <w:spacing w:line="360" w:lineRule="auto" w:after="0"/>
        <w:ind w:firstLine="420"/>
      </w:pPr>
      <w:r>
        <w:rPr>
          <w:rFonts w:ascii="Times New Roman" w:hAnsi="Times New Roman" w:eastAsia="宋体"/>
          <w:sz w:val="24"/>
        </w:rPr>
        <w:t>结构化网格单元数据使用单元中心作为采样位置，采样数少于对应点数据。该路径的 GPU 时间同样随规模增大而增长，系统总时间仍明显低于 VTK 并行时间。结构化网格单元数据路径的索引方式与点数据类似，但使用单元维度和单元中心坐标，因此能够保持较规整的访存模式。</w:t>
      </w:r>
    </w:p>
    <w:p>
      <w:pPr>
        <w:pStyle w:val="3"/>
        <w:spacing w:line="360" w:lineRule="auto" w:before="120" w:after="120"/>
        <w:jc w:val="left"/>
      </w:pPr>
      <w:r>
        <w:rPr>
          <w:rFonts w:ascii="Times New Roman" w:hAnsi="Times New Roman" w:eastAsia="黑体"/>
          <w:b/>
          <w:sz w:val="24"/>
        </w:rPr>
        <w:t>5.5.3 非结构化网格点数据时间对比</w:t>
      </w:r>
    </w:p>
    <w:tbl>
      <w:tblPr>
        <w:tblStyle w:val="a6"/>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tcPr>
          <w:p>
            <w:pPr>
              <w:spacing w:line="240" w:lineRule="auto"/>
              <w:jc w:val="center"/>
            </w:pPr>
            <w:r>
              <w:rPr>
                <w:rFonts w:ascii="Times New Roman" w:hAnsi="Times New Roman" w:eastAsia="宋体"/>
                <w:b/>
                <w:sz w:val="17"/>
              </w:rPr>
              <w:t>数据集</w:t>
            </w:r>
          </w:p>
        </w:tc>
        <w:tc>
          <w:tcPr>
            <w:tcW w:type="dxa" w:w="1465"/>
            <w:vAlign w:val="center"/>
          </w:tcPr>
          <w:p>
            <w:pPr>
              <w:spacing w:line="240" w:lineRule="auto"/>
              <w:jc w:val="center"/>
            </w:pPr>
            <w:r>
              <w:rPr>
                <w:rFonts w:ascii="Times New Roman" w:hAnsi="Times New Roman" w:eastAsia="宋体"/>
                <w:b/>
                <w:sz w:val="17"/>
              </w:rPr>
              <w:t>采样数</w:t>
            </w:r>
          </w:p>
        </w:tc>
        <w:tc>
          <w:tcPr>
            <w:tcW w:type="dxa" w:w="1465"/>
            <w:vAlign w:val="center"/>
          </w:tcPr>
          <w:p>
            <w:pPr>
              <w:spacing w:line="240" w:lineRule="auto"/>
              <w:jc w:val="center"/>
            </w:pPr>
            <w:r>
              <w:rPr>
                <w:rFonts w:ascii="Times New Roman" w:hAnsi="Times New Roman" w:eastAsia="宋体"/>
                <w:b/>
                <w:sz w:val="17"/>
              </w:rPr>
              <w:t>系统总时间/ms</w:t>
            </w:r>
          </w:p>
        </w:tc>
        <w:tc>
          <w:tcPr>
            <w:tcW w:type="dxa" w:w="1465"/>
            <w:vAlign w:val="center"/>
          </w:tcPr>
          <w:p>
            <w:pPr>
              <w:spacing w:line="240" w:lineRule="auto"/>
              <w:jc w:val="center"/>
            </w:pPr>
            <w:r>
              <w:rPr>
                <w:rFonts w:ascii="Times New Roman" w:hAnsi="Times New Roman" w:eastAsia="宋体"/>
                <w:b/>
                <w:sz w:val="17"/>
              </w:rPr>
              <w:t>GPU 时间/ms</w:t>
            </w:r>
          </w:p>
        </w:tc>
        <w:tc>
          <w:tcPr>
            <w:tcW w:type="dxa" w:w="1465"/>
            <w:vAlign w:val="center"/>
          </w:tcPr>
          <w:p>
            <w:pPr>
              <w:spacing w:line="240" w:lineRule="auto"/>
              <w:jc w:val="center"/>
            </w:pPr>
            <w:r>
              <w:rPr>
                <w:rFonts w:ascii="Times New Roman" w:hAnsi="Times New Roman" w:eastAsia="宋体"/>
                <w:b/>
                <w:sz w:val="17"/>
              </w:rPr>
              <w:t>VTK 并行时间/ms</w:t>
            </w:r>
          </w:p>
        </w:tc>
        <w:tc>
          <w:tcPr>
            <w:tcW w:type="dxa" w:w="1465"/>
            <w:vAlign w:val="center"/>
          </w:tcPr>
          <w:p>
            <w:pPr>
              <w:spacing w:line="240" w:lineRule="auto"/>
              <w:jc w:val="center"/>
            </w:pPr>
            <w:r>
              <w:rPr>
                <w:rFonts w:ascii="Times New Roman" w:hAnsi="Times New Roman" w:eastAsia="宋体"/>
                <w:b/>
                <w:sz w:val="17"/>
              </w:rPr>
              <w:t>加速比</w:t>
            </w:r>
          </w:p>
        </w:tc>
      </w:tr>
      <w:tr>
        <w:tc>
          <w:tcPr>
            <w:tcW w:type="dxa" w:w="1465"/>
            <w:vAlign w:val="center"/>
          </w:tcPr>
          <w:p>
            <w:pPr>
              <w:spacing w:line="240" w:lineRule="auto"/>
              <w:jc w:val="center"/>
            </w:pPr>
            <w:r>
              <w:rPr>
                <w:rFonts w:ascii="Times New Roman" w:hAnsi="Times New Roman" w:eastAsia="宋体"/>
                <w:b w:val="0"/>
                <w:sz w:val="17"/>
              </w:rPr>
              <w:t>timing_uhex_20x20x20</w:t>
            </w:r>
          </w:p>
        </w:tc>
        <w:tc>
          <w:tcPr>
            <w:tcW w:type="dxa" w:w="1465"/>
            <w:vAlign w:val="center"/>
          </w:tcPr>
          <w:p>
            <w:pPr>
              <w:spacing w:line="240" w:lineRule="auto"/>
              <w:jc w:val="center"/>
            </w:pPr>
            <w:r>
              <w:rPr>
                <w:rFonts w:ascii="Times New Roman" w:hAnsi="Times New Roman" w:eastAsia="宋体"/>
                <w:b w:val="0"/>
                <w:sz w:val="17"/>
              </w:rPr>
              <w:t>8000</w:t>
            </w:r>
          </w:p>
        </w:tc>
        <w:tc>
          <w:tcPr>
            <w:tcW w:type="dxa" w:w="1465"/>
            <w:vAlign w:val="center"/>
          </w:tcPr>
          <w:p>
            <w:pPr>
              <w:spacing w:line="240" w:lineRule="auto"/>
              <w:jc w:val="center"/>
            </w:pPr>
            <w:r>
              <w:rPr>
                <w:rFonts w:ascii="Times New Roman" w:hAnsi="Times New Roman" w:eastAsia="宋体"/>
                <w:b w:val="0"/>
                <w:sz w:val="17"/>
              </w:rPr>
              <w:t>2.8527</w:t>
            </w:r>
          </w:p>
        </w:tc>
        <w:tc>
          <w:tcPr>
            <w:tcW w:type="dxa" w:w="1465"/>
            <w:vAlign w:val="center"/>
          </w:tcPr>
          <w:p>
            <w:pPr>
              <w:spacing w:line="240" w:lineRule="auto"/>
              <w:jc w:val="center"/>
            </w:pPr>
            <w:r>
              <w:rPr>
                <w:rFonts w:ascii="Times New Roman" w:hAnsi="Times New Roman" w:eastAsia="宋体"/>
                <w:b w:val="0"/>
                <w:sz w:val="17"/>
              </w:rPr>
              <w:t>0.623896</w:t>
            </w:r>
          </w:p>
        </w:tc>
        <w:tc>
          <w:tcPr>
            <w:tcW w:type="dxa" w:w="1465"/>
            <w:vAlign w:val="center"/>
          </w:tcPr>
          <w:p>
            <w:pPr>
              <w:spacing w:line="240" w:lineRule="auto"/>
              <w:jc w:val="center"/>
            </w:pPr>
            <w:r>
              <w:rPr>
                <w:rFonts w:ascii="Times New Roman" w:hAnsi="Times New Roman" w:eastAsia="宋体"/>
                <w:b w:val="0"/>
                <w:sz w:val="17"/>
              </w:rPr>
              <w:t>163.799</w:t>
            </w:r>
          </w:p>
        </w:tc>
        <w:tc>
          <w:tcPr>
            <w:tcW w:type="dxa" w:w="1465"/>
            <w:vAlign w:val="center"/>
          </w:tcPr>
          <w:p>
            <w:pPr>
              <w:spacing w:line="240" w:lineRule="auto"/>
              <w:jc w:val="center"/>
            </w:pPr>
            <w:r>
              <w:rPr>
                <w:rFonts w:ascii="Times New Roman" w:hAnsi="Times New Roman" w:eastAsia="宋体"/>
                <w:b w:val="0"/>
                <w:sz w:val="17"/>
              </w:rPr>
              <w:t>57.419</w:t>
            </w:r>
          </w:p>
        </w:tc>
      </w:tr>
      <w:tr>
        <w:tc>
          <w:tcPr>
            <w:tcW w:type="dxa" w:w="1465"/>
            <w:vAlign w:val="center"/>
          </w:tcPr>
          <w:p>
            <w:pPr>
              <w:spacing w:line="240" w:lineRule="auto"/>
              <w:jc w:val="center"/>
            </w:pPr>
            <w:r>
              <w:rPr>
                <w:rFonts w:ascii="Times New Roman" w:hAnsi="Times New Roman" w:eastAsia="宋体"/>
                <w:b w:val="0"/>
                <w:sz w:val="17"/>
              </w:rPr>
              <w:t>timing_uhex_32x32x32</w:t>
            </w:r>
          </w:p>
        </w:tc>
        <w:tc>
          <w:tcPr>
            <w:tcW w:type="dxa" w:w="1465"/>
            <w:vAlign w:val="center"/>
          </w:tcPr>
          <w:p>
            <w:pPr>
              <w:spacing w:line="240" w:lineRule="auto"/>
              <w:jc w:val="center"/>
            </w:pPr>
            <w:r>
              <w:rPr>
                <w:rFonts w:ascii="Times New Roman" w:hAnsi="Times New Roman" w:eastAsia="宋体"/>
                <w:b w:val="0"/>
                <w:sz w:val="17"/>
              </w:rPr>
              <w:t>32768</w:t>
            </w:r>
          </w:p>
        </w:tc>
        <w:tc>
          <w:tcPr>
            <w:tcW w:type="dxa" w:w="1465"/>
            <w:vAlign w:val="center"/>
          </w:tcPr>
          <w:p>
            <w:pPr>
              <w:spacing w:line="240" w:lineRule="auto"/>
              <w:jc w:val="center"/>
            </w:pPr>
            <w:r>
              <w:rPr>
                <w:rFonts w:ascii="Times New Roman" w:hAnsi="Times New Roman" w:eastAsia="宋体"/>
                <w:b w:val="0"/>
                <w:sz w:val="17"/>
              </w:rPr>
              <w:t>5.3835</w:t>
            </w:r>
          </w:p>
        </w:tc>
        <w:tc>
          <w:tcPr>
            <w:tcW w:type="dxa" w:w="1465"/>
            <w:vAlign w:val="center"/>
          </w:tcPr>
          <w:p>
            <w:pPr>
              <w:spacing w:line="240" w:lineRule="auto"/>
              <w:jc w:val="center"/>
            </w:pPr>
            <w:r>
              <w:rPr>
                <w:rFonts w:ascii="Times New Roman" w:hAnsi="Times New Roman" w:eastAsia="宋体"/>
                <w:b w:val="0"/>
                <w:sz w:val="17"/>
              </w:rPr>
              <w:t>2.53781</w:t>
            </w:r>
          </w:p>
        </w:tc>
        <w:tc>
          <w:tcPr>
            <w:tcW w:type="dxa" w:w="1465"/>
            <w:vAlign w:val="center"/>
          </w:tcPr>
          <w:p>
            <w:pPr>
              <w:spacing w:line="240" w:lineRule="auto"/>
              <w:jc w:val="center"/>
            </w:pPr>
            <w:r>
              <w:rPr>
                <w:rFonts w:ascii="Times New Roman" w:hAnsi="Times New Roman" w:eastAsia="宋体"/>
                <w:b w:val="0"/>
                <w:sz w:val="17"/>
              </w:rPr>
              <w:t>708.650</w:t>
            </w:r>
          </w:p>
        </w:tc>
        <w:tc>
          <w:tcPr>
            <w:tcW w:type="dxa" w:w="1465"/>
            <w:vAlign w:val="center"/>
          </w:tcPr>
          <w:p>
            <w:pPr>
              <w:spacing w:line="240" w:lineRule="auto"/>
              <w:jc w:val="center"/>
            </w:pPr>
            <w:r>
              <w:rPr>
                <w:rFonts w:ascii="Times New Roman" w:hAnsi="Times New Roman" w:eastAsia="宋体"/>
                <w:b w:val="0"/>
                <w:sz w:val="17"/>
              </w:rPr>
              <w:t>131.634</w:t>
            </w:r>
          </w:p>
        </w:tc>
      </w:tr>
      <w:tr>
        <w:tc>
          <w:tcPr>
            <w:tcW w:type="dxa" w:w="1465"/>
            <w:vAlign w:val="center"/>
          </w:tcPr>
          <w:p>
            <w:pPr>
              <w:spacing w:line="240" w:lineRule="auto"/>
              <w:jc w:val="center"/>
            </w:pPr>
            <w:r>
              <w:rPr>
                <w:rFonts w:ascii="Times New Roman" w:hAnsi="Times New Roman" w:eastAsia="宋体"/>
                <w:b w:val="0"/>
                <w:sz w:val="17"/>
              </w:rPr>
              <w:t>timing_uhex_48x48x48</w:t>
            </w:r>
          </w:p>
        </w:tc>
        <w:tc>
          <w:tcPr>
            <w:tcW w:type="dxa" w:w="1465"/>
            <w:vAlign w:val="center"/>
          </w:tcPr>
          <w:p>
            <w:pPr>
              <w:spacing w:line="240" w:lineRule="auto"/>
              <w:jc w:val="center"/>
            </w:pPr>
            <w:r>
              <w:rPr>
                <w:rFonts w:ascii="Times New Roman" w:hAnsi="Times New Roman" w:eastAsia="宋体"/>
                <w:b w:val="0"/>
                <w:sz w:val="17"/>
              </w:rPr>
              <w:t>110592</w:t>
            </w:r>
          </w:p>
        </w:tc>
        <w:tc>
          <w:tcPr>
            <w:tcW w:type="dxa" w:w="1465"/>
            <w:vAlign w:val="center"/>
          </w:tcPr>
          <w:p>
            <w:pPr>
              <w:spacing w:line="240" w:lineRule="auto"/>
              <w:jc w:val="center"/>
            </w:pPr>
            <w:r>
              <w:rPr>
                <w:rFonts w:ascii="Times New Roman" w:hAnsi="Times New Roman" w:eastAsia="宋体"/>
                <w:b w:val="0"/>
                <w:sz w:val="17"/>
              </w:rPr>
              <w:t>44.8039</w:t>
            </w:r>
          </w:p>
        </w:tc>
        <w:tc>
          <w:tcPr>
            <w:tcW w:type="dxa" w:w="1465"/>
            <w:vAlign w:val="center"/>
          </w:tcPr>
          <w:p>
            <w:pPr>
              <w:spacing w:line="240" w:lineRule="auto"/>
              <w:jc w:val="center"/>
            </w:pPr>
            <w:r>
              <w:rPr>
                <w:rFonts w:ascii="Times New Roman" w:hAnsi="Times New Roman" w:eastAsia="宋体"/>
                <w:b w:val="0"/>
                <w:sz w:val="17"/>
              </w:rPr>
              <w:t>7.91991</w:t>
            </w:r>
          </w:p>
        </w:tc>
        <w:tc>
          <w:tcPr>
            <w:tcW w:type="dxa" w:w="1465"/>
            <w:vAlign w:val="center"/>
          </w:tcPr>
          <w:p>
            <w:pPr>
              <w:spacing w:line="240" w:lineRule="auto"/>
              <w:jc w:val="center"/>
            </w:pPr>
            <w:r>
              <w:rPr>
                <w:rFonts w:ascii="Times New Roman" w:hAnsi="Times New Roman" w:eastAsia="宋体"/>
                <w:b w:val="0"/>
                <w:sz w:val="17"/>
              </w:rPr>
              <w:t>3349.36</w:t>
            </w:r>
          </w:p>
        </w:tc>
        <w:tc>
          <w:tcPr>
            <w:tcW w:type="dxa" w:w="1465"/>
            <w:vAlign w:val="center"/>
          </w:tcPr>
          <w:p>
            <w:pPr>
              <w:spacing w:line="240" w:lineRule="auto"/>
              <w:jc w:val="center"/>
            </w:pPr>
            <w:r>
              <w:rPr>
                <w:rFonts w:ascii="Times New Roman" w:hAnsi="Times New Roman" w:eastAsia="宋体"/>
                <w:b w:val="0"/>
                <w:sz w:val="17"/>
              </w:rPr>
              <w:t>74.756</w:t>
            </w:r>
          </w:p>
        </w:tc>
      </w:tr>
    </w:tbl>
    <w:p/>
    <w:p>
      <w:pPr>
        <w:spacing w:line="360" w:lineRule="auto" w:after="0"/>
        <w:ind w:firstLine="420"/>
      </w:pPr>
      <w:r>
        <w:rPr>
          <w:rFonts w:ascii="Times New Roman" w:hAnsi="Times New Roman" w:eastAsia="宋体"/>
          <w:sz w:val="24"/>
        </w:rPr>
        <w:t>非结构化点数据需要访问单元连接和点-单元关系，GPU 时间和系统总时间均高于结构化网格点数据。随着规模增大，系统总时间增长明显，说明不规则拓扑访问、局部几何恢复和结果读回对整体耗时具有较大影响。尽管非结构化路径的单个采样对象计算更复杂，OpenGL 并行实现仍在该组测试中保持低于 VTK 参考流程的总时间。</w:t>
      </w:r>
    </w:p>
    <w:p>
      <w:pPr>
        <w:pStyle w:val="3"/>
        <w:spacing w:line="360" w:lineRule="auto" w:before="120" w:after="120"/>
        <w:jc w:val="left"/>
      </w:pPr>
      <w:r>
        <w:rPr>
          <w:rFonts w:ascii="Times New Roman" w:hAnsi="Times New Roman" w:eastAsia="黑体"/>
          <w:b/>
          <w:sz w:val="24"/>
        </w:rPr>
        <w:t>5.5.4 非结构化网格单元数据时间对比</w:t>
      </w:r>
    </w:p>
    <w:tbl>
      <w:tblPr>
        <w:tblStyle w:val="a6"/>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tcPr>
          <w:p>
            <w:pPr>
              <w:spacing w:line="240" w:lineRule="auto"/>
              <w:jc w:val="center"/>
            </w:pPr>
            <w:r>
              <w:rPr>
                <w:rFonts w:ascii="Times New Roman" w:hAnsi="Times New Roman" w:eastAsia="宋体"/>
                <w:b/>
                <w:sz w:val="17"/>
              </w:rPr>
              <w:t>数据集</w:t>
            </w:r>
          </w:p>
        </w:tc>
        <w:tc>
          <w:tcPr>
            <w:tcW w:type="dxa" w:w="1465"/>
            <w:vAlign w:val="center"/>
          </w:tcPr>
          <w:p>
            <w:pPr>
              <w:spacing w:line="240" w:lineRule="auto"/>
              <w:jc w:val="center"/>
            </w:pPr>
            <w:r>
              <w:rPr>
                <w:rFonts w:ascii="Times New Roman" w:hAnsi="Times New Roman" w:eastAsia="宋体"/>
                <w:b/>
                <w:sz w:val="17"/>
              </w:rPr>
              <w:t>采样数</w:t>
            </w:r>
          </w:p>
        </w:tc>
        <w:tc>
          <w:tcPr>
            <w:tcW w:type="dxa" w:w="1465"/>
            <w:vAlign w:val="center"/>
          </w:tcPr>
          <w:p>
            <w:pPr>
              <w:spacing w:line="240" w:lineRule="auto"/>
              <w:jc w:val="center"/>
            </w:pPr>
            <w:r>
              <w:rPr>
                <w:rFonts w:ascii="Times New Roman" w:hAnsi="Times New Roman" w:eastAsia="宋体"/>
                <w:b/>
                <w:sz w:val="17"/>
              </w:rPr>
              <w:t>系统总时间/ms</w:t>
            </w:r>
          </w:p>
        </w:tc>
        <w:tc>
          <w:tcPr>
            <w:tcW w:type="dxa" w:w="1465"/>
            <w:vAlign w:val="center"/>
          </w:tcPr>
          <w:p>
            <w:pPr>
              <w:spacing w:line="240" w:lineRule="auto"/>
              <w:jc w:val="center"/>
            </w:pPr>
            <w:r>
              <w:rPr>
                <w:rFonts w:ascii="Times New Roman" w:hAnsi="Times New Roman" w:eastAsia="宋体"/>
                <w:b/>
                <w:sz w:val="17"/>
              </w:rPr>
              <w:t>GPU 时间/ms</w:t>
            </w:r>
          </w:p>
        </w:tc>
        <w:tc>
          <w:tcPr>
            <w:tcW w:type="dxa" w:w="1465"/>
            <w:vAlign w:val="center"/>
          </w:tcPr>
          <w:p>
            <w:pPr>
              <w:spacing w:line="240" w:lineRule="auto"/>
              <w:jc w:val="center"/>
            </w:pPr>
            <w:r>
              <w:rPr>
                <w:rFonts w:ascii="Times New Roman" w:hAnsi="Times New Roman" w:eastAsia="宋体"/>
                <w:b/>
                <w:sz w:val="17"/>
              </w:rPr>
              <w:t>VTK 并行时间/ms</w:t>
            </w:r>
          </w:p>
        </w:tc>
        <w:tc>
          <w:tcPr>
            <w:tcW w:type="dxa" w:w="1465"/>
            <w:vAlign w:val="center"/>
          </w:tcPr>
          <w:p>
            <w:pPr>
              <w:spacing w:line="240" w:lineRule="auto"/>
              <w:jc w:val="center"/>
            </w:pPr>
            <w:r>
              <w:rPr>
                <w:rFonts w:ascii="Times New Roman" w:hAnsi="Times New Roman" w:eastAsia="宋体"/>
                <w:b/>
                <w:sz w:val="17"/>
              </w:rPr>
              <w:t>加速比</w:t>
            </w:r>
          </w:p>
        </w:tc>
      </w:tr>
      <w:tr>
        <w:tc>
          <w:tcPr>
            <w:tcW w:type="dxa" w:w="1465"/>
            <w:vAlign w:val="center"/>
          </w:tcPr>
          <w:p>
            <w:pPr>
              <w:spacing w:line="240" w:lineRule="auto"/>
              <w:jc w:val="center"/>
            </w:pPr>
            <w:r>
              <w:rPr>
                <w:rFonts w:ascii="Times New Roman" w:hAnsi="Times New Roman" w:eastAsia="宋体"/>
                <w:b w:val="0"/>
                <w:sz w:val="17"/>
              </w:rPr>
              <w:t>timing_uhex_20x20x20</w:t>
            </w:r>
          </w:p>
        </w:tc>
        <w:tc>
          <w:tcPr>
            <w:tcW w:type="dxa" w:w="1465"/>
            <w:vAlign w:val="center"/>
          </w:tcPr>
          <w:p>
            <w:pPr>
              <w:spacing w:line="240" w:lineRule="auto"/>
              <w:jc w:val="center"/>
            </w:pPr>
            <w:r>
              <w:rPr>
                <w:rFonts w:ascii="Times New Roman" w:hAnsi="Times New Roman" w:eastAsia="宋体"/>
                <w:b w:val="0"/>
                <w:sz w:val="17"/>
              </w:rPr>
              <w:t>6859</w:t>
            </w:r>
          </w:p>
        </w:tc>
        <w:tc>
          <w:tcPr>
            <w:tcW w:type="dxa" w:w="1465"/>
            <w:vAlign w:val="center"/>
          </w:tcPr>
          <w:p>
            <w:pPr>
              <w:spacing w:line="240" w:lineRule="auto"/>
              <w:jc w:val="center"/>
            </w:pPr>
            <w:r>
              <w:rPr>
                <w:rFonts w:ascii="Times New Roman" w:hAnsi="Times New Roman" w:eastAsia="宋体"/>
                <w:b w:val="0"/>
                <w:sz w:val="17"/>
              </w:rPr>
              <w:t>1.6555</w:t>
            </w:r>
          </w:p>
        </w:tc>
        <w:tc>
          <w:tcPr>
            <w:tcW w:type="dxa" w:w="1465"/>
            <w:vAlign w:val="center"/>
          </w:tcPr>
          <w:p>
            <w:pPr>
              <w:spacing w:line="240" w:lineRule="auto"/>
              <w:jc w:val="center"/>
            </w:pPr>
            <w:r>
              <w:rPr>
                <w:rFonts w:ascii="Times New Roman" w:hAnsi="Times New Roman" w:eastAsia="宋体"/>
                <w:b w:val="0"/>
                <w:sz w:val="17"/>
              </w:rPr>
              <w:t>0.077584</w:t>
            </w:r>
          </w:p>
        </w:tc>
        <w:tc>
          <w:tcPr>
            <w:tcW w:type="dxa" w:w="1465"/>
            <w:vAlign w:val="center"/>
          </w:tcPr>
          <w:p>
            <w:pPr>
              <w:spacing w:line="240" w:lineRule="auto"/>
              <w:jc w:val="center"/>
            </w:pPr>
            <w:r>
              <w:rPr>
                <w:rFonts w:ascii="Times New Roman" w:hAnsi="Times New Roman" w:eastAsia="宋体"/>
                <w:b w:val="0"/>
                <w:sz w:val="17"/>
              </w:rPr>
              <w:t>29.4648</w:t>
            </w:r>
          </w:p>
        </w:tc>
        <w:tc>
          <w:tcPr>
            <w:tcW w:type="dxa" w:w="1465"/>
            <w:vAlign w:val="center"/>
          </w:tcPr>
          <w:p>
            <w:pPr>
              <w:spacing w:line="240" w:lineRule="auto"/>
              <w:jc w:val="center"/>
            </w:pPr>
            <w:r>
              <w:rPr>
                <w:rFonts w:ascii="Times New Roman" w:hAnsi="Times New Roman" w:eastAsia="宋体"/>
                <w:b w:val="0"/>
                <w:sz w:val="17"/>
              </w:rPr>
              <w:t>17.798</w:t>
            </w:r>
          </w:p>
        </w:tc>
      </w:tr>
      <w:tr>
        <w:tc>
          <w:tcPr>
            <w:tcW w:type="dxa" w:w="1465"/>
            <w:vAlign w:val="center"/>
          </w:tcPr>
          <w:p>
            <w:pPr>
              <w:spacing w:line="240" w:lineRule="auto"/>
              <w:jc w:val="center"/>
            </w:pPr>
            <w:r>
              <w:rPr>
                <w:rFonts w:ascii="Times New Roman" w:hAnsi="Times New Roman" w:eastAsia="宋体"/>
                <w:b w:val="0"/>
                <w:sz w:val="17"/>
              </w:rPr>
              <w:t>timing_uhex_32x32x32</w:t>
            </w:r>
          </w:p>
        </w:tc>
        <w:tc>
          <w:tcPr>
            <w:tcW w:type="dxa" w:w="1465"/>
            <w:vAlign w:val="center"/>
          </w:tcPr>
          <w:p>
            <w:pPr>
              <w:spacing w:line="240" w:lineRule="auto"/>
              <w:jc w:val="center"/>
            </w:pPr>
            <w:r>
              <w:rPr>
                <w:rFonts w:ascii="Times New Roman" w:hAnsi="Times New Roman" w:eastAsia="宋体"/>
                <w:b w:val="0"/>
                <w:sz w:val="17"/>
              </w:rPr>
              <w:t>29791</w:t>
            </w:r>
          </w:p>
        </w:tc>
        <w:tc>
          <w:tcPr>
            <w:tcW w:type="dxa" w:w="1465"/>
            <w:vAlign w:val="center"/>
          </w:tcPr>
          <w:p>
            <w:pPr>
              <w:spacing w:line="240" w:lineRule="auto"/>
              <w:jc w:val="center"/>
            </w:pPr>
            <w:r>
              <w:rPr>
                <w:rFonts w:ascii="Times New Roman" w:hAnsi="Times New Roman" w:eastAsia="宋体"/>
                <w:b w:val="0"/>
                <w:sz w:val="17"/>
              </w:rPr>
              <w:t>2.1840</w:t>
            </w:r>
          </w:p>
        </w:tc>
        <w:tc>
          <w:tcPr>
            <w:tcW w:type="dxa" w:w="1465"/>
            <w:vAlign w:val="center"/>
          </w:tcPr>
          <w:p>
            <w:pPr>
              <w:spacing w:line="240" w:lineRule="auto"/>
              <w:jc w:val="center"/>
            </w:pPr>
            <w:r>
              <w:rPr>
                <w:rFonts w:ascii="Times New Roman" w:hAnsi="Times New Roman" w:eastAsia="宋体"/>
                <w:b w:val="0"/>
                <w:sz w:val="17"/>
              </w:rPr>
              <w:t>0.242892</w:t>
            </w:r>
          </w:p>
        </w:tc>
        <w:tc>
          <w:tcPr>
            <w:tcW w:type="dxa" w:w="1465"/>
            <w:vAlign w:val="center"/>
          </w:tcPr>
          <w:p>
            <w:pPr>
              <w:spacing w:line="240" w:lineRule="auto"/>
              <w:jc w:val="center"/>
            </w:pPr>
            <w:r>
              <w:rPr>
                <w:rFonts w:ascii="Times New Roman" w:hAnsi="Times New Roman" w:eastAsia="宋体"/>
                <w:b w:val="0"/>
                <w:sz w:val="17"/>
              </w:rPr>
              <w:t>99.9974</w:t>
            </w:r>
          </w:p>
        </w:tc>
        <w:tc>
          <w:tcPr>
            <w:tcW w:type="dxa" w:w="1465"/>
            <w:vAlign w:val="center"/>
          </w:tcPr>
          <w:p>
            <w:pPr>
              <w:spacing w:line="240" w:lineRule="auto"/>
              <w:jc w:val="center"/>
            </w:pPr>
            <w:r>
              <w:rPr>
                <w:rFonts w:ascii="Times New Roman" w:hAnsi="Times New Roman" w:eastAsia="宋体"/>
                <w:b w:val="0"/>
                <w:sz w:val="17"/>
              </w:rPr>
              <w:t>45.786</w:t>
            </w:r>
          </w:p>
        </w:tc>
      </w:tr>
      <w:tr>
        <w:tc>
          <w:tcPr>
            <w:tcW w:type="dxa" w:w="1465"/>
            <w:vAlign w:val="center"/>
          </w:tcPr>
          <w:p>
            <w:pPr>
              <w:spacing w:line="240" w:lineRule="auto"/>
              <w:jc w:val="center"/>
            </w:pPr>
            <w:r>
              <w:rPr>
                <w:rFonts w:ascii="Times New Roman" w:hAnsi="Times New Roman" w:eastAsia="宋体"/>
                <w:b w:val="0"/>
                <w:sz w:val="17"/>
              </w:rPr>
              <w:t>timing_uhex_48x48x48</w:t>
            </w:r>
          </w:p>
        </w:tc>
        <w:tc>
          <w:tcPr>
            <w:tcW w:type="dxa" w:w="1465"/>
            <w:vAlign w:val="center"/>
          </w:tcPr>
          <w:p>
            <w:pPr>
              <w:spacing w:line="240" w:lineRule="auto"/>
              <w:jc w:val="center"/>
            </w:pPr>
            <w:r>
              <w:rPr>
                <w:rFonts w:ascii="Times New Roman" w:hAnsi="Times New Roman" w:eastAsia="宋体"/>
                <w:b w:val="0"/>
                <w:sz w:val="17"/>
              </w:rPr>
              <w:t>103823</w:t>
            </w:r>
          </w:p>
        </w:tc>
        <w:tc>
          <w:tcPr>
            <w:tcW w:type="dxa" w:w="1465"/>
            <w:vAlign w:val="center"/>
          </w:tcPr>
          <w:p>
            <w:pPr>
              <w:spacing w:line="240" w:lineRule="auto"/>
              <w:jc w:val="center"/>
            </w:pPr>
            <w:r>
              <w:rPr>
                <w:rFonts w:ascii="Times New Roman" w:hAnsi="Times New Roman" w:eastAsia="宋体"/>
                <w:b w:val="0"/>
                <w:sz w:val="17"/>
              </w:rPr>
              <w:t>6.3771</w:t>
            </w:r>
          </w:p>
        </w:tc>
        <w:tc>
          <w:tcPr>
            <w:tcW w:type="dxa" w:w="1465"/>
            <w:vAlign w:val="center"/>
          </w:tcPr>
          <w:p>
            <w:pPr>
              <w:spacing w:line="240" w:lineRule="auto"/>
              <w:jc w:val="center"/>
            </w:pPr>
            <w:r>
              <w:rPr>
                <w:rFonts w:ascii="Times New Roman" w:hAnsi="Times New Roman" w:eastAsia="宋体"/>
                <w:b w:val="0"/>
                <w:sz w:val="17"/>
              </w:rPr>
              <w:t>0.655096</w:t>
            </w:r>
          </w:p>
        </w:tc>
        <w:tc>
          <w:tcPr>
            <w:tcW w:type="dxa" w:w="1465"/>
            <w:vAlign w:val="center"/>
          </w:tcPr>
          <w:p>
            <w:pPr>
              <w:spacing w:line="240" w:lineRule="auto"/>
              <w:jc w:val="center"/>
            </w:pPr>
            <w:r>
              <w:rPr>
                <w:rFonts w:ascii="Times New Roman" w:hAnsi="Times New Roman" w:eastAsia="宋体"/>
                <w:b w:val="0"/>
                <w:sz w:val="17"/>
              </w:rPr>
              <w:t>470.667</w:t>
            </w:r>
          </w:p>
        </w:tc>
        <w:tc>
          <w:tcPr>
            <w:tcW w:type="dxa" w:w="1465"/>
            <w:vAlign w:val="center"/>
          </w:tcPr>
          <w:p>
            <w:pPr>
              <w:spacing w:line="240" w:lineRule="auto"/>
              <w:jc w:val="center"/>
            </w:pPr>
            <w:r>
              <w:rPr>
                <w:rFonts w:ascii="Times New Roman" w:hAnsi="Times New Roman" w:eastAsia="宋体"/>
                <w:b w:val="0"/>
                <w:sz w:val="17"/>
              </w:rPr>
              <w:t>73.806</w:t>
            </w:r>
          </w:p>
        </w:tc>
      </w:tr>
    </w:tbl>
    <w:p/>
    <w:p>
      <w:pPr>
        <w:spacing w:line="360" w:lineRule="auto" w:after="0"/>
        <w:ind w:firstLine="420"/>
      </w:pPr>
      <w:r>
        <w:rPr>
          <w:rFonts w:ascii="Times New Roman" w:hAnsi="Times New Roman" w:eastAsia="宋体"/>
          <w:sz w:val="24"/>
        </w:rPr>
        <w:t>非结构化单元数据路径包含单元场提升和单元中心梯度计算。与非结构化点数据相比，该组实验的 GPU 时间较低，主要与当前实现中单元中心计算路径和测试数据规模有关。随着采样数增加，GPU 时间和系统总时间均呈上升趋势，符合非结构化网格局部访问复杂度较高的特点。整体来看，四组时间实验均表明 OpenGL 并行实现能够降低本文测试数据上的梯度计算耗时。</w:t>
      </w:r>
    </w:p>
    <w:p>
      <w:pPr>
        <w:pStyle w:val="2"/>
        <w:spacing w:line="360" w:lineRule="auto" w:before="120" w:after="120"/>
        <w:jc w:val="left"/>
      </w:pPr>
      <w:r>
        <w:rPr>
          <w:rFonts w:ascii="Times New Roman" w:hAnsi="Times New Roman" w:eastAsia="黑体"/>
          <w:b/>
          <w:sz w:val="28"/>
        </w:rPr>
        <w:t>5.6 数据优化实验</w:t>
      </w:r>
    </w:p>
    <w:p>
      <w:pPr>
        <w:spacing w:line="360" w:lineRule="auto" w:after="0"/>
        <w:ind w:firstLine="420"/>
      </w:pPr>
      <w:r>
        <w:rPr>
          <w:rFonts w:ascii="Times New Roman" w:hAnsi="Times New Roman" w:eastAsia="宋体"/>
          <w:sz w:val="24"/>
        </w:rPr>
        <w:t xml:space="preserve">数据优化实验用于验证系统对高斯随机扰动的抑制效果。实验在 </w:t>
      </w:r>
      <w:r>
        <w:rPr>
          <w:rFonts w:ascii="Consolas" w:hAnsi="Consolas" w:eastAsia="Consolas"/>
          <w:sz w:val="24"/>
        </w:rPr>
        <w:t>ShipHull_0</w:t>
      </w:r>
      <w:r>
        <w:rPr>
          <w:rFonts w:ascii="Times New Roman" w:hAnsi="Times New Roman" w:eastAsia="宋体"/>
          <w:sz w:val="24"/>
        </w:rPr>
        <w:t xml:space="preserve"> 数据集上构造无扰动参考场，叠加高斯扰动后运行图双边滤波和多尺度融合模块，并比较优化前后相对参考场的平均相对误差。点数据和单元数据分别使用对应的空间位置和邻域图。表中样本数表示参与统计的高斯扰动样本数量。</w:t>
      </w:r>
    </w:p>
    <w:p>
      <w:pPr>
        <w:pStyle w:val="3"/>
        <w:spacing w:line="360" w:lineRule="auto" w:before="120" w:after="120"/>
        <w:jc w:val="left"/>
      </w:pPr>
      <w:r>
        <w:rPr>
          <w:rFonts w:ascii="Times New Roman" w:hAnsi="Times New Roman" w:eastAsia="黑体"/>
          <w:b/>
          <w:sz w:val="24"/>
        </w:rPr>
        <w:t>5.6.1 点数据优化结果</w:t>
      </w:r>
    </w:p>
    <w:tbl>
      <w:tblPr>
        <w:tblStyle w:val="a6"/>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tcPr>
          <w:p>
            <w:pPr>
              <w:spacing w:line="240" w:lineRule="auto"/>
              <w:jc w:val="center"/>
            </w:pPr>
            <w:r>
              <w:rPr>
                <w:rFonts w:ascii="Times New Roman" w:hAnsi="Times New Roman" w:eastAsia="宋体"/>
                <w:b/>
                <w:sz w:val="21"/>
              </w:rPr>
              <w:t>扰动类型</w:t>
            </w:r>
          </w:p>
        </w:tc>
        <w:tc>
          <w:tcPr>
            <w:tcW w:type="dxa" w:w="1758"/>
            <w:vAlign w:val="center"/>
          </w:tcPr>
          <w:p>
            <w:pPr>
              <w:spacing w:line="240" w:lineRule="auto"/>
              <w:jc w:val="center"/>
            </w:pPr>
            <w:r>
              <w:rPr>
                <w:rFonts w:ascii="Times New Roman" w:hAnsi="Times New Roman" w:eastAsia="宋体"/>
                <w:b/>
                <w:sz w:val="21"/>
              </w:rPr>
              <w:t>样本数</w:t>
            </w:r>
          </w:p>
        </w:tc>
        <w:tc>
          <w:tcPr>
            <w:tcW w:type="dxa" w:w="1758"/>
            <w:vAlign w:val="center"/>
          </w:tcPr>
          <w:p>
            <w:pPr>
              <w:spacing w:line="240" w:lineRule="auto"/>
              <w:jc w:val="center"/>
            </w:pPr>
            <w:r>
              <w:rPr>
                <w:rFonts w:ascii="Times New Roman" w:hAnsi="Times New Roman" w:eastAsia="宋体"/>
                <w:b/>
                <w:sz w:val="21"/>
              </w:rPr>
              <w:t>输入平均 NMAE</w:t>
            </w:r>
          </w:p>
        </w:tc>
        <w:tc>
          <w:tcPr>
            <w:tcW w:type="dxa" w:w="1758"/>
            <w:vAlign w:val="center"/>
          </w:tcPr>
          <w:p>
            <w:pPr>
              <w:spacing w:line="240" w:lineRule="auto"/>
              <w:jc w:val="center"/>
            </w:pPr>
            <w:r>
              <w:rPr>
                <w:rFonts w:ascii="Times New Roman" w:hAnsi="Times New Roman" w:eastAsia="宋体"/>
                <w:b/>
                <w:sz w:val="21"/>
              </w:rPr>
              <w:t>优化后平均 NMAE</w:t>
            </w:r>
          </w:p>
        </w:tc>
        <w:tc>
          <w:tcPr>
            <w:tcW w:type="dxa" w:w="1758"/>
            <w:vAlign w:val="center"/>
          </w:tcPr>
          <w:p>
            <w:pPr>
              <w:spacing w:line="240" w:lineRule="auto"/>
              <w:jc w:val="center"/>
            </w:pPr>
            <w:r>
              <w:rPr>
                <w:rFonts w:ascii="Times New Roman" w:hAnsi="Times New Roman" w:eastAsia="宋体"/>
                <w:b/>
                <w:sz w:val="21"/>
              </w:rPr>
              <w:t>平均改进比</w:t>
            </w:r>
          </w:p>
        </w:tc>
      </w:tr>
      <w:tr>
        <w:tc>
          <w:tcPr>
            <w:tcW w:type="dxa" w:w="1758"/>
            <w:vAlign w:val="center"/>
          </w:tcPr>
          <w:p>
            <w:pPr>
              <w:spacing w:line="240" w:lineRule="auto"/>
              <w:jc w:val="center"/>
            </w:pPr>
            <w:r>
              <w:rPr>
                <w:rFonts w:ascii="Times New Roman" w:hAnsi="Times New Roman" w:eastAsia="宋体"/>
                <w:b w:val="0"/>
                <w:sz w:val="21"/>
              </w:rPr>
              <w:t>gaussian</w:t>
            </w:r>
          </w:p>
        </w:tc>
        <w:tc>
          <w:tcPr>
            <w:tcW w:type="dxa" w:w="1758"/>
            <w:vAlign w:val="center"/>
          </w:tcPr>
          <w:p>
            <w:pPr>
              <w:spacing w:line="240" w:lineRule="auto"/>
              <w:jc w:val="center"/>
            </w:pPr>
            <w:r>
              <w:rPr>
                <w:rFonts w:ascii="Times New Roman" w:hAnsi="Times New Roman" w:eastAsia="宋体"/>
                <w:b w:val="0"/>
                <w:sz w:val="21"/>
              </w:rPr>
              <w:t>4</w:t>
            </w:r>
          </w:p>
        </w:tc>
        <w:tc>
          <w:tcPr>
            <w:tcW w:type="dxa" w:w="1758"/>
            <w:vAlign w:val="center"/>
          </w:tcPr>
          <w:p>
            <w:pPr>
              <w:spacing w:line="240" w:lineRule="auto"/>
              <w:jc w:val="center"/>
            </w:pPr>
            <w:r>
              <w:rPr>
                <w:rFonts w:ascii="Times New Roman" w:hAnsi="Times New Roman" w:eastAsia="宋体"/>
                <w:b w:val="0"/>
                <w:sz w:val="21"/>
              </w:rPr>
              <w:t>0.27032675</w:t>
            </w:r>
          </w:p>
        </w:tc>
        <w:tc>
          <w:tcPr>
            <w:tcW w:type="dxa" w:w="1758"/>
            <w:vAlign w:val="center"/>
          </w:tcPr>
          <w:p>
            <w:pPr>
              <w:spacing w:line="240" w:lineRule="auto"/>
              <w:jc w:val="center"/>
            </w:pPr>
            <w:r>
              <w:rPr>
                <w:rFonts w:ascii="Times New Roman" w:hAnsi="Times New Roman" w:eastAsia="宋体"/>
                <w:b w:val="0"/>
                <w:sz w:val="21"/>
              </w:rPr>
              <w:t>0.14413250</w:t>
            </w:r>
          </w:p>
        </w:tc>
        <w:tc>
          <w:tcPr>
            <w:tcW w:type="dxa" w:w="1758"/>
            <w:vAlign w:val="center"/>
          </w:tcPr>
          <w:p>
            <w:pPr>
              <w:spacing w:line="240" w:lineRule="auto"/>
              <w:jc w:val="center"/>
            </w:pPr>
            <w:r>
              <w:rPr>
                <w:rFonts w:ascii="Times New Roman" w:hAnsi="Times New Roman" w:eastAsia="宋体"/>
                <w:b w:val="0"/>
                <w:sz w:val="21"/>
              </w:rPr>
              <w:t>0.533836</w:t>
            </w:r>
          </w:p>
        </w:tc>
      </w:tr>
    </w:tbl>
    <w:p/>
    <w:p>
      <w:pPr>
        <w:spacing w:line="360" w:lineRule="auto" w:after="0"/>
        <w:ind w:firstLine="420"/>
      </w:pPr>
      <w:r>
        <w:rPr>
          <w:rFonts w:ascii="Times New Roman" w:hAnsi="Times New Roman" w:eastAsia="宋体"/>
          <w:sz w:val="24"/>
        </w:rPr>
        <w:t>点数据结果表明，高斯扰动输入经过数据优化后，平均相对误差由 0.27032675 降至 0.14413250，平均改进比为 0.533836，说明优化后误差明显下降。该结果说明，在点邻域图上执行的双边滤波和多尺度融合能够降低局部随机扰动对字段值的影响。</w:t>
      </w:r>
    </w:p>
    <w:p>
      <w:pPr>
        <w:pStyle w:val="3"/>
        <w:spacing w:line="360" w:lineRule="auto" w:before="120" w:after="120"/>
        <w:jc w:val="left"/>
      </w:pPr>
      <w:r>
        <w:rPr>
          <w:rFonts w:ascii="Times New Roman" w:hAnsi="Times New Roman" w:eastAsia="黑体"/>
          <w:b/>
          <w:sz w:val="24"/>
        </w:rPr>
        <w:t>5.6.2 单元数据优化结果</w:t>
      </w:r>
    </w:p>
    <w:tbl>
      <w:tblPr>
        <w:tblStyle w:val="a6"/>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tcPr>
          <w:p>
            <w:pPr>
              <w:spacing w:line="240" w:lineRule="auto"/>
              <w:jc w:val="center"/>
            </w:pPr>
            <w:r>
              <w:rPr>
                <w:rFonts w:ascii="Times New Roman" w:hAnsi="Times New Roman" w:eastAsia="宋体"/>
                <w:b/>
                <w:sz w:val="21"/>
              </w:rPr>
              <w:t>扰动类型</w:t>
            </w:r>
          </w:p>
        </w:tc>
        <w:tc>
          <w:tcPr>
            <w:tcW w:type="dxa" w:w="1758"/>
            <w:vAlign w:val="center"/>
          </w:tcPr>
          <w:p>
            <w:pPr>
              <w:spacing w:line="240" w:lineRule="auto"/>
              <w:jc w:val="center"/>
            </w:pPr>
            <w:r>
              <w:rPr>
                <w:rFonts w:ascii="Times New Roman" w:hAnsi="Times New Roman" w:eastAsia="宋体"/>
                <w:b/>
                <w:sz w:val="21"/>
              </w:rPr>
              <w:t>样本数</w:t>
            </w:r>
          </w:p>
        </w:tc>
        <w:tc>
          <w:tcPr>
            <w:tcW w:type="dxa" w:w="1758"/>
            <w:vAlign w:val="center"/>
          </w:tcPr>
          <w:p>
            <w:pPr>
              <w:spacing w:line="240" w:lineRule="auto"/>
              <w:jc w:val="center"/>
            </w:pPr>
            <w:r>
              <w:rPr>
                <w:rFonts w:ascii="Times New Roman" w:hAnsi="Times New Roman" w:eastAsia="宋体"/>
                <w:b/>
                <w:sz w:val="21"/>
              </w:rPr>
              <w:t>输入平均 NMAE</w:t>
            </w:r>
          </w:p>
        </w:tc>
        <w:tc>
          <w:tcPr>
            <w:tcW w:type="dxa" w:w="1758"/>
            <w:vAlign w:val="center"/>
          </w:tcPr>
          <w:p>
            <w:pPr>
              <w:spacing w:line="240" w:lineRule="auto"/>
              <w:jc w:val="center"/>
            </w:pPr>
            <w:r>
              <w:rPr>
                <w:rFonts w:ascii="Times New Roman" w:hAnsi="Times New Roman" w:eastAsia="宋体"/>
                <w:b/>
                <w:sz w:val="21"/>
              </w:rPr>
              <w:t>优化后平均 NMAE</w:t>
            </w:r>
          </w:p>
        </w:tc>
        <w:tc>
          <w:tcPr>
            <w:tcW w:type="dxa" w:w="1758"/>
            <w:vAlign w:val="center"/>
          </w:tcPr>
          <w:p>
            <w:pPr>
              <w:spacing w:line="240" w:lineRule="auto"/>
              <w:jc w:val="center"/>
            </w:pPr>
            <w:r>
              <w:rPr>
                <w:rFonts w:ascii="Times New Roman" w:hAnsi="Times New Roman" w:eastAsia="宋体"/>
                <w:b/>
                <w:sz w:val="21"/>
              </w:rPr>
              <w:t>平均改进比</w:t>
            </w:r>
          </w:p>
        </w:tc>
      </w:tr>
      <w:tr>
        <w:tc>
          <w:tcPr>
            <w:tcW w:type="dxa" w:w="1758"/>
            <w:vAlign w:val="center"/>
          </w:tcPr>
          <w:p>
            <w:pPr>
              <w:spacing w:line="240" w:lineRule="auto"/>
              <w:jc w:val="center"/>
            </w:pPr>
            <w:r>
              <w:rPr>
                <w:rFonts w:ascii="Times New Roman" w:hAnsi="Times New Roman" w:eastAsia="宋体"/>
                <w:b w:val="0"/>
                <w:sz w:val="21"/>
              </w:rPr>
              <w:t>gaussian</w:t>
            </w:r>
          </w:p>
        </w:tc>
        <w:tc>
          <w:tcPr>
            <w:tcW w:type="dxa" w:w="1758"/>
            <w:vAlign w:val="center"/>
          </w:tcPr>
          <w:p>
            <w:pPr>
              <w:spacing w:line="240" w:lineRule="auto"/>
              <w:jc w:val="center"/>
            </w:pPr>
            <w:r>
              <w:rPr>
                <w:rFonts w:ascii="Times New Roman" w:hAnsi="Times New Roman" w:eastAsia="宋体"/>
                <w:b w:val="0"/>
                <w:sz w:val="21"/>
              </w:rPr>
              <w:t>4</w:t>
            </w:r>
          </w:p>
        </w:tc>
        <w:tc>
          <w:tcPr>
            <w:tcW w:type="dxa" w:w="1758"/>
            <w:vAlign w:val="center"/>
          </w:tcPr>
          <w:p>
            <w:pPr>
              <w:spacing w:line="240" w:lineRule="auto"/>
              <w:jc w:val="center"/>
            </w:pPr>
            <w:r>
              <w:rPr>
                <w:rFonts w:ascii="Times New Roman" w:hAnsi="Times New Roman" w:eastAsia="宋体"/>
                <w:b w:val="0"/>
                <w:sz w:val="21"/>
              </w:rPr>
              <w:t>0.27004475</w:t>
            </w:r>
          </w:p>
        </w:tc>
        <w:tc>
          <w:tcPr>
            <w:tcW w:type="dxa" w:w="1758"/>
            <w:vAlign w:val="center"/>
          </w:tcPr>
          <w:p>
            <w:pPr>
              <w:spacing w:line="240" w:lineRule="auto"/>
              <w:jc w:val="center"/>
            </w:pPr>
            <w:r>
              <w:rPr>
                <w:rFonts w:ascii="Times New Roman" w:hAnsi="Times New Roman" w:eastAsia="宋体"/>
                <w:b w:val="0"/>
                <w:sz w:val="21"/>
              </w:rPr>
              <w:t>0.11083258</w:t>
            </w:r>
          </w:p>
        </w:tc>
        <w:tc>
          <w:tcPr>
            <w:tcW w:type="dxa" w:w="1758"/>
            <w:vAlign w:val="center"/>
          </w:tcPr>
          <w:p>
            <w:pPr>
              <w:spacing w:line="240" w:lineRule="auto"/>
              <w:jc w:val="center"/>
            </w:pPr>
            <w:r>
              <w:rPr>
                <w:rFonts w:ascii="Times New Roman" w:hAnsi="Times New Roman" w:eastAsia="宋体"/>
                <w:b w:val="0"/>
                <w:sz w:val="21"/>
              </w:rPr>
              <w:t>0.410607</w:t>
            </w:r>
          </w:p>
        </w:tc>
      </w:tr>
    </w:tbl>
    <w:p/>
    <w:p>
      <w:pPr>
        <w:spacing w:line="360" w:lineRule="auto" w:after="0"/>
        <w:ind w:firstLine="420"/>
      </w:pPr>
      <w:r>
        <w:rPr>
          <w:rFonts w:ascii="Times New Roman" w:hAnsi="Times New Roman" w:eastAsia="宋体"/>
          <w:sz w:val="24"/>
        </w:rPr>
        <w:t>单元数据结果表明，高斯扰动输入经过数据优化后，平均相对误差由 0.27004475 降至 0.11083258，平均改进比为 0.410607。该结果说明，在当前数据集和参数设置下，单元邻域滤波能够有效抑制高斯随机扰动。与点数据相比，单元数据在本组实验中的平均改进比更低，即误差下降幅度更大，表明当前单元邻域构建方式对该数据集上的高斯扰动具有较好的平滑效果。</w:t>
      </w:r>
    </w:p>
    <w:p>
      <w:pPr>
        <w:pStyle w:val="3"/>
        <w:spacing w:line="360" w:lineRule="auto" w:before="120" w:after="120"/>
        <w:jc w:val="left"/>
      </w:pPr>
      <w:r>
        <w:rPr>
          <w:rFonts w:ascii="Times New Roman" w:hAnsi="Times New Roman" w:eastAsia="黑体"/>
          <w:b/>
          <w:sz w:val="24"/>
        </w:rPr>
        <w:t>5.6.3 数据优化实验分析</w:t>
      </w:r>
    </w:p>
    <w:p>
      <w:pPr>
        <w:spacing w:line="360" w:lineRule="auto" w:after="0"/>
        <w:ind w:firstLine="420"/>
      </w:pPr>
      <w:r>
        <w:rPr>
          <w:rFonts w:ascii="Times New Roman" w:hAnsi="Times New Roman" w:eastAsia="宋体"/>
          <w:sz w:val="24"/>
        </w:rPr>
        <w:t>点数据和单元数据的改进比均小于 1，说明数据优化模块对高斯随机扰动具有抑制效果。高斯扰动属于局部随机高频波动的一种代表形式，适合用于检验保边平滑和多尺度融合对随机数值波动的处理能力。该实验验证当前参数下的高斯扰动场景；对于其他扰动类型，仍需要结合字段特征和参数设置进行单独验证。</w:t>
      </w:r>
    </w:p>
    <w:p>
      <w:pPr>
        <w:pStyle w:val="2"/>
        <w:spacing w:line="360" w:lineRule="auto" w:before="120" w:after="120"/>
        <w:jc w:val="left"/>
      </w:pPr>
      <w:r>
        <w:rPr>
          <w:rFonts w:ascii="Times New Roman" w:hAnsi="Times New Roman" w:eastAsia="黑体"/>
          <w:b/>
          <w:sz w:val="28"/>
        </w:rPr>
        <w:t>5.7 本章小结</w:t>
      </w:r>
    </w:p>
    <w:p>
      <w:pPr>
        <w:spacing w:line="360" w:lineRule="auto" w:after="0"/>
        <w:ind w:firstLine="420"/>
      </w:pPr>
      <w:r>
        <w:rPr>
          <w:rFonts w:ascii="Times New Roman" w:hAnsi="Times New Roman" w:eastAsia="宋体"/>
          <w:sz w:val="24"/>
        </w:rPr>
        <w:t xml:space="preserve">本章对系统核心算法进行了实验验证。解析场实验表明，点数据梯度计算能够在结构化网格、非结构化体网格和非结构化曲面网格上得到较低误差，单元数据实验进一步说明了单元场恢复和评价方式对结果的影响。VTK 一致性实验表明，系统在真实字段上能够输出与 </w:t>
      </w:r>
      <w:r>
        <w:rPr>
          <w:rFonts w:ascii="Consolas" w:hAnsi="Consolas" w:eastAsia="Consolas"/>
          <w:sz w:val="24"/>
        </w:rPr>
        <w:t>vtkGradientFilter</w:t>
      </w:r>
      <w:r>
        <w:rPr>
          <w:rFonts w:ascii="Times New Roman" w:hAnsi="Times New Roman" w:eastAsia="宋体"/>
          <w:sz w:val="24"/>
        </w:rPr>
        <w:t xml:space="preserve"> 接近的梯度结果，说明本文实现能够与常用后处理工具保持较好的工程一致性。时间实验表明，在本文测试数据和运行环境下，OpenGL 并行实现相对于 VTK 参考流程具有较低的计算耗时，其中结构化网格路径主要受数据传输和写回开销影响，非结构化路径还受到拓扑访问和局部几何恢复影响。数据优化实验表明，图双边滤波与多尺度融合能够降低高斯随机扰动带来的误差。</w:t>
      </w:r>
    </w:p>
    <w:p>
      <w:pPr>
        <w:spacing w:line="360" w:lineRule="auto" w:after="0"/>
        <w:ind w:firstLine="420"/>
      </w:pPr>
      <w:r>
        <w:rPr>
          <w:rFonts w:ascii="Times New Roman" w:hAnsi="Times New Roman" w:eastAsia="宋体"/>
          <w:sz w:val="24"/>
        </w:rPr>
        <w:t>上述结论基于本文选取的数据集、当前实验环境和固定参数设置。对于其他硬件平台、其他数据类型或其他扰动模型，仍需结合具体任务重新验证。</w:t>
      </w:r>
    </w:p>
    <w:p>
      <w:pPr>
        <w:pStyle w:val="2"/>
        <w:spacing w:line="360" w:lineRule="auto" w:before="120" w:after="120"/>
        <w:jc w:val="left"/>
      </w:pPr>
      <w:r>
        <w:rPr>
          <w:rFonts w:ascii="Times New Roman" w:hAnsi="Times New Roman" w:eastAsia="黑体"/>
          <w:b/>
          <w:sz w:val="28"/>
        </w:rPr>
        <w:t>5.8 本章参考文献</w:t>
      </w:r>
    </w:p>
    <w:p>
      <w:pPr>
        <w:spacing w:line="360" w:lineRule="auto" w:after="0"/>
        <w:ind w:firstLine="420"/>
      </w:pPr>
      <w:r>
        <w:rPr>
          <w:rFonts w:ascii="Times New Roman" w:hAnsi="Times New Roman" w:eastAsia="宋体"/>
          <w:sz w:val="24"/>
        </w:rPr>
        <w:t>本章引用文献：[14]、[15]、[19]。</w:t>
      </w:r>
    </w:p>
    <w:p>
      <w:r>
        <w:br w:type="page"/>
      </w:r>
    </w:p>
    <w:p>
      <w:pPr>
        <w:pStyle w:val="1"/>
        <w:spacing w:line="360" w:lineRule="auto" w:before="240" w:after="120"/>
        <w:jc w:val="center"/>
      </w:pPr>
      <w:r>
        <w:rPr>
          <w:rFonts w:ascii="Times New Roman" w:hAnsi="Times New Roman" w:eastAsia="黑体"/>
          <w:b/>
          <w:sz w:val="32"/>
        </w:rPr>
        <w:t>第六章 结论与展望</w:t>
      </w:r>
    </w:p>
    <w:p>
      <w:pPr>
        <w:pStyle w:val="2"/>
        <w:spacing w:line="360" w:lineRule="auto" w:before="120" w:after="120"/>
        <w:jc w:val="left"/>
      </w:pPr>
      <w:r>
        <w:rPr>
          <w:rFonts w:ascii="Times New Roman" w:hAnsi="Times New Roman" w:eastAsia="黑体"/>
          <w:b/>
          <w:sz w:val="28"/>
        </w:rPr>
        <w:t>6.1 工作总结</w:t>
      </w:r>
    </w:p>
    <w:p>
      <w:pPr>
        <w:spacing w:line="360" w:lineRule="auto" w:after="0"/>
        <w:ind w:firstLine="420"/>
      </w:pPr>
      <w:r>
        <w:rPr>
          <w:rFonts w:ascii="Times New Roman" w:hAnsi="Times New Roman" w:eastAsia="宋体"/>
          <w:sz w:val="24"/>
        </w:rPr>
        <w:t>本文面向 CAE 后处理阶段的数据预处理任务，设计并实现了一套基于 OpenGL 的原型系统。系统以 VTK 数据文件为输入，将外部网格、字段和拓扑信息转换为统一内部数据对象，并在此基础上完成梯度计算、数据优化、结果写回和 VTK 文件导出。该流程覆盖了从数据读取到结果观察的主要环节，为后续实验验证提供了统一的数据和计算基础。</w:t>
      </w:r>
    </w:p>
    <w:p>
      <w:pPr>
        <w:spacing w:line="360" w:lineRule="auto" w:after="0"/>
        <w:ind w:firstLine="420"/>
      </w:pPr>
      <w:r>
        <w:rPr>
          <w:rFonts w:ascii="Times New Roman" w:hAnsi="Times New Roman" w:eastAsia="宋体"/>
          <w:sz w:val="24"/>
        </w:rPr>
        <w:t xml:space="preserve">在系统设计方面，本文将系统划分为数据准备模块、梯度计算模块、数据优化模块和 OpenGL 计算管理模块。数据准备模块负责读取 VTK 数据并构造内部 </w:t>
      </w:r>
      <w:r>
        <w:rPr>
          <w:rFonts w:ascii="Consolas" w:hAnsi="Consolas" w:eastAsia="Consolas"/>
          <w:sz w:val="24"/>
        </w:rPr>
        <w:t>DataObject</w:t>
      </w:r>
      <w:r>
        <w:rPr>
          <w:rFonts w:ascii="Times New Roman" w:hAnsi="Times New Roman" w:eastAsia="宋体"/>
          <w:sz w:val="24"/>
        </w:rPr>
        <w:t>；梯度计算模块根据网格类型和字段关联方式选择有限差分路径或形函数导数路径；数据优化模块基于图邻域执行双边滤波和多尺度融合；OpenGL 计算管理模块负责上下文、计算着色器、SSBO 和 GPU 计时。通过这种划分，系统能够在统一数据结构上组织不同算法，并保持结果写回和导出过程中的字段语义一致。</w:t>
      </w:r>
    </w:p>
    <w:p>
      <w:pPr>
        <w:spacing w:line="360" w:lineRule="auto" w:after="0"/>
        <w:ind w:firstLine="420"/>
      </w:pPr>
      <w:r>
        <w:rPr>
          <w:rFonts w:ascii="Times New Roman" w:hAnsi="Times New Roman" w:eastAsia="宋体"/>
          <w:sz w:val="24"/>
        </w:rPr>
        <w:t>在梯度计算方面，本文分别处理结构化网格和非结构化网格。结构化网格路径利用逻辑索引访问相邻样本，在逻辑空间中进行有限差分，并通过 Jacobian 关系恢复物理空间梯度。非结构化网格路径以单元连接、单元类型和形函数导数为基础，在局部几何映射中恢复梯度。对于点数据，系统直接利用节点字段和点-单元关系计算梯度；对于单元数据，系统通过单元场提升或单元中心差分等方式获得可计算的中间表示，再输出单元关联的梯度结果。</w:t>
      </w:r>
    </w:p>
    <w:p>
      <w:pPr>
        <w:spacing w:line="360" w:lineRule="auto" w:after="0"/>
        <w:ind w:firstLine="420"/>
      </w:pPr>
      <w:r>
        <w:rPr>
          <w:rFonts w:ascii="Times New Roman" w:hAnsi="Times New Roman" w:eastAsia="宋体"/>
          <w:sz w:val="24"/>
        </w:rPr>
        <w:t>在数据优化方面，本文将目标限定为对局部随机高频数值扰动的抑制。系统分别针对点数据和单元数据构建邻域图，通过图双边滤波控制空间邻近性和字段相似性，并通过多尺度融合调节平滑结果和细节保留程度。该模块与梯度计算共享内部数据结构和 GPU 执行框架，但输出仍保持原字段的关联方式。</w:t>
      </w:r>
    </w:p>
    <w:p>
      <w:pPr>
        <w:spacing w:line="360" w:lineRule="auto" w:after="0"/>
        <w:ind w:firstLine="420"/>
      </w:pPr>
      <w:r>
        <w:rPr>
          <w:rFonts w:ascii="Times New Roman" w:hAnsi="Times New Roman" w:eastAsia="宋体"/>
          <w:sz w:val="24"/>
        </w:rPr>
        <w:t>在实验验证方面，本文分别进行了解析场验证、与 VTK 结果一致性对比、与 VTK 的时间性能对比和数据优化实验。解析场实验用于检验梯度计算的数值正确性；VTK 一致性对比用于检验真实字段场景下的工程输出一致性；时间实验用于评价当前 OpenGL 实现的运行效率；数据优化实验用于验证系统对高斯随机扰动的抑制效果。</w:t>
      </w:r>
    </w:p>
    <w:p>
      <w:pPr>
        <w:pStyle w:val="2"/>
        <w:spacing w:line="360" w:lineRule="auto" w:before="120" w:after="120"/>
        <w:jc w:val="left"/>
      </w:pPr>
      <w:r>
        <w:rPr>
          <w:rFonts w:ascii="Times New Roman" w:hAnsi="Times New Roman" w:eastAsia="黑体"/>
          <w:b/>
          <w:sz w:val="28"/>
        </w:rPr>
        <w:t>6.2 主要结论</w:t>
      </w:r>
    </w:p>
    <w:p>
      <w:pPr>
        <w:spacing w:line="360" w:lineRule="auto" w:after="0"/>
        <w:ind w:firstLine="420"/>
      </w:pPr>
      <w:r>
        <w:rPr>
          <w:rFonts w:ascii="Times New Roman" w:hAnsi="Times New Roman" w:eastAsia="宋体"/>
          <w:sz w:val="24"/>
        </w:rPr>
        <w:t>第一，本文实现了 CAE 后处理数据预处理的完整流程。系统能够读取 VTK 数据，提取点、单元、字段和邻域信息，转换为内部连续数组结构，并在 GPU 端执行核心计算。计算结果能够写回内部字段数组，并导出为 VTK 文件继续在 ParaView 等工具中观察。该流程说明本文系统具备数据输入、计算处理、结果保存和工程观察的闭环能力。</w:t>
      </w:r>
    </w:p>
    <w:p>
      <w:pPr>
        <w:spacing w:line="360" w:lineRule="auto" w:after="0"/>
        <w:ind w:firstLine="420"/>
      </w:pPr>
      <w:r>
        <w:rPr>
          <w:rFonts w:ascii="Times New Roman" w:hAnsi="Times New Roman" w:eastAsia="宋体"/>
          <w:sz w:val="24"/>
        </w:rPr>
        <w:t xml:space="preserve">第二，解析场实验表明，点数据梯度计算具有较好的数值正确性。在 </w:t>
      </w:r>
      <w:r>
        <w:rPr>
          <w:rFonts w:ascii="Consolas" w:hAnsi="Consolas" w:eastAsia="Consolas"/>
          <w:sz w:val="24"/>
        </w:rPr>
        <w:t>SampleStructGrid</w:t>
      </w:r>
      <w:r>
        <w:rPr>
          <w:rFonts w:ascii="Times New Roman" w:hAnsi="Times New Roman" w:eastAsia="宋体"/>
          <w:sz w:val="24"/>
        </w:rPr>
        <w:t>、</w:t>
      </w:r>
      <w:r>
        <w:rPr>
          <w:rFonts w:ascii="Consolas" w:hAnsi="Consolas" w:eastAsia="Consolas"/>
          <w:sz w:val="24"/>
        </w:rPr>
        <w:t>hexa</w:t>
      </w:r>
      <w:r>
        <w:rPr>
          <w:rFonts w:ascii="Times New Roman" w:hAnsi="Times New Roman" w:eastAsia="宋体"/>
          <w:sz w:val="24"/>
        </w:rPr>
        <w:t xml:space="preserve"> 和 </w:t>
      </w:r>
      <w:r>
        <w:rPr>
          <w:rFonts w:ascii="Consolas" w:hAnsi="Consolas" w:eastAsia="Consolas"/>
          <w:sz w:val="24"/>
        </w:rPr>
        <w:t>1_0</w:t>
      </w:r>
      <w:r>
        <w:rPr>
          <w:rFonts w:ascii="Times New Roman" w:hAnsi="Times New Roman" w:eastAsia="宋体"/>
          <w:sz w:val="24"/>
        </w:rPr>
        <w:t xml:space="preserve"> 数据集上，线性标量场和线性向量场的平均相对误差均保持在 </w:t>
      </w:r>
      <m:oMath>
        <m:sSup>
          <m:e>
            <m:r>
              <m:t>10</m:t>
            </m:r>
          </m:e>
          <m:sup>
            <m:r>
              <m:t>−</m:t>
            </m:r>
            <m:r>
              <m:t>7</m:t>
            </m:r>
          </m:sup>
        </m:sSup>
      </m:oMath>
      <w:r>
        <w:rPr>
          <w:rFonts w:ascii="Times New Roman" w:hAnsi="Times New Roman" w:eastAsia="宋体"/>
          <w:sz w:val="24"/>
        </w:rPr>
        <w:t xml:space="preserve"> 量级附近，说明结构化网格有限差分路径和非结构化网格形函数导数路径能够正确恢复线性场梯度。单元数据解析场结果显示，结构化网格单元数据误差同样达到 </w:t>
      </w:r>
      <m:oMath>
        <m:sSup>
          <m:e>
            <m:r>
              <m:t>10</m:t>
            </m:r>
          </m:e>
          <m:sup>
            <m:r>
              <m:t>−</m:t>
            </m:r>
            <m:r>
              <m:t>7</m:t>
            </m:r>
          </m:sup>
        </m:sSup>
      </m:oMath>
      <w:r>
        <w:rPr>
          <w:rFonts w:ascii="Times New Roman" w:hAnsi="Times New Roman" w:eastAsia="宋体"/>
          <w:sz w:val="24"/>
        </w:rPr>
        <w:t xml:space="preserve"> 量级；非结构化体单元和曲面单元误差高于点数据，主要与单元场提升、单元中心评价和曲面场评价方式有关。</w:t>
      </w:r>
    </w:p>
    <w:p>
      <w:pPr>
        <w:spacing w:line="360" w:lineRule="auto" w:after="0"/>
        <w:ind w:firstLine="420"/>
      </w:pPr>
      <w:r>
        <w:rPr>
          <w:rFonts w:ascii="Times New Roman" w:hAnsi="Times New Roman" w:eastAsia="宋体"/>
          <w:sz w:val="24"/>
        </w:rPr>
        <w:t xml:space="preserve">第三，与 VTK 结果一致性对比表明，系统在真实字段上能够得到与 </w:t>
      </w:r>
      <w:r>
        <w:rPr>
          <w:rFonts w:ascii="Consolas" w:hAnsi="Consolas" w:eastAsia="Consolas"/>
          <w:sz w:val="24"/>
        </w:rPr>
        <w:t>vtkGradientFilter</w:t>
      </w:r>
      <w:r>
        <w:rPr>
          <w:rFonts w:ascii="Times New Roman" w:hAnsi="Times New Roman" w:eastAsia="宋体"/>
          <w:sz w:val="24"/>
        </w:rPr>
        <w:t xml:space="preserve"> 接近的梯度结果。点数据对比中，</w:t>
      </w:r>
      <w:r>
        <w:rPr>
          <w:rFonts w:ascii="Consolas" w:hAnsi="Consolas" w:eastAsia="Consolas"/>
          <w:sz w:val="24"/>
        </w:rPr>
        <w:t>SampleStructGrid</w:t>
      </w:r>
      <w:r>
        <w:rPr>
          <w:rFonts w:ascii="Times New Roman" w:hAnsi="Times New Roman" w:eastAsia="宋体"/>
          <w:sz w:val="24"/>
        </w:rPr>
        <w:t>、</w:t>
      </w:r>
      <w:r>
        <w:rPr>
          <w:rFonts w:ascii="Consolas" w:hAnsi="Consolas" w:eastAsia="Consolas"/>
          <w:sz w:val="24"/>
        </w:rPr>
        <w:t>hexa</w:t>
      </w:r>
      <w:r>
        <w:rPr>
          <w:rFonts w:ascii="Times New Roman" w:hAnsi="Times New Roman" w:eastAsia="宋体"/>
          <w:sz w:val="24"/>
        </w:rPr>
        <w:t xml:space="preserve"> 和 </w:t>
      </w:r>
      <w:r>
        <w:rPr>
          <w:rFonts w:ascii="Consolas" w:hAnsi="Consolas" w:eastAsia="Consolas"/>
          <w:sz w:val="24"/>
        </w:rPr>
        <w:t>1_0</w:t>
      </w:r>
      <w:r>
        <w:rPr>
          <w:rFonts w:ascii="Times New Roman" w:hAnsi="Times New Roman" w:eastAsia="宋体"/>
          <w:sz w:val="24"/>
        </w:rPr>
        <w:t xml:space="preserve"> 的平均相对误差均处于较低数量级；单元数据对比中，</w:t>
      </w:r>
      <w:r>
        <w:rPr>
          <w:rFonts w:ascii="Consolas" w:hAnsi="Consolas" w:eastAsia="Consolas"/>
          <w:sz w:val="24"/>
        </w:rPr>
        <w:t>SampleStructGrid</w:t>
      </w:r>
      <w:r>
        <w:rPr>
          <w:rFonts w:ascii="Times New Roman" w:hAnsi="Times New Roman" w:eastAsia="宋体"/>
          <w:sz w:val="24"/>
        </w:rPr>
        <w:t>、</w:t>
      </w:r>
      <w:r>
        <w:rPr>
          <w:rFonts w:ascii="Consolas" w:hAnsi="Consolas" w:eastAsia="Consolas"/>
          <w:sz w:val="24"/>
        </w:rPr>
        <w:t>limb</w:t>
      </w:r>
      <w:r>
        <w:rPr>
          <w:rFonts w:ascii="Times New Roman" w:hAnsi="Times New Roman" w:eastAsia="宋体"/>
          <w:sz w:val="24"/>
        </w:rPr>
        <w:t xml:space="preserve"> 和 </w:t>
      </w:r>
      <w:r>
        <w:rPr>
          <w:rFonts w:ascii="Consolas" w:hAnsi="Consolas" w:eastAsia="Consolas"/>
          <w:sz w:val="24"/>
        </w:rPr>
        <w:t>1_0</w:t>
      </w:r>
      <w:r>
        <w:rPr>
          <w:rFonts w:ascii="Times New Roman" w:hAnsi="Times New Roman" w:eastAsia="宋体"/>
          <w:sz w:val="24"/>
        </w:rPr>
        <w:t xml:space="preserve"> 也保持了较好的工程一致性。该结果说明系统在字段关联方式、结果分量数和导出语义方面能够与 VTK 参考流程保持一致。</w:t>
      </w:r>
    </w:p>
    <w:p>
      <w:pPr>
        <w:spacing w:line="360" w:lineRule="auto" w:after="0"/>
        <w:ind w:firstLine="420"/>
      </w:pPr>
      <w:r>
        <w:rPr>
          <w:rFonts w:ascii="Times New Roman" w:hAnsi="Times New Roman" w:eastAsia="宋体"/>
          <w:sz w:val="24"/>
        </w:rPr>
        <w:t>第四，时间性能实验表明，在本文测试数据和运行环境下，OpenGL 并行实现能够降低梯度计算耗时。结构化网格点数据加速比约为 2.018 至 3.051，结构化网格单元数据加速比约为 146.620 至 845.027；非结构化点数据加速比约为 57.419 至 131.634，非结构化单元数据加速比约为 17.798 至 73.806。结构化网格路径主要受数据传输和结果写回开销影响，非结构化路径还受到单元连接访问、点-单元关系和局部几何恢复等因素影响。</w:t>
      </w:r>
    </w:p>
    <w:p>
      <w:pPr>
        <w:spacing w:line="360" w:lineRule="auto" w:after="0"/>
        <w:ind w:firstLine="420"/>
      </w:pPr>
      <w:r>
        <w:rPr>
          <w:rFonts w:ascii="Times New Roman" w:hAnsi="Times New Roman" w:eastAsia="宋体"/>
          <w:sz w:val="24"/>
        </w:rPr>
        <w:t xml:space="preserve">第五，数据优化实验表明，本文实现的图双边滤波与多尺度融合能够降低高斯随机扰动带来的误差。在 </w:t>
      </w:r>
      <w:r>
        <w:rPr>
          <w:rFonts w:ascii="Consolas" w:hAnsi="Consolas" w:eastAsia="Consolas"/>
          <w:sz w:val="24"/>
        </w:rPr>
        <w:t>ShipHull_0</w:t>
      </w:r>
      <w:r>
        <w:rPr>
          <w:rFonts w:ascii="Times New Roman" w:hAnsi="Times New Roman" w:eastAsia="宋体"/>
          <w:sz w:val="24"/>
        </w:rPr>
        <w:t xml:space="preserve"> 数据集上，点数据高斯扰动的平均相对误差由 0.27032675 降至 0.14413250，平均改进比为 0.533836；单元数据高斯扰动的平均相对误差由 0.27004475 降至 0.11083258，平均改进比为 0.410607。两组结果均表明优化后误差下降，说明数据优化模块对当前参数下的高斯随机扰动具有抑制效果。</w:t>
      </w:r>
    </w:p>
    <w:p>
      <w:pPr>
        <w:spacing w:line="360" w:lineRule="auto" w:after="0"/>
        <w:ind w:firstLine="420"/>
      </w:pPr>
      <w:r>
        <w:rPr>
          <w:rFonts w:ascii="Times New Roman" w:hAnsi="Times New Roman" w:eastAsia="宋体"/>
          <w:sz w:val="24"/>
        </w:rPr>
        <w:t>综合来看，本文完成了基于 OpenGL 的 CAE 数据预处理原型系统，实现了结构化网格与非结构化网格的梯度计算、点数据与单元数据的区分处理、局部高斯扰动优化以及 VTK 结果导出。实验结果从正确性、一致性、效率和优化效果四个方面验证了系统的可行性。</w:t>
      </w:r>
    </w:p>
    <w:p>
      <w:pPr>
        <w:pStyle w:val="2"/>
        <w:spacing w:line="360" w:lineRule="auto" w:before="120" w:after="120"/>
        <w:jc w:val="left"/>
      </w:pPr>
      <w:r>
        <w:rPr>
          <w:rFonts w:ascii="Times New Roman" w:hAnsi="Times New Roman" w:eastAsia="黑体"/>
          <w:b/>
          <w:sz w:val="28"/>
        </w:rPr>
        <w:t>6.3 不足之处</w:t>
      </w:r>
    </w:p>
    <w:p>
      <w:pPr>
        <w:spacing w:line="360" w:lineRule="auto" w:after="0"/>
        <w:ind w:firstLine="420"/>
      </w:pPr>
      <w:r>
        <w:rPr>
          <w:rFonts w:ascii="Times New Roman" w:hAnsi="Times New Roman" w:eastAsia="宋体"/>
          <w:sz w:val="24"/>
        </w:rPr>
        <w:t>当前系统仍存在一定局限。首先，非结构化网格支持的单元类型有限。本文主要围绕一阶三角形、四边形、四面体和六面体展开，能够覆盖本文实验数据中的主要单元类型，但真实工程数据中还可能包含高阶单元、混合单元和其他特殊单元。若需要处理更复杂的 CAE 数据，还需要继续扩展单元类型和对应的形函数导数实现。</w:t>
      </w:r>
    </w:p>
    <w:p>
      <w:pPr>
        <w:spacing w:line="360" w:lineRule="auto" w:after="0"/>
        <w:ind w:firstLine="420"/>
      </w:pPr>
      <w:r>
        <w:rPr>
          <w:rFonts w:ascii="Times New Roman" w:hAnsi="Times New Roman" w:eastAsia="宋体"/>
          <w:sz w:val="24"/>
        </w:rPr>
        <w:t>其次，单元数据梯度恢复仍有改进空间。单元数据并不直接具备节点插值值，非结构化单元数据需要通过单元场提升构造中间场，再进行梯度恢复。实验结果表明，结构化网格单元数据路径较稳定，而非结构化体单元和曲面单元更容易受到重构方式和评价方式影响。因此，单元场提升、单元中心采样和曲面内蕴梯度计算仍需进一步研究。</w:t>
      </w:r>
    </w:p>
    <w:p>
      <w:pPr>
        <w:spacing w:line="360" w:lineRule="auto" w:after="0"/>
        <w:ind w:firstLine="420"/>
      </w:pPr>
      <w:r>
        <w:rPr>
          <w:rFonts w:ascii="Times New Roman" w:hAnsi="Times New Roman" w:eastAsia="宋体"/>
          <w:sz w:val="24"/>
        </w:rPr>
        <w:t>第三，数据优化实验只验证了高斯随机扰动场景。高斯扰动能够代表一类局部随机高频波动，但真实 CAE 结果中的误差可能来自网格质量、求解器收敛、材料模型、边界条件和后处理恢复过程。当前实验能够说明系统对本文设定扰动的有效性，尚不能覆盖所有真实工程误差类型。</w:t>
      </w:r>
    </w:p>
    <w:p>
      <w:pPr>
        <w:spacing w:line="360" w:lineRule="auto" w:after="0"/>
        <w:ind w:firstLine="420"/>
      </w:pPr>
      <w:r>
        <w:rPr>
          <w:rFonts w:ascii="Times New Roman" w:hAnsi="Times New Roman" w:eastAsia="宋体"/>
          <w:sz w:val="24"/>
        </w:rPr>
        <w:t>第四，系统界面和工程功能仍较基础。当前界面主要提供数据加载、字段选择、计算触发和结果导出等操作，尚未形成完整的可视分析工作流。字段管理、参数配置、批处理任务、错误提示和结果可视化交互等功能仍可进一步完善。</w:t>
      </w:r>
    </w:p>
    <w:p>
      <w:pPr>
        <w:spacing w:line="360" w:lineRule="auto" w:after="0"/>
        <w:ind w:firstLine="420"/>
      </w:pPr>
      <w:r>
        <w:rPr>
          <w:rFonts w:ascii="Times New Roman" w:hAnsi="Times New Roman" w:eastAsia="宋体"/>
          <w:sz w:val="24"/>
        </w:rPr>
        <w:t>第五，时间性能结论依赖当前实验环境。GPU 型号、驱动版本、OpenGL 实现、VTK 构建方式、线程配置和数据规模都会影响时间结果。本文实验说明 OpenGL 并行实现对当前测试数据有效，但不同硬件和不同数据集下仍需要重新测试。</w:t>
      </w:r>
    </w:p>
    <w:p>
      <w:pPr>
        <w:pStyle w:val="2"/>
        <w:spacing w:line="360" w:lineRule="auto" w:before="120" w:after="120"/>
        <w:jc w:val="left"/>
      </w:pPr>
      <w:r>
        <w:rPr>
          <w:rFonts w:ascii="Times New Roman" w:hAnsi="Times New Roman" w:eastAsia="黑体"/>
          <w:b/>
          <w:sz w:val="28"/>
        </w:rPr>
        <w:t>6.4 后续展望</w:t>
      </w:r>
    </w:p>
    <w:p>
      <w:pPr>
        <w:spacing w:line="360" w:lineRule="auto" w:after="0"/>
        <w:ind w:firstLine="420"/>
      </w:pPr>
      <w:r>
        <w:rPr>
          <w:rFonts w:ascii="Times New Roman" w:hAnsi="Times New Roman" w:eastAsia="宋体"/>
          <w:sz w:val="24"/>
        </w:rPr>
        <w:t>后续工作可以从以下几个方面展开。</w:t>
      </w:r>
    </w:p>
    <w:p>
      <w:pPr>
        <w:spacing w:line="360" w:lineRule="auto" w:after="0"/>
        <w:ind w:firstLine="420"/>
      </w:pPr>
      <w:r>
        <w:rPr>
          <w:rFonts w:ascii="Times New Roman" w:hAnsi="Times New Roman" w:eastAsia="宋体"/>
          <w:sz w:val="24"/>
        </w:rPr>
        <w:t>第一，扩展网格和字段支持范围。后续可增加高阶单元、混合单元和更多真实工程字段的处理能力，使系统能够适应更复杂的 CAE 后处理数据。</w:t>
      </w:r>
    </w:p>
    <w:p>
      <w:pPr>
        <w:spacing w:line="360" w:lineRule="auto" w:after="0"/>
        <w:ind w:firstLine="420"/>
      </w:pPr>
      <w:r>
        <w:rPr>
          <w:rFonts w:ascii="Times New Roman" w:hAnsi="Times New Roman" w:eastAsia="宋体"/>
          <w:sz w:val="24"/>
        </w:rPr>
        <w:t>第二，改进单元数据梯度恢复方法。可以进一步研究更稳定的单元场重构策略、曲面内蕴梯度计算方法和复杂几何下的评价方式，降低非结构化单元数据梯度误差。</w:t>
      </w:r>
    </w:p>
    <w:p>
      <w:pPr>
        <w:spacing w:line="360" w:lineRule="auto" w:after="0"/>
        <w:ind w:firstLine="420"/>
      </w:pPr>
      <w:r>
        <w:rPr>
          <w:rFonts w:ascii="Times New Roman" w:hAnsi="Times New Roman" w:eastAsia="宋体"/>
          <w:sz w:val="24"/>
        </w:rPr>
        <w:t>第三，完善数据优化模块。后续可针对更多扰动类型设计实验，增加自适应参数选择机制，并结合字段梯度、局部统计量或边缘强度动态调节滤波参数，从而提高数据优化方法的适用性。</w:t>
      </w:r>
    </w:p>
    <w:p>
      <w:pPr>
        <w:spacing w:line="360" w:lineRule="auto" w:after="0"/>
        <w:ind w:firstLine="420"/>
      </w:pPr>
      <w:r>
        <w:rPr>
          <w:rFonts w:ascii="Times New Roman" w:hAnsi="Times New Roman" w:eastAsia="宋体"/>
          <w:sz w:val="24"/>
        </w:rPr>
        <w:t>第四，提升系统工程能力。后续可增加批处理配置、自动化测试、参数管理、异常诊断和结果可视化交互功能，使系统从实验原型进一步向稳定工具演进。</w:t>
      </w:r>
    </w:p>
    <w:p>
      <w:pPr>
        <w:spacing w:line="360" w:lineRule="auto" w:after="0"/>
        <w:ind w:firstLine="420"/>
      </w:pPr>
      <w:r>
        <w:rPr>
          <w:rFonts w:ascii="Times New Roman" w:hAnsi="Times New Roman" w:eastAsia="宋体"/>
          <w:sz w:val="24"/>
        </w:rPr>
        <w:t>第五，比较不同并行计算技术路线。VTK-m 等工作表明科学可视化框架正在面向大规模线程架构发展[7]。后续可以在相同数据集和相同评价指标下比较 OpenGL、CUDA、VTK-m 等技术路线在 CAE 数据预处理任务中的适用性，为后处理算法的并行实现提供更充分的依据。</w:t>
      </w:r>
    </w:p>
    <w:p>
      <w:pPr>
        <w:pStyle w:val="2"/>
        <w:spacing w:line="360" w:lineRule="auto" w:before="120" w:after="120"/>
        <w:jc w:val="left"/>
      </w:pPr>
      <w:r>
        <w:rPr>
          <w:rFonts w:ascii="Times New Roman" w:hAnsi="Times New Roman" w:eastAsia="黑体"/>
          <w:b/>
          <w:sz w:val="28"/>
        </w:rPr>
        <w:t>6.5 本章参考文献</w:t>
      </w:r>
    </w:p>
    <w:p>
      <w:pPr>
        <w:spacing w:line="360" w:lineRule="auto" w:after="0"/>
        <w:ind w:firstLine="420"/>
      </w:pPr>
      <w:r>
        <w:rPr>
          <w:rFonts w:ascii="Times New Roman" w:hAnsi="Times New Roman" w:eastAsia="宋体"/>
          <w:sz w:val="24"/>
        </w:rPr>
        <w:t>本章引用文献：[7]。</w:t>
      </w:r>
    </w:p>
    <w:p>
      <w:r>
        <w:br w:type="page"/>
      </w:r>
    </w:p>
    <w:p>
      <w:pPr>
        <w:pStyle w:val="1"/>
        <w:spacing w:line="360" w:lineRule="auto" w:before="240" w:after="120"/>
        <w:jc w:val="center"/>
      </w:pPr>
      <w:r>
        <w:rPr>
          <w:rFonts w:ascii="Times New Roman" w:hAnsi="Times New Roman" w:eastAsia="黑体"/>
          <w:b/>
          <w:sz w:val="32"/>
        </w:rPr>
        <w:t>参考文献</w:t>
      </w:r>
    </w:p>
    <w:p>
      <w:pPr>
        <w:spacing w:line="360" w:lineRule="auto" w:after="0"/>
        <w:ind w:left="420" w:hanging="420"/>
      </w:pPr>
      <w:r>
        <w:rPr>
          <w:rFonts w:ascii="Times New Roman" w:hAnsi="Times New Roman" w:eastAsia="宋体"/>
          <w:sz w:val="24"/>
        </w:rPr>
        <w:t>[1] 王彬文, 段世慧, 聂小华, 等. 航空结构分析CAE软件发展现状与未来挑战[J]. 航空学报, 2022, 43(6): 527272.</w:t>
      </w:r>
    </w:p>
    <w:p>
      <w:pPr>
        <w:spacing w:line="360" w:lineRule="auto" w:after="0"/>
        <w:ind w:left="420" w:hanging="420"/>
      </w:pPr>
      <w:r>
        <w:rPr>
          <w:rFonts w:ascii="Times New Roman" w:hAnsi="Times New Roman" w:eastAsia="宋体"/>
          <w:sz w:val="24"/>
        </w:rPr>
        <w:t>[2] 任天宇, 韩非, 张玲, 等. 结构损伤与断裂力学分析CAE软件发展现状[J]. 计算力学学报, 2025, 42(5): 699-713, 736.</w:t>
      </w:r>
    </w:p>
    <w:p>
      <w:pPr>
        <w:spacing w:line="360" w:lineRule="auto" w:after="0"/>
        <w:ind w:left="420" w:hanging="420"/>
      </w:pPr>
      <w:r>
        <w:rPr>
          <w:rFonts w:ascii="Times New Roman" w:hAnsi="Times New Roman" w:eastAsia="宋体"/>
          <w:sz w:val="24"/>
        </w:rPr>
        <w:t>[3] ParaView Documentation. Understanding Data: VTK data model[EB/OL]. https://docs.paraview.org/en/latest/UsersGuide/understandingData.html.</w:t>
      </w:r>
    </w:p>
    <w:p>
      <w:pPr>
        <w:spacing w:line="360" w:lineRule="auto" w:after="0"/>
        <w:ind w:left="420" w:hanging="420"/>
      </w:pPr>
      <w:r>
        <w:rPr>
          <w:rFonts w:ascii="Times New Roman" w:hAnsi="Times New Roman" w:eastAsia="宋体"/>
          <w:sz w:val="24"/>
        </w:rPr>
        <w:t>[4] Schroeder W J, Martin K M, Lorensen B. The Visualization Toolkit[M]. 4th ed. Kitware, 2006.</w:t>
      </w:r>
    </w:p>
    <w:p>
      <w:pPr>
        <w:spacing w:line="360" w:lineRule="auto" w:after="0"/>
        <w:ind w:left="420" w:hanging="420"/>
      </w:pPr>
      <w:r>
        <w:rPr>
          <w:rFonts w:ascii="Times New Roman" w:hAnsi="Times New Roman" w:eastAsia="宋体"/>
          <w:sz w:val="24"/>
        </w:rPr>
        <w:t>[5] 曹轶, 王华维, 夏芳, 等. 面向高性能工业仿真的交互可视分析引擎[J]. 计算机辅助设计与图形学学报, 2021, 33(12): 1803-1810.</w:t>
      </w:r>
    </w:p>
    <w:p>
      <w:pPr>
        <w:spacing w:line="360" w:lineRule="auto" w:after="0"/>
        <w:ind w:left="420" w:hanging="420"/>
      </w:pPr>
      <w:r>
        <w:rPr>
          <w:rFonts w:ascii="Times New Roman" w:hAnsi="Times New Roman" w:eastAsia="宋体"/>
          <w:sz w:val="24"/>
        </w:rPr>
        <w:t>[6] Owens J D, Luebke D, Govindaraju N, et al. A Survey of General-Purpose Computation on Graphics Hardware[J]. Computer Graphics Forum, 2007, 26(1): 80-113.</w:t>
      </w:r>
    </w:p>
    <w:p>
      <w:pPr>
        <w:spacing w:line="360" w:lineRule="auto" w:after="0"/>
        <w:ind w:left="420" w:hanging="420"/>
      </w:pPr>
      <w:r>
        <w:rPr>
          <w:rFonts w:ascii="Times New Roman" w:hAnsi="Times New Roman" w:eastAsia="宋体"/>
          <w:sz w:val="24"/>
        </w:rPr>
        <w:t>[7] Moreland K, Sewell C, Usher W, et al. VTK-m: Accelerating the Visualization Toolkit for Massively Threaded Architectures[J]. IEEE Computer Graphics and Applications, 2016, 36(3): 48-58.</w:t>
      </w:r>
    </w:p>
    <w:p>
      <w:pPr>
        <w:spacing w:line="360" w:lineRule="auto" w:after="0"/>
        <w:ind w:left="420" w:hanging="420"/>
      </w:pPr>
      <w:r>
        <w:rPr>
          <w:rFonts w:ascii="Times New Roman" w:hAnsi="Times New Roman" w:eastAsia="宋体"/>
          <w:sz w:val="24"/>
        </w:rPr>
        <w:t>[8] Khronos Group. Compute Shader - OpenGL Wiki[EB/OL]. https://www.khronos.org/opengl/wiki/Compute_Shader.</w:t>
      </w:r>
    </w:p>
    <w:p>
      <w:pPr>
        <w:spacing w:line="360" w:lineRule="auto" w:after="0"/>
        <w:ind w:left="420" w:hanging="420"/>
      </w:pPr>
      <w:r>
        <w:rPr>
          <w:rFonts w:ascii="Times New Roman" w:hAnsi="Times New Roman" w:eastAsia="宋体"/>
          <w:sz w:val="24"/>
        </w:rPr>
        <w:t>[9] Khronos Group. Shader Storage Buffer Object - OpenGL Wiki[EB/OL]. https://www.khronos.org/opengl/wiki/Shader_Storage_Buffer_Object.</w:t>
      </w:r>
    </w:p>
    <w:p>
      <w:pPr>
        <w:spacing w:line="360" w:lineRule="auto" w:after="0"/>
        <w:ind w:left="420" w:hanging="420"/>
      </w:pPr>
      <w:r>
        <w:rPr>
          <w:rFonts w:ascii="Times New Roman" w:hAnsi="Times New Roman" w:eastAsia="宋体"/>
          <w:sz w:val="24"/>
        </w:rPr>
        <w:t>[10] Zingg D W, Yarrow M. A direct procedure for interpolation on a structured curvilinear two-dimensional grid[R]. NASA Technical Memorandum 102213, 1989.</w:t>
      </w:r>
    </w:p>
    <w:p>
      <w:pPr>
        <w:spacing w:line="360" w:lineRule="auto" w:after="0"/>
        <w:ind w:left="420" w:hanging="420"/>
      </w:pPr>
      <w:r>
        <w:rPr>
          <w:rFonts w:ascii="Times New Roman" w:hAnsi="Times New Roman" w:eastAsia="宋体"/>
          <w:sz w:val="24"/>
        </w:rPr>
        <w:t>[11] Thompson J F, Thames F C, Mastin C W. TOMCAT - A code for numerical generation of boundary-fitted curvilinear coordinate systems on fields containing any number of arbitrary two-dimensional bodies[J]. Journal of Computational Physics, 1977, 24(3): 299-318.</w:t>
      </w:r>
    </w:p>
    <w:p>
      <w:pPr>
        <w:spacing w:line="360" w:lineRule="auto" w:after="0"/>
        <w:ind w:left="420" w:hanging="420"/>
      </w:pPr>
      <w:r>
        <w:rPr>
          <w:rFonts w:ascii="Times New Roman" w:hAnsi="Times New Roman" w:eastAsia="宋体"/>
          <w:sz w:val="24"/>
        </w:rPr>
        <w:t>[12] Hughes T J R. The Finite Element Method: Linear Static and Dynamic Finite Element Analysis[M]. Dover Publications, 2012.</w:t>
      </w:r>
    </w:p>
    <w:p>
      <w:pPr>
        <w:spacing w:line="360" w:lineRule="auto" w:after="0"/>
        <w:ind w:left="420" w:hanging="420"/>
      </w:pPr>
      <w:r>
        <w:rPr>
          <w:rFonts w:ascii="Times New Roman" w:hAnsi="Times New Roman" w:eastAsia="宋体"/>
          <w:sz w:val="24"/>
        </w:rPr>
        <w:t>[13] Zienkiewicz O C, Zhu J Z. The Superconvergent Patch Recovery and a Posteriori Error Estimates. Part 1[J]. International Journal for Numerical Methods in Engineering, 1992, 33(7): 1331-1364.</w:t>
      </w:r>
    </w:p>
    <w:p>
      <w:pPr>
        <w:spacing w:line="360" w:lineRule="auto" w:after="0"/>
        <w:ind w:left="420" w:hanging="420"/>
      </w:pPr>
      <w:r>
        <w:rPr>
          <w:rFonts w:ascii="Times New Roman" w:hAnsi="Times New Roman" w:eastAsia="宋体"/>
          <w:sz w:val="24"/>
        </w:rPr>
        <w:t>[14] Tomasi C, Manduchi R. Bilateral Filtering for Gray and Color Images[C]//Proceedings of the IEEE International Conference on Computer Vision. 1998: 839-846.</w:t>
      </w:r>
    </w:p>
    <w:p>
      <w:pPr>
        <w:spacing w:line="360" w:lineRule="auto" w:after="0"/>
        <w:ind w:left="420" w:hanging="420"/>
      </w:pPr>
      <w:r>
        <w:rPr>
          <w:rFonts w:ascii="Times New Roman" w:hAnsi="Times New Roman" w:eastAsia="宋体"/>
          <w:sz w:val="24"/>
        </w:rPr>
        <w:t>[15] Fleishman S, Drori I, Cohen-Or D. Bilateral Mesh Denoising[J]. ACM Transactions on Graphics, 2003, 22(3): 950-953.</w:t>
      </w:r>
    </w:p>
    <w:p>
      <w:pPr>
        <w:spacing w:line="360" w:lineRule="auto" w:after="0"/>
        <w:ind w:left="420" w:hanging="420"/>
      </w:pPr>
      <w:r>
        <w:rPr>
          <w:rFonts w:ascii="Times New Roman" w:hAnsi="Times New Roman" w:eastAsia="宋体"/>
          <w:sz w:val="24"/>
        </w:rPr>
        <w:t>[16] 王丽辉, 袁保宗. 鲁棒的模糊C均值和点云双边滤波去噪[J]. 北京交通大学学报, 2008, 32(2): 18-21.</w:t>
      </w:r>
    </w:p>
    <w:p>
      <w:pPr>
        <w:spacing w:line="360" w:lineRule="auto" w:after="0"/>
        <w:ind w:left="420" w:hanging="420"/>
      </w:pPr>
      <w:r>
        <w:rPr>
          <w:rFonts w:ascii="Times New Roman" w:hAnsi="Times New Roman" w:eastAsia="宋体"/>
          <w:sz w:val="24"/>
        </w:rPr>
        <w:t>[17] 刘永生, 马会荣, 马会玲, 等. 基于双边滤波的点云去噪算法[J]. 测绘科学, 2023, 48(10): 74-80.</w:t>
      </w:r>
    </w:p>
    <w:p>
      <w:pPr>
        <w:spacing w:line="360" w:lineRule="auto" w:after="0"/>
        <w:ind w:left="420" w:hanging="420"/>
      </w:pPr>
      <w:r>
        <w:rPr>
          <w:rFonts w:ascii="Times New Roman" w:hAnsi="Times New Roman" w:eastAsia="宋体"/>
          <w:sz w:val="24"/>
        </w:rPr>
        <w:t>[18] 管西鹏, 李喜焕, 马会刚, 等. 基于双边滤波算法的树木点云模型去噪方法研究[J]. 林业机械与木工设备, 2024, 52(3): 19-24.</w:t>
      </w:r>
    </w:p>
    <w:p>
      <w:pPr>
        <w:spacing w:line="360" w:lineRule="auto" w:after="0"/>
        <w:ind w:left="420" w:hanging="420"/>
      </w:pPr>
      <w:r>
        <w:rPr>
          <w:rFonts w:ascii="Times New Roman" w:hAnsi="Times New Roman" w:eastAsia="宋体"/>
          <w:sz w:val="24"/>
        </w:rPr>
        <w:t>[19] Kitware. vtkGradientFilter Class Reference[EB/OL]. https://vtk.org/doc/nightly/html/classvtkGradientFilter.html.</w:t>
      </w:r>
    </w:p>
    <w:p>
      <w:pPr>
        <w:spacing w:line="360" w:lineRule="auto" w:after="0"/>
        <w:ind w:left="420" w:hanging="420"/>
      </w:pPr>
      <w:r>
        <w:rPr>
          <w:rFonts w:ascii="Times New Roman" w:hAnsi="Times New Roman" w:eastAsia="宋体"/>
          <w:sz w:val="24"/>
        </w:rPr>
        <w:t>[20] Qt Group. Qt Widgets Documentation[EB/OL]. https://doc.qt.io/qt-5/qtwidgets-index.html.</w:t>
      </w:r>
    </w:p>
    <w:p>
      <w:pPr>
        <w:spacing w:line="360" w:lineRule="auto" w:after="0"/>
        <w:ind w:left="420" w:hanging="420"/>
      </w:pPr>
      <w:r>
        <w:rPr>
          <w:rFonts w:ascii="Times New Roman" w:hAnsi="Times New Roman" w:eastAsia="宋体"/>
          <w:sz w:val="24"/>
        </w:rPr>
        <w:t>[21] Burt P J, Adelson E H. The Laplacian Pyramid as a Compact Image Code[J]. IEEE Transactions on Communications, 1983, 31(4): 532-540.</w:t>
      </w:r>
    </w:p>
    <w:p>
      <w:pPr>
        <w:spacing w:line="360" w:lineRule="auto" w:after="0"/>
        <w:ind w:left="420" w:hanging="420"/>
      </w:pPr>
      <w:r>
        <w:rPr>
          <w:rFonts w:ascii="Times New Roman" w:hAnsi="Times New Roman" w:eastAsia="宋体"/>
          <w:sz w:val="24"/>
        </w:rPr>
        <w:t>[22] Farbman Z, Fattal R, Lischinski D, et al. Edge-preserving Decompositions for Multi-scale Tone and Detail Manipulation[J]. ACM Transactions on Graphics, 2008, 27(3): 1-10.</w:t>
      </w:r>
    </w:p>
    <w:p>
      <w:pPr>
        <w:spacing w:line="360" w:lineRule="auto" w:after="0"/>
        <w:ind w:left="420" w:hanging="420"/>
      </w:pPr>
      <w:r>
        <w:rPr>
          <w:rFonts w:ascii="Times New Roman" w:hAnsi="Times New Roman" w:eastAsia="宋体"/>
          <w:sz w:val="24"/>
        </w:rPr>
        <w:t>[23] 牟明任. 基于OpenGL的移动端图像处理算法性能优化关键技术研究[D]. 2024.</w:t>
      </w:r>
    </w:p>
    <w:p>
      <w:pPr>
        <w:spacing w:line="360" w:lineRule="auto" w:after="0"/>
        <w:ind w:left="420" w:hanging="420"/>
      </w:pPr>
      <w:r>
        <w:rPr>
          <w:rFonts w:ascii="Times New Roman" w:hAnsi="Times New Roman" w:eastAsia="宋体"/>
          <w:sz w:val="24"/>
        </w:rPr>
        <w:t>[24] 常文斌. 基于GPU的卷积类算法的实现与优化[D]. 大连海洋大学, 2024.</w:t>
      </w:r>
    </w:p>
    <w:sectPr w:rsidR="00464E6E" w:rsidRPr="00BB726C" w:rsidSect="002566E1">
      <w:pgSz w:w="11906" w:h="16838"/>
      <w:pgMar w:top="1417" w:right="1417" w:bottom="1417" w:left="1701" w:header="1134" w:footer="1134" w:gutter="0"/>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1275" w:rsidRDefault="00731275" w:rsidP="00801133">
      <w:pPr>
        <w:ind w:firstLine="480"/>
      </w:pPr>
      <w:r>
        <w:separator/>
      </w:r>
    </w:p>
    <w:p w:rsidR="00731275" w:rsidRDefault="00731275">
      <w:pPr>
        <w:ind w:firstLine="480"/>
      </w:pPr>
    </w:p>
  </w:endnote>
  <w:endnote w:type="continuationSeparator" w:id="0">
    <w:p w:rsidR="00731275" w:rsidRDefault="00731275" w:rsidP="00801133">
      <w:pPr>
        <w:ind w:firstLine="480"/>
      </w:pPr>
      <w:r>
        <w:continuationSeparator/>
      </w:r>
    </w:p>
    <w:p w:rsidR="00731275" w:rsidRDefault="00731275">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4"/>
      <w:ind w:firstLine="420"/>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4"/>
      <w:ind w:firstLine="420"/>
      <w:jc w:val="center"/>
      <w:rPr>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4"/>
      <w:ind w:firstLine="420"/>
      <w:jc w:val="center"/>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5631205"/>
      <w:docPartObj>
        <w:docPartGallery w:val="Page Numbers (Bottom of Page)"/>
        <w:docPartUnique/>
      </w:docPartObj>
    </w:sdtPr>
    <w:sdtEndPr/>
    <w:sdtContent>
      <w:p w:rsidR="00214128" w:rsidRDefault="00214128">
        <w:pPr>
          <w:pStyle w:val="a4"/>
          <w:ind w:left="3840" w:firstLine="360"/>
        </w:pPr>
        <w:r>
          <w:fldChar w:fldCharType="begin"/>
        </w:r>
        <w:r>
          <w:instrText>PAGE   \* MERGEFORMAT</w:instrText>
        </w:r>
        <w:r>
          <w:fldChar w:fldCharType="separate"/>
        </w:r>
        <w:r w:rsidR="0082761D" w:rsidRPr="0082761D">
          <w:rPr>
            <w:noProof/>
            <w:lang w:val="zh-CN"/>
          </w:rPr>
          <w:t>II</w:t>
        </w:r>
        <w:r>
          <w:fldChar w:fldCharType="end"/>
        </w:r>
      </w:p>
    </w:sdtContent>
  </w:sdt>
  <w:p w:rsidR="00214128" w:rsidRDefault="00214128" w:rsidP="00A77D6A">
    <w:pPr>
      <w:pStyle w:val="a4"/>
      <w:ind w:left="482" w:firstLineChars="0" w:firstLine="0"/>
      <w:rPr>
        <w:sz w:val="21"/>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3241937"/>
      <w:docPartObj>
        <w:docPartGallery w:val="Page Numbers (Bottom of Page)"/>
        <w:docPartUnique/>
      </w:docPartObj>
    </w:sdtPr>
    <w:sdtEndPr/>
    <w:sdtContent>
      <w:p w:rsidR="00214128" w:rsidRDefault="00214128">
        <w:pPr>
          <w:pStyle w:val="a4"/>
          <w:ind w:left="3840" w:firstLine="360"/>
        </w:pPr>
        <w:r>
          <w:fldChar w:fldCharType="begin"/>
        </w:r>
        <w:r>
          <w:instrText>PAGE   \* MERGEFORMAT</w:instrText>
        </w:r>
        <w:r>
          <w:fldChar w:fldCharType="separate"/>
        </w:r>
        <w:r w:rsidR="0082761D" w:rsidRPr="0082761D">
          <w:rPr>
            <w:noProof/>
            <w:lang w:val="zh-CN"/>
          </w:rPr>
          <w:t>I</w:t>
        </w:r>
        <w:r>
          <w:fldChar w:fldCharType="end"/>
        </w:r>
      </w:p>
    </w:sdtContent>
  </w:sdt>
  <w:p w:rsidR="00214128" w:rsidRDefault="00214128">
    <w:pPr>
      <w:pStyle w:val="a4"/>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rsidP="002F14B6">
    <w:pPr>
      <w:pStyle w:val="a4"/>
      <w:ind w:firstLineChars="0" w:firstLine="0"/>
      <w:jc w:val="center"/>
      <w:rPr>
        <w:sz w:val="21"/>
        <w:szCs w:val="21"/>
      </w:rPr>
    </w:pPr>
    <w:r>
      <w:rPr>
        <w:rFonts w:hint="eastAsia"/>
        <w:sz w:val="21"/>
        <w:szCs w:val="21"/>
      </w:rPr>
      <w:t>I</w:t>
    </w:r>
    <w:r>
      <w:rPr>
        <w:sz w:val="21"/>
        <w:szCs w:val="21"/>
      </w:rPr>
      <w:t>II</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3701432"/>
    </w:sdtPr>
    <w:sdtEndPr>
      <w:rPr>
        <w:sz w:val="21"/>
        <w:szCs w:val="21"/>
      </w:rPr>
    </w:sdtEndPr>
    <w:sdtContent>
      <w:p w:rsidR="00214128" w:rsidRDefault="00214128" w:rsidP="002F14B6">
        <w:pPr>
          <w:pStyle w:val="a4"/>
          <w:ind w:left="482"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82761D" w:rsidRPr="0082761D">
          <w:rPr>
            <w:noProof/>
            <w:sz w:val="21"/>
            <w:szCs w:val="21"/>
            <w:lang w:val="zh-CN"/>
          </w:rPr>
          <w:t>2</w:t>
        </w:r>
        <w:r>
          <w:rPr>
            <w:sz w:val="21"/>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4835223"/>
      <w:docPartObj>
        <w:docPartGallery w:val="Page Numbers (Bottom of Page)"/>
        <w:docPartUnique/>
      </w:docPartObj>
    </w:sdtPr>
    <w:sdtEndPr>
      <w:rPr>
        <w:sz w:val="21"/>
        <w:szCs w:val="21"/>
      </w:rPr>
    </w:sdtEndPr>
    <w:sdtContent>
      <w:p w:rsidR="00214128" w:rsidRPr="005D4773" w:rsidRDefault="00214128" w:rsidP="002F14B6">
        <w:pPr>
          <w:pStyle w:val="a4"/>
          <w:ind w:firstLineChars="0" w:firstLine="0"/>
          <w:jc w:val="center"/>
          <w:rPr>
            <w:sz w:val="21"/>
            <w:szCs w:val="21"/>
          </w:rPr>
        </w:pPr>
        <w:r w:rsidRPr="005D4773">
          <w:rPr>
            <w:sz w:val="21"/>
            <w:szCs w:val="21"/>
          </w:rPr>
          <w:fldChar w:fldCharType="begin"/>
        </w:r>
        <w:r w:rsidRPr="005D4773">
          <w:rPr>
            <w:sz w:val="21"/>
            <w:szCs w:val="21"/>
          </w:rPr>
          <w:instrText>PAGE   \* MERGEFORMAT</w:instrText>
        </w:r>
        <w:r w:rsidRPr="005D4773">
          <w:rPr>
            <w:sz w:val="21"/>
            <w:szCs w:val="21"/>
          </w:rPr>
          <w:fldChar w:fldCharType="separate"/>
        </w:r>
        <w:r w:rsidR="0082761D" w:rsidRPr="0082761D">
          <w:rPr>
            <w:noProof/>
            <w:sz w:val="21"/>
            <w:szCs w:val="21"/>
            <w:lang w:val="zh-CN"/>
          </w:rPr>
          <w:t>1</w:t>
        </w:r>
        <w:r w:rsidRPr="005D4773">
          <w:rPr>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1275" w:rsidRDefault="00731275" w:rsidP="00801133">
      <w:pPr>
        <w:ind w:firstLine="480"/>
      </w:pPr>
      <w:r>
        <w:separator/>
      </w:r>
    </w:p>
    <w:p w:rsidR="00731275" w:rsidRDefault="00731275">
      <w:pPr>
        <w:ind w:firstLine="480"/>
      </w:pPr>
    </w:p>
  </w:footnote>
  <w:footnote w:type="continuationSeparator" w:id="0">
    <w:p w:rsidR="00731275" w:rsidRDefault="00731275" w:rsidP="00801133">
      <w:pPr>
        <w:ind w:firstLine="480"/>
      </w:pPr>
      <w:r>
        <w:continuationSeparator/>
      </w:r>
    </w:p>
    <w:p w:rsidR="00731275" w:rsidRDefault="00731275">
      <w:pPr>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rsidP="00A52905">
    <w:pPr>
      <w:pStyle w:val="a3"/>
      <w:pBdr>
        <w:bottom w:val="none" w:sz="0" w:space="0" w:color="auto"/>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rsidP="00A52905">
    <w:pPr>
      <w:pStyle w:val="a3"/>
      <w:pBdr>
        <w:bottom w:val="none" w:sz="0" w:space="0" w:color="auto"/>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E0066A" w:rsidRDefault="00214128" w:rsidP="00AD5EF1">
    <w:pPr>
      <w:pStyle w:val="a3"/>
      <w:pBdr>
        <w:bottom w:val="thickThinMediumGap" w:sz="18" w:space="1" w:color="auto"/>
      </w:pBdr>
      <w:ind w:firstLine="420"/>
      <w:rPr>
        <w:sz w:val="21"/>
        <w:szCs w:val="21"/>
      </w:rPr>
    </w:pPr>
    <w:r>
      <w:rPr>
        <w:rFonts w:hint="eastAsia"/>
        <w:sz w:val="21"/>
        <w:szCs w:val="21"/>
      </w:rPr>
      <w:t>哈尔滨工程大学本科生毕业论文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ind w:firstLine="480"/>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rsidP="00B01F01">
    <w:pPr>
      <w:pStyle w:val="a3"/>
      <w:pBdr>
        <w:bottom w:val="thickThinSmallGap" w:sz="24" w:space="1" w:color="auto"/>
      </w:pBdr>
      <w:ind w:firstLineChars="0" w:firstLine="0"/>
      <w:rPr>
        <w:sz w:val="21"/>
        <w:szCs w:val="21"/>
      </w:rPr>
    </w:pPr>
    <w:r>
      <w:rPr>
        <w:rFonts w:hint="eastAsia"/>
        <w:sz w:val="21"/>
        <w:szCs w:val="21"/>
      </w:rPr>
      <w:t>哈尔滨工程大学本科生毕业论文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0" w:color="auto"/>
      </w:pBdr>
      <w:ind w:firstLineChars="0" w:firstLine="0"/>
      <w:rPr>
        <w:sz w:val="21"/>
        <w:szCs w:val="21"/>
      </w:rPr>
    </w:pPr>
    <w:r>
      <w:rPr>
        <w:rFonts w:hint="eastAsia"/>
        <w:sz w:val="21"/>
        <w:szCs w:val="21"/>
      </w:rPr>
      <w:t>论文题目</w:t>
    </w:r>
    <w:r w:rsidRPr="00E23679">
      <w:rPr>
        <w:rFonts w:hint="eastAsia"/>
        <w:sz w:val="21"/>
        <w:szCs w:val="21"/>
      </w:rPr>
      <w: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0" w:color="auto"/>
      </w:pBdr>
      <w:ind w:firstLineChars="0" w:firstLine="0"/>
      <w:rPr>
        <w:sz w:val="21"/>
        <w:szCs w:val="21"/>
      </w:rPr>
    </w:pPr>
    <w:r w:rsidRPr="00686608">
      <w:rPr>
        <w:rFonts w:hint="eastAsia"/>
        <w:sz w:val="21"/>
        <w:szCs w:val="21"/>
      </w:rPr>
      <w:t>第</w:t>
    </w:r>
    <w:r w:rsidR="001560FC">
      <w:rPr>
        <w:sz w:val="21"/>
        <w:szCs w:val="21"/>
      </w:rPr>
      <w:t>1</w:t>
    </w:r>
    <w:r w:rsidRPr="00686608">
      <w:rPr>
        <w:rFonts w:hint="eastAsia"/>
        <w:sz w:val="21"/>
        <w:szCs w:val="21"/>
      </w:rPr>
      <w:t>章</w:t>
    </w:r>
    <w:r w:rsidRPr="00686608">
      <w:rPr>
        <w:rFonts w:hint="eastAsia"/>
        <w:sz w:val="21"/>
        <w:szCs w:val="21"/>
      </w:rPr>
      <w:t xml:space="preserve"> </w:t>
    </w:r>
    <w:r w:rsidR="001560FC">
      <w:rPr>
        <w:rFonts w:hint="eastAsia"/>
        <w:sz w:val="21"/>
        <w:szCs w:val="21"/>
      </w:rP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FC" w:rsidRPr="00686608" w:rsidRDefault="001560FC" w:rsidP="00B01F01">
    <w:pPr>
      <w:pStyle w:val="a3"/>
      <w:pBdr>
        <w:bottom w:val="thickThinSmallGap" w:sz="24" w:space="0" w:color="auto"/>
      </w:pBdr>
      <w:ind w:firstLineChars="0" w:firstLine="0"/>
      <w:rPr>
        <w:sz w:val="21"/>
        <w:szCs w:val="21"/>
      </w:rPr>
    </w:pPr>
    <w:r w:rsidRPr="00686608">
      <w:rPr>
        <w:rFonts w:hint="eastAsia"/>
        <w:sz w:val="21"/>
        <w:szCs w:val="21"/>
      </w:rPr>
      <w:t>第</w:t>
    </w:r>
    <w:r>
      <w:rPr>
        <w:rFonts w:hint="eastAsia"/>
        <w:sz w:val="21"/>
        <w:szCs w:val="21"/>
      </w:rPr>
      <w:t>2</w:t>
    </w:r>
    <w:r w:rsidRPr="00686608">
      <w:rPr>
        <w:rFonts w:hint="eastAsia"/>
        <w:sz w:val="21"/>
        <w:szCs w:val="21"/>
      </w:rPr>
      <w:t>章</w:t>
    </w:r>
    <w:r w:rsidRPr="00686608">
      <w:rPr>
        <w:rFonts w:hint="eastAsia"/>
        <w:sz w:val="21"/>
        <w:szCs w:val="21"/>
      </w:rPr>
      <w:t xml:space="preserve"> </w:t>
    </w:r>
    <w:r>
      <w:rPr>
        <w:rFonts w:hint="eastAsia"/>
        <w:sz w:val="21"/>
        <w:szCs w:val="21"/>
      </w:rPr>
      <w:t>Word</w:t>
    </w:r>
    <w:r>
      <w:rPr>
        <w:rFonts w:hint="eastAsia"/>
        <w:sz w:val="21"/>
        <w:szCs w:val="21"/>
      </w:rPr>
      <w:t>基本操作和版式设计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哈尔滨工程大学本科生毕业论文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第</w:t>
    </w:r>
    <w:r w:rsidRPr="00686608">
      <w:rPr>
        <w:rFonts w:hint="eastAsia"/>
        <w:color w:val="000000"/>
        <w:sz w:val="21"/>
        <w:szCs w:val="21"/>
      </w:rPr>
      <w:t>3</w:t>
    </w:r>
    <w:r w:rsidRPr="00686608">
      <w:rPr>
        <w:rFonts w:hint="eastAsia"/>
        <w:color w:val="000000"/>
        <w:sz w:val="21"/>
        <w:szCs w:val="21"/>
      </w:rPr>
      <w:t>章</w:t>
    </w:r>
    <w:r w:rsidRPr="00686608">
      <w:rPr>
        <w:rFonts w:hint="eastAsia"/>
        <w:color w:val="000000"/>
        <w:sz w:val="21"/>
        <w:szCs w:val="21"/>
      </w:rPr>
      <w:t xml:space="preserve"> </w:t>
    </w:r>
    <w:r w:rsidRPr="00214128">
      <w:rPr>
        <w:rFonts w:hint="eastAsia"/>
        <w:color w:val="000000"/>
        <w:sz w:val="21"/>
        <w:szCs w:val="21"/>
      </w:rPr>
      <w:t>论文书写和格式规范</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1" w:color="auto"/>
      </w:pBdr>
      <w:ind w:firstLineChars="0" w:firstLine="0"/>
      <w:rPr>
        <w:color w:val="000000"/>
        <w:sz w:val="21"/>
        <w:szCs w:val="21"/>
      </w:rPr>
    </w:pPr>
    <w:r w:rsidRPr="00E23679">
      <w:rPr>
        <w:rFonts w:hint="eastAsia"/>
        <w:color w:val="000000"/>
        <w:sz w:val="21"/>
        <w:szCs w:val="21"/>
      </w:rPr>
      <w:t>结</w:t>
    </w:r>
    <w:r w:rsidRPr="00E23679">
      <w:rPr>
        <w:rFonts w:hint="eastAsia"/>
        <w:color w:val="000000"/>
        <w:sz w:val="21"/>
        <w:szCs w:val="21"/>
      </w:rPr>
      <w:t xml:space="preserve"> </w:t>
    </w:r>
    <w:r w:rsidRPr="00E23679">
      <w:rPr>
        <w:color w:val="000000"/>
        <w:sz w:val="21"/>
        <w:szCs w:val="21"/>
      </w:rPr>
      <w:t xml:space="preserve">   </w:t>
    </w:r>
    <w:r w:rsidRPr="00E23679">
      <w:rPr>
        <w:rFonts w:hint="eastAsia"/>
        <w:color w:val="000000"/>
        <w:sz w:val="21"/>
        <w:szCs w:val="21"/>
      </w:rPr>
      <w:t>论</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哈尔滨工程大学本科生毕业论文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C94C88" w:rsidP="00B01F01">
    <w:pPr>
      <w:pStyle w:val="a3"/>
      <w:pBdr>
        <w:bottom w:val="thickThinSmallGap" w:sz="24" w:space="1" w:color="auto"/>
      </w:pBdr>
      <w:ind w:firstLineChars="0" w:firstLine="0"/>
      <w:rPr>
        <w:color w:val="000000"/>
        <w:sz w:val="21"/>
        <w:szCs w:val="21"/>
      </w:rPr>
    </w:pPr>
    <w:r w:rsidRPr="00C94C88">
      <w:rPr>
        <w:rFonts w:hint="eastAsia"/>
        <w:color w:val="000000"/>
        <w:sz w:val="21"/>
        <w:szCs w:val="21"/>
      </w:rPr>
      <w:t>论文题目××××××××××××××××××××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哈尔滨工程大学本科生毕业论文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9.05pt;height:11.3pt;visibility:visible;mso-wrap-style:square" o:bullet="t">
        <v:imagedata r:id="rId1" o:title=""/>
      </v:shape>
    </w:pict>
  </w:numPicBullet>
  <w:abstractNum w:abstractNumId="0">
    <w:nsid w:val="048F7F4E"/>
    <w:multiLevelType w:val="multilevel"/>
    <w:tmpl w:val="048F7F4E"/>
    <w:lvl w:ilvl="0">
      <w:start w:val="1"/>
      <w:numFmt w:val="japaneseCounting"/>
      <w:lvlText w:val="%1、"/>
      <w:lvlJc w:val="left"/>
      <w:pPr>
        <w:ind w:left="1202" w:hanging="7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
    <w:nsid w:val="2A861989"/>
    <w:multiLevelType w:val="hybridMultilevel"/>
    <w:tmpl w:val="A388327C"/>
    <w:lvl w:ilvl="0" w:tplc="292836D8">
      <w:start w:val="1"/>
      <w:numFmt w:val="bullet"/>
      <w:lvlText w:val=""/>
      <w:lvlPicBulletId w:val="0"/>
      <w:lvlJc w:val="left"/>
      <w:pPr>
        <w:tabs>
          <w:tab w:val="num" w:pos="420"/>
        </w:tabs>
        <w:ind w:left="420" w:firstLine="0"/>
      </w:pPr>
      <w:rPr>
        <w:rFonts w:ascii="Symbol" w:hAnsi="Symbol" w:hint="default"/>
      </w:rPr>
    </w:lvl>
    <w:lvl w:ilvl="1" w:tplc="893EB24C" w:tentative="1">
      <w:start w:val="1"/>
      <w:numFmt w:val="bullet"/>
      <w:lvlText w:val=""/>
      <w:lvlJc w:val="left"/>
      <w:pPr>
        <w:tabs>
          <w:tab w:val="num" w:pos="840"/>
        </w:tabs>
        <w:ind w:left="840" w:firstLine="0"/>
      </w:pPr>
      <w:rPr>
        <w:rFonts w:ascii="Symbol" w:hAnsi="Symbol" w:hint="default"/>
      </w:rPr>
    </w:lvl>
    <w:lvl w:ilvl="2" w:tplc="8502FDF2" w:tentative="1">
      <w:start w:val="1"/>
      <w:numFmt w:val="bullet"/>
      <w:lvlText w:val=""/>
      <w:lvlJc w:val="left"/>
      <w:pPr>
        <w:tabs>
          <w:tab w:val="num" w:pos="1260"/>
        </w:tabs>
        <w:ind w:left="1260" w:firstLine="0"/>
      </w:pPr>
      <w:rPr>
        <w:rFonts w:ascii="Symbol" w:hAnsi="Symbol" w:hint="default"/>
      </w:rPr>
    </w:lvl>
    <w:lvl w:ilvl="3" w:tplc="D0107DEC" w:tentative="1">
      <w:start w:val="1"/>
      <w:numFmt w:val="bullet"/>
      <w:lvlText w:val=""/>
      <w:lvlJc w:val="left"/>
      <w:pPr>
        <w:tabs>
          <w:tab w:val="num" w:pos="1680"/>
        </w:tabs>
        <w:ind w:left="1680" w:firstLine="0"/>
      </w:pPr>
      <w:rPr>
        <w:rFonts w:ascii="Symbol" w:hAnsi="Symbol" w:hint="default"/>
      </w:rPr>
    </w:lvl>
    <w:lvl w:ilvl="4" w:tplc="32904B34" w:tentative="1">
      <w:start w:val="1"/>
      <w:numFmt w:val="bullet"/>
      <w:lvlText w:val=""/>
      <w:lvlJc w:val="left"/>
      <w:pPr>
        <w:tabs>
          <w:tab w:val="num" w:pos="2100"/>
        </w:tabs>
        <w:ind w:left="2100" w:firstLine="0"/>
      </w:pPr>
      <w:rPr>
        <w:rFonts w:ascii="Symbol" w:hAnsi="Symbol" w:hint="default"/>
      </w:rPr>
    </w:lvl>
    <w:lvl w:ilvl="5" w:tplc="9594C67E" w:tentative="1">
      <w:start w:val="1"/>
      <w:numFmt w:val="bullet"/>
      <w:lvlText w:val=""/>
      <w:lvlJc w:val="left"/>
      <w:pPr>
        <w:tabs>
          <w:tab w:val="num" w:pos="2520"/>
        </w:tabs>
        <w:ind w:left="2520" w:firstLine="0"/>
      </w:pPr>
      <w:rPr>
        <w:rFonts w:ascii="Symbol" w:hAnsi="Symbol" w:hint="default"/>
      </w:rPr>
    </w:lvl>
    <w:lvl w:ilvl="6" w:tplc="8ACE97BC" w:tentative="1">
      <w:start w:val="1"/>
      <w:numFmt w:val="bullet"/>
      <w:lvlText w:val=""/>
      <w:lvlJc w:val="left"/>
      <w:pPr>
        <w:tabs>
          <w:tab w:val="num" w:pos="2940"/>
        </w:tabs>
        <w:ind w:left="2940" w:firstLine="0"/>
      </w:pPr>
      <w:rPr>
        <w:rFonts w:ascii="Symbol" w:hAnsi="Symbol" w:hint="default"/>
      </w:rPr>
    </w:lvl>
    <w:lvl w:ilvl="7" w:tplc="9D4AAC30" w:tentative="1">
      <w:start w:val="1"/>
      <w:numFmt w:val="bullet"/>
      <w:lvlText w:val=""/>
      <w:lvlJc w:val="left"/>
      <w:pPr>
        <w:tabs>
          <w:tab w:val="num" w:pos="3360"/>
        </w:tabs>
        <w:ind w:left="3360" w:firstLine="0"/>
      </w:pPr>
      <w:rPr>
        <w:rFonts w:ascii="Symbol" w:hAnsi="Symbol" w:hint="default"/>
      </w:rPr>
    </w:lvl>
    <w:lvl w:ilvl="8" w:tplc="3E3A8EF6" w:tentative="1">
      <w:start w:val="1"/>
      <w:numFmt w:val="bullet"/>
      <w:lvlText w:val=""/>
      <w:lvlJc w:val="left"/>
      <w:pPr>
        <w:tabs>
          <w:tab w:val="num" w:pos="3780"/>
        </w:tabs>
        <w:ind w:left="3780" w:firstLine="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bordersDoNotSurroundHeader/>
  <w:bordersDoNotSurroundFooter/>
  <w:proofState w:spelling="clean" w:grammar="clean"/>
  <w:defaultTabStop w:val="420"/>
  <w:evenAndOddHeaders/>
  <w:drawingGridHorizontalSpacing w:val="239"/>
  <w:drawingGridVerticalSpacing w:val="163"/>
  <w:displayHorizontalDrawingGridEvery w:val="0"/>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NE.Ref{035565AD-C7A0-40BA-BC9E-33F6B29E9BC8}" w:val=" ADDIN NE.Ref.{035565AD-C7A0-40BA-BC9E-33F6B29E9BC8}&lt;Citation&gt;&lt;Group&gt;&lt;References&gt;&lt;Item&gt;&lt;ID&gt;585&lt;/ID&gt;&lt;UID&gt;{C1AA2191-39C0-49BD-BBFB-164EF1E9628A}&lt;/UID&gt;&lt;Title&gt;Multiple-trap laser tweezers Raman spectroscopy for simultaneous monitoring of the biological dynamics of multiple individual cells&lt;/Title&gt;&lt;Template&gt;Journal Article&lt;/Template&gt;&lt;Star&gt;0&lt;/Star&gt;&lt;Tag&gt;0&lt;/Tag&gt;&lt;Author&gt;Zhang, Pengfei; Kong, Lingbo; Setlow, Peter; Li, Yong Qing&lt;/Author&gt;&lt;Year&gt;2010&lt;/Year&gt;&lt;Details&gt;&lt;_collection_scope&gt;SCI;SCIE;EI&lt;/_collection_scope&gt;&lt;_created&gt;64795443&lt;/_created&gt;&lt;_impact_factor&gt;   3.776&lt;/_impact_factor&gt;&lt;_issue&gt;20&lt;/_issue&gt;&lt;_journal&gt;Optics Letters&lt;/_journal&gt;&lt;_modified&gt;64795443&lt;/_modified&gt;&lt;_pages&gt;3321&lt;/_pages&gt;&lt;_volume&gt;35&lt;/_volume&gt;&lt;/Details&gt;&lt;Extra&gt;&lt;DBUID&gt;{F96A950B-833F-4880-A151-76DA2D6A2879}&lt;/DBUID&gt;&lt;/Extra&gt;&lt;/Item&gt;&lt;/References&gt;&lt;/Group&gt;&lt;/Citation&gt;_x000a_"/>
    <w:docVar w:name="NE.Ref{035A2B2A-A15B-4046-A641-971AD75F47BC}" w:val=" ADDIN NE.Ref.{035A2B2A-A15B-4046-A641-971AD75F47BC}&lt;Citation&gt;&lt;Group&gt;&lt;References&gt;&lt;Item&gt;&lt;ID&gt;595&lt;/ID&gt;&lt;UID&gt;{4D31B0D2-C2D5-4254-96D8-3E09CE453E7A}&lt;/UID&gt;&lt;Title&gt;Optimized holographic optical traps&lt;/Title&gt;&lt;Template&gt;Patent&lt;/Template&gt;&lt;Star&gt;0&lt;/Star&gt;&lt;Tag&gt;0&lt;/Tag&gt;&lt;Author&gt;Polin, M; Ladavac, K; Lee, S H; Roichman, Y; Grier, D G&lt;/Author&gt;&lt;Year&gt;2005&lt;/Year&gt;&lt;Details&gt;&lt;_created&gt;64795467&lt;/_created&gt;&lt;_modified&gt;64795467&lt;/_modified&gt;&lt;_pages&gt;5831-45&lt;/_pages&gt;&lt;_publisher&gt;Optics Express&lt;/_publisher&gt;&lt;/Details&gt;&lt;Extra&gt;&lt;DBUID&gt;{F96A950B-833F-4880-A151-76DA2D6A2879}&lt;/DBUID&gt;&lt;/Extra&gt;&lt;/Item&gt;&lt;/References&gt;&lt;/Group&gt;&lt;Group&gt;&lt;References&gt;&lt;Item&gt;&lt;ID&gt;596&lt;/ID&gt;&lt;UID&gt;{F5BC72CA-75C3-4B11-B0EE-29BF736DFA17}&lt;/UID&gt;&lt;Title&gt;Synthesis of digital holograms by direct binary search&lt;/Title&gt;&lt;Template&gt;Journal Article&lt;/Template&gt;&lt;Star&gt;0&lt;/Star&gt;&lt;Tag&gt;0&lt;/Tag&gt;&lt;Author&gt;Seldowitz, M A; Allebach, J P; Sweeney, D W&lt;/Author&gt;&lt;Year&gt;1987&lt;/Year&gt;&lt;Details&gt;&lt;_collection_scope&gt;SCI;SCIE;EI&lt;/_collection_scope&gt;&lt;_created&gt;64795471&lt;/_created&gt;&lt;_impact_factor&gt;   1.980&lt;/_impact_factor&gt;&lt;_journal&gt;Applied Optics&lt;/_journal&gt;&lt;_modified&gt;64795471&lt;/_modified&gt;&lt;_volume&gt;26&lt;/_volume&gt;&lt;/Details&gt;&lt;Extra&gt;&lt;DBUID&gt;{F96A950B-833F-4880-A151-76DA2D6A2879}&lt;/DBUID&gt;&lt;/Extra&gt;&lt;/Item&gt;&lt;/References&gt;&lt;/Group&gt;&lt;/Citation&gt;_x000a_"/>
    <w:docVar w:name="NE.Ref{06437219-F6BD-4F27-AF79-3BB11FF2BDAC}" w:val=" ADDIN NE.Ref.{06437219-F6BD-4F27-AF79-3BB11FF2BDAC}&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08D3F413-5A11-43AE-BB32-2C4DFA34AEF3}" w:val=" ADDIN NE.Ref.{08D3F413-5A11-43AE-BB32-2C4DFA34AEF3}&lt;Citation&gt;&lt;Group&gt;&lt;References&gt;&lt;Item&gt;&lt;ID&gt;609&lt;/ID&gt;&lt;UID&gt;{3F09B997-FA31-478C-98F2-A53BC5EEE5CF}&lt;/UID&gt;&lt;Title&gt;A Step-by-step Guide to the Realisation of Advanced Optical Tweezers&lt;/Title&gt;&lt;Template&gt;Journal Article&lt;/Template&gt;&lt;Star&gt;0&lt;/Star&gt;&lt;Tag&gt;0&lt;/Tag&gt;&lt;Author&gt;Pesce, Giuseppe; Volpe, Giorgio; Marago, Onofrio M; Jones, Philip; Gigain, Sylvain; Sasso, Antonio; Volpe, Giovanni&lt;/Author&gt;&lt;Year&gt;2015&lt;/Year&gt;&lt;Details&gt;&lt;_created&gt;64795531&lt;/_created&gt;&lt;_date&gt;0004-01-04&lt;/_date&gt;&lt;_date_display&gt;04&lt;/_date_display&gt;&lt;_doi&gt;10.1364/JOSAB.32.000B84&lt;/_doi&gt;&lt;_journal&gt;Journal of the Optical Society of America B&lt;/_journal&gt;&lt;_modified&gt;64795531&lt;/_modified&gt;&lt;_pages&gt;B84-B98&lt;/_pages&gt;&lt;_volume&gt;32&lt;/_volume&gt;&lt;/Details&gt;&lt;Extra&gt;&lt;DBUID&gt;{F96A950B-833F-4880-A151-76DA2D6A2879}&lt;/DBUID&gt;&lt;/Extra&gt;&lt;/Item&gt;&lt;/References&gt;&lt;/Group&gt;&lt;/Citation&gt;_x000a_"/>
    <w:docVar w:name="NE.Ref{0EA70D9C-B18B-49A2-B484-998E3F26C8FF}" w:val=" ADDIN NE.Ref.{0EA70D9C-B18B-49A2-B484-998E3F26C8FF}&lt;Citation&gt;&lt;Group&gt;&lt;References&gt;&lt;Item&gt;&lt;ID&gt;602&lt;/ID&gt;&lt;UID&gt;{E0948759-A26B-470B-B582-49FDAF91C599}&lt;/UID&gt;&lt;Title&gt;基于液晶空间光调制器的光场调控技术及应用进展(特邀)&lt;/Title&gt;&lt;Template&gt;Journal Article&lt;/Template&gt;&lt;Star&gt;0&lt;/Star&gt;&lt;Tag&gt;0&lt;/Tag&gt;&lt;Author&gt;周源; 李润泽; 于湘华; 严绍辉; 李星; 高文禹; 刘超; 彭彤; 杨延龙; 闵俊伟&lt;/Author&gt;&lt;Year&gt;2021&lt;/Year&gt;&lt;Details&gt;&lt;_collection_scope&gt;CSCD;PKU;EI&lt;/_collection_scope&gt;&lt;_created&gt;64795482&lt;/_created&gt;&lt;_issue&gt;11&lt;/_issue&gt;&lt;_journal&gt;光子学报&lt;/_journal&gt;&lt;_modified&gt;64795482&lt;/_modified&gt;&lt;_pages&gt;32&lt;/_pages&gt;&lt;_volume&gt;50&lt;/_volume&gt;&lt;_translated_author&gt;Zhou, Yuan;Li, Runze;Yu, Xianghua;Yan, Shaohui;Li, Xing;Gao, Wenyu;Liu, Chao;Peng, Tong;Yang, Yanlong;Min, Junwei&lt;/_translated_author&gt;&lt;/Details&gt;&lt;Extra&gt;&lt;DBUID&gt;{F96A950B-833F-4880-A151-76DA2D6A2879}&lt;/DBUID&gt;&lt;/Extra&gt;&lt;/Item&gt;&lt;/References&gt;&lt;/Group&gt;&lt;/Citation&gt;_x000a_"/>
    <w:docVar w:name="NE.Ref{0F9E4B3A-447D-4702-A509-D99F7FA29FC0}" w:val=" ADDIN NE.Ref.{0F9E4B3A-447D-4702-A509-D99F7FA29FC0}&lt;Citation&gt;&lt;Group&gt;&lt;References&gt;&lt;Item&gt;&lt;ID&gt;623&lt;/ID&gt;&lt;UID&gt;{5D247DD5-55E8-4609-99BF-D90A31270591}&lt;/UID&gt;&lt;Title&gt;Direct observation of kinesin stepping by optical trapping interferometry.&lt;/Title&gt;&lt;Template&gt;Journal Article&lt;/Template&gt;&lt;Star&gt;0&lt;/Star&gt;&lt;Tag&gt;0&lt;/Tag&gt;&lt;Author&gt;K, Svoboda; F, Schmidt C; J, Schnapp B; M, Block S&lt;/Author&gt;&lt;Year&gt;1993&lt;/Year&gt;&lt;Details&gt;&lt;_author_adr&gt;Rowland Institute for Science, Cambridge, Massachusetts 02142.&lt;/_author_adr&gt;&lt;_collection_scope&gt;SCI;SCIE&lt;/_collection_scope&gt;&lt;_created&gt;64815294&lt;/_created&gt;&lt;_db_provider&gt;CNKI&lt;/_db_provider&gt;&lt;_impact_factor&gt;  49.962&lt;/_impact_factor&gt;&lt;_isbn&gt;0028-0836&lt;/_isbn&gt;&lt;_issue&gt;6448&lt;/_issue&gt;&lt;_journal&gt;Nature&lt;/_journal&gt;&lt;_modified&gt;64815294&lt;/_modified&gt;&lt;_volume&gt;365&lt;/_volume&gt;&lt;/Details&gt;&lt;Extra&gt;&lt;DBUID&gt;{F96A950B-833F-4880-A151-76DA2D6A2879}&lt;/DBUID&gt;&lt;/Extra&gt;&lt;/Item&gt;&lt;/References&gt;&lt;/Group&gt;&lt;/Citation&gt;_x000a_"/>
    <w:docVar w:name="NE.Ref{12D0E5F9-A018-41C4-A620-E1A4616F3431}" w:val=" ADDIN NE.Ref.{12D0E5F9-A018-41C4-A620-E1A4616F3431}&lt;Citation&gt;&lt;Group&gt;&lt;References&gt;&lt;Item&gt;&lt;ID&gt;574&lt;/ID&gt;&lt;UID&gt;{8B79778C-999A-4104-9E65-C380F3475301}&lt;/UID&gt;&lt;Title&gt;全息光镊&lt;/Title&gt;&lt;Template&gt;Book&lt;/Template&gt;&lt;Star&gt;0&lt;/Star&gt;&lt;Tag&gt;0&lt;/Tag&gt;&lt;Author/&gt;&lt;Year&gt;2015&lt;/Year&gt;&lt;Details&gt;&lt;_created&gt;64795418&lt;/_created&gt;&lt;_modified&gt;64795418&lt;/_modified&gt;&lt;_publisher&gt;全息光镊&lt;/_publisher&gt;&lt;/Details&gt;&lt;Extra&gt;&lt;DBUID&gt;{F96A950B-833F-4880-A151-76DA2D6A2879}&lt;/DBUID&gt;&lt;/Extra&gt;&lt;/Item&gt;&lt;/References&gt;&lt;/Group&gt;&lt;Group&gt;&lt;References&gt;&lt;Item&gt;&lt;ID&gt;575&lt;/ID&gt;&lt;UID&gt;{C7211F21-66D7-43CB-9188-38F81028B39B}&lt;/UID&gt;&lt;Title&gt;Optical trapping&lt;/Title&gt;&lt;Template&gt;Journal Article&lt;/Template&gt;&lt;Star&gt;0&lt;/Star&gt;&lt;Tag&gt;0&lt;/Tag&gt;&lt;Author&gt;Neuman, K C; Block, S M&lt;/Author&gt;&lt;Year&gt;2004&lt;/Year&gt;&lt;Details&gt;&lt;_collection_scope&gt;SCI;SCIE;EI&lt;/_collection_scope&gt;&lt;_created&gt;64795419&lt;/_created&gt;&lt;_impact_factor&gt;   1.523&lt;/_impact_factor&gt;&lt;_issue&gt;9&lt;/_issue&gt;&lt;_journal&gt;Review of Scientific Instruments&lt;/_journal&gt;&lt;_modified&gt;64795419&lt;/_modified&gt;&lt;_pages&gt;2787-2809&lt;/_pages&gt;&lt;_volume&gt;75&lt;/_volume&gt;&lt;/Details&gt;&lt;Extra&gt;&lt;DBUID&gt;{F96A950B-833F-4880-A151-76DA2D6A2879}&lt;/DBUID&gt;&lt;/Extra&gt;&lt;/Item&gt;&lt;/References&gt;&lt;/Group&gt;&lt;/Citation&gt;_x000a_"/>
    <w:docVar w:name="NE.Ref{1D724995-F89A-49F3-88A8-E53377CDA9B4}" w:val=" ADDIN NE.Ref.{1D724995-F89A-49F3-88A8-E53377CDA9B4}&lt;Citation&gt;&lt;Group&gt;&lt;References&gt;&lt;Item&gt;&lt;ID&gt;586&lt;/ID&gt;&lt;UID&gt;{0377D70D-37E0-48CD-8F2F-CDC8EA4EE923}&lt;/UID&gt;&lt;Title&gt;Laser-Scanning Micromanipulation and Spatial Patterning of Fine Particles&lt;/Title&gt;&lt;Template&gt;Journal Article&lt;/Template&gt;&lt;Star&gt;0&lt;/Star&gt;&lt;Tag&gt;0&lt;/Tag&gt;&lt;Author&gt;Sasaki; Keiji; Koshioka; Masanori; Misawa; Hiroaki; Kitamura; Noboru; Masuhara; Hiroshi&lt;/Author&gt;&lt;Year&gt;1991&lt;/Year&gt;&lt;Details&gt;&lt;_created&gt;64795446&lt;/_created&gt;&lt;_journal&gt;Japanese Journal of Applied Physics.pt Letters&lt;/_journal&gt;&lt;_modified&gt;64795446&lt;/_modified&gt;&lt;/Details&gt;&lt;Extra&gt;&lt;DBUID&gt;{F96A950B-833F-4880-A151-76DA2D6A2879}&lt;/DBUID&gt;&lt;/Extra&gt;&lt;/Item&gt;&lt;/References&gt;&lt;/Group&gt;&lt;/Citation&gt;_x000a_"/>
    <w:docVar w:name="NE.Ref{1E6AB985-0389-4CFC-8DF4-4710D1250BAC}" w:val=" ADDIN NE.Ref.{1E6AB985-0389-4CFC-8DF4-4710D1250BAC}&lt;Citation&gt;&lt;Group&gt;&lt;References&gt;&lt;Item&gt;&lt;ID&gt;592&lt;/ID&gt;&lt;UID&gt;{16C55733-5EC1-4C05-9679-A69A79B8B6F7}&lt;/UID&gt;&lt;Title&gt;Fast generation of holographic optical tweezers by random mask encoding of Fourier components&lt;/Title&gt;&lt;Template&gt;Journal Article&lt;/Template&gt;&lt;Star&gt;0&lt;/Star&gt;&lt;Tag&gt;0&lt;/Tag&gt;&lt;Author&gt;Montes-Usategui, M; Pleguezuelos, E; Andilla, J; Martín-Badosa, E&lt;/Author&gt;&lt;Year&gt;2006&lt;/Year&gt;&lt;Details&gt;&lt;_collection_scope&gt;SCI;SCIE;EI&lt;/_collection_scope&gt;&lt;_created&gt;64795462&lt;/_created&gt;&lt;_impact_factor&gt;   3.894&lt;/_impact_factor&gt;&lt;_issue&gt;6&lt;/_issue&gt;&lt;_journal&gt;Optics Express&lt;/_journal&gt;&lt;_modified&gt;64795462&lt;/_modified&gt;&lt;_pages&gt;2101-2107&lt;/_pages&gt;&lt;_volume&gt;14&lt;/_volume&gt;&lt;/Details&gt;&lt;Extra&gt;&lt;DBUID&gt;{F96A950B-833F-4880-A151-76DA2D6A2879}&lt;/DBUID&gt;&lt;/Extra&gt;&lt;/Item&gt;&lt;/References&gt;&lt;/Group&gt;&lt;Group&gt;&lt;References&gt;&lt;Item&gt;&lt;ID&gt;591&lt;/ID&gt;&lt;UID&gt;{E166578E-6CCB-4FFA-AE7C-F263BA10F65C}&lt;/UID&gt;&lt;Title&gt;Random mask encoding of multiplexed phase-only and binary phase-only filters&lt;/Title&gt;&lt;Template&gt;Journal Article&lt;/Template&gt;&lt;Star&gt;0&lt;/Star&gt;&lt;Tag&gt;0&lt;/Tag&gt;&lt;Author&gt;Davis, Jeffrey A; Cottrell, Don M&lt;/Author&gt;&lt;Year&gt;1994&lt;/Year&gt;&lt;Details&gt;&lt;_collection_scope&gt;SCI;SCIE;EI&lt;/_collection_scope&gt;&lt;_created&gt;64795461&lt;/_created&gt;&lt;_impact_factor&gt;   3.776&lt;/_impact_factor&gt;&lt;_issue&gt;7&lt;/_issue&gt;&lt;_journal&gt;Optics Letters&lt;/_journal&gt;&lt;_modified&gt;64795461&lt;/_modified&gt;&lt;_pages&gt;496&lt;/_pages&gt;&lt;_volume&gt;19&lt;/_volume&gt;&lt;/Details&gt;&lt;Extra&gt;&lt;DBUID&gt;{F96A950B-833F-4880-A151-76DA2D6A2879}&lt;/DBUID&gt;&lt;/Extra&gt;&lt;/Item&gt;&lt;/References&gt;&lt;/Group&gt;&lt;/Citation&gt;_x000a_"/>
    <w:docVar w:name="NE.Ref{1FC2AAC1-D85F-4CBD-A1F7-CDBF923BC5BB}" w:val=" ADDIN NE.Ref.{1FC2AAC1-D85F-4CBD-A1F7-CDBF923BC5BB}&lt;Citation&gt;&lt;Group&gt;&lt;References&gt;&lt;Item&gt;&lt;ID&gt;580&lt;/ID&gt;&lt;UID&gt;{1B8150BD-D27D-4706-807C-0A335C1BE46A}&lt;/UID&gt;&lt;Title&gt;Interferometric optical tweezers&lt;/Title&gt;&lt;Template&gt;Journal Article&lt;/Template&gt;&lt;Star&gt;0&lt;/Star&gt;&lt;Tag&gt;0&lt;/Tag&gt;&lt;Author&gt;Chiou, A E; Wen, W; Sonek, G J; Hong, J; Berns, M W&lt;/Author&gt;&lt;Year&gt;1996&lt;/Year&gt;&lt;Details&gt;&lt;_created&gt;64795429&lt;/_created&gt;&lt;_journal&gt;Optics and Photonics News&lt;/_journal&gt;&lt;_modified&gt;64795429&lt;/_modified&gt;&lt;/Details&gt;&lt;Extra&gt;&lt;DBUID&gt;{F96A950B-833F-4880-A151-76DA2D6A2879}&lt;/DBUID&gt;&lt;/Extra&gt;&lt;/Item&gt;&lt;/References&gt;&lt;/Group&gt;&lt;/Citation&gt;_x000a_"/>
    <w:docVar w:name="NE.Ref{238FC440-2B68-457B-BCF5-D25193536020}" w:val=" ADDIN NE.Ref.{238FC440-2B68-457B-BCF5-D25193536020}&lt;Citation&gt;&lt;Group&gt;&lt;References&gt;&lt;Item&gt;&lt;ID&gt;578&lt;/ID&gt;&lt;UID&gt;{27CFE7DF-7984-4533-8DBF-15EE84CCA9B5}&lt;/UID&gt;&lt;Title&gt;Optical manipulation of microscopic objects by means of vertical-cavity surface-emitting laser array sources&lt;/Title&gt;&lt;Template&gt;Journal Article&lt;/Template&gt;&lt;Star&gt;0&lt;/Star&gt;&lt;Tag&gt;0&lt;/Tag&gt;&lt;Author&gt;Ogura, Yusuke; Kagawa, Keiichiro; Tanida, Jun&lt;/Author&gt;&lt;Year&gt;2001&lt;/Year&gt;&lt;Details&gt;&lt;_collection_scope&gt;SCI;SCIE;EI&lt;/_collection_scope&gt;&lt;_created&gt;64795426&lt;/_created&gt;&lt;_impact_factor&gt;   1.980&lt;/_impact_factor&gt;&lt;_issue&gt;30&lt;/_issue&gt;&lt;_journal&gt;Applied Optics&lt;/_journal&gt;&lt;_modified&gt;64795426&lt;/_modified&gt;&lt;_pages&gt;5430-5&lt;/_pages&gt;&lt;_volume&gt;40&lt;/_volume&gt;&lt;/Details&gt;&lt;Extra&gt;&lt;DBUID&gt;{F96A950B-833F-4880-A151-76DA2D6A2879}&lt;/DBUID&gt;&lt;/Extra&gt;&lt;/Item&gt;&lt;/References&gt;&lt;/Group&gt;&lt;/Citation&gt;_x000a_"/>
    <w:docVar w:name="NE.Ref{2D8923DB-A20F-4BC3-BDC6-7FB1C4FEA874}" w:val=" ADDIN NE.Ref.{2D8923DB-A20F-4BC3-BDC6-7FB1C4FEA874}&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3320D044-B8D9-4F50-A44B-21D67287BB26}" w:val=" ADDIN NE.Ref.{3320D044-B8D9-4F50-A44B-21D67287BB26}&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3D1BA908-2400-4269-B301-52B44ADD44F4}" w:val=" ADDIN NE.Ref.{3D1BA908-2400-4269-B301-52B44ADD44F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Citation&gt;_x000a_"/>
    <w:docVar w:name="NE.Ref{3D4DF1D2-AA68-4DA2-AA2E-5F8D089ACFF2}" w:val=" ADDIN NE.Ref.{3D4DF1D2-AA68-4DA2-AA2E-5F8D089ACFF2}&lt;Citation&gt;&lt;Group&gt;&lt;References&gt;&lt;Item&gt;&lt;ID&gt;629&lt;/ID&gt;&lt;UID&gt;{79BD9FCC-EE3D-46B0-A6F4-4C60F3BA617E}&lt;/UID&gt;&lt;Title&gt;Single-molecule biomechanics with optical methods&lt;/Title&gt;&lt;Template&gt;Journal Article&lt;/Template&gt;&lt;Star&gt;0&lt;/Star&gt;&lt;Tag&gt;0&lt;/Tag&gt;&lt;Author&gt;Mehta, A D; Rief, M; Spudich, J A; Smith, D A; Simmons, R M&lt;/Author&gt;&lt;Year&gt;2019&lt;/Year&gt;&lt;Details&gt;&lt;_created&gt;64845903&lt;/_created&gt;&lt;_issue&gt;5408&lt;/_issue&gt;&lt;_journal&gt;Science (New York, N.Y.)&lt;/_journal&gt;&lt;_modified&gt;64845903&lt;/_modified&gt;&lt;_pages&gt;1689-95页&lt;/_pages&gt;&lt;_volume&gt;1999年283卷5408期&lt;/_volume&gt;&lt;/Details&gt;&lt;Extra&gt;&lt;DBUID&gt;{F96A950B-833F-4880-A151-76DA2D6A2879}&lt;/DBUID&gt;&lt;/Extra&gt;&lt;/Item&gt;&lt;/References&gt;&lt;/Group&gt;&lt;/Citation&gt;_x000a_"/>
    <w:docVar w:name="NE.Ref{4253CC93-8D51-4C66-970B-E6AAC549A5A3}" w:val=" ADDIN NE.Ref.{4253CC93-8D51-4C66-970B-E6AAC549A5A3}&lt;Citation&gt;&lt;Group&gt;&lt;References&gt;&lt;Item&gt;&lt;ID&gt;583&lt;/ID&gt;&lt;UID&gt;{25D937C2-4478-4591-AA87-3F55F8CDE481}&lt;/UID&gt;&lt;Title&gt;Optical vortex beam shaping by use of highly efficient irregular spiral phase plates for optical micromanipulation&lt;/Title&gt;&lt;Template&gt;Journal Article&lt;/Template&gt;&lt;Star&gt;0&lt;/Star&gt;&lt;Tag&gt;0&lt;/Tag&gt;&lt;Author&gt;Lee, W M; Yuan, X C; Cheong, W C&lt;/Author&gt;&lt;Year&gt;2004&lt;/Year&gt;&lt;Details&gt;&lt;_collection_scope&gt;SCI;SCIE;EI&lt;/_collection_scope&gt;&lt;_created&gt;64795435&lt;/_created&gt;&lt;_impact_factor&gt;   3.776&lt;/_impact_factor&gt;&lt;_issue&gt;15&lt;/_issue&gt;&lt;_journal&gt;Optics Letters&lt;/_journal&gt;&lt;_modified&gt;64795435&lt;/_modified&gt;&lt;_pages&gt;1796-1798&lt;/_pages&gt;&lt;_volume&gt;29&lt;/_volume&gt;&lt;/Details&gt;&lt;Extra&gt;&lt;DBUID&gt;{F96A950B-833F-4880-A151-76DA2D6A2879}&lt;/DBUID&gt;&lt;/Extra&gt;&lt;/Item&gt;&lt;/References&gt;&lt;/Group&gt;&lt;Group&gt;&lt;References&gt;&lt;Item&gt;&lt;ID&gt;584&lt;/ID&gt;&lt;UID&gt;{58B694E6-BDC3-425E-8062-37DC75A0D7F4}&lt;/UID&gt;&lt;Title&gt;Electron beam fabrication of computer-generated holograms&lt;/Title&gt;&lt;Template&gt;Journal Article&lt;/Template&gt;&lt;Star&gt;0&lt;/Star&gt;&lt;Tag&gt;0&lt;/Tag&gt;&lt;Author&gt;Arnold, S M&lt;/Author&gt;&lt;Year&gt;2001&lt;/Year&gt;&lt;Details&gt;&lt;_created&gt;64795440&lt;/_created&gt;&lt;_modified&gt;64795440&lt;/_modified&gt;&lt;/Details&gt;&lt;Extra&gt;&lt;DBUID&gt;{F96A950B-833F-4880-A151-76DA2D6A2879}&lt;/DBUID&gt;&lt;/Extra&gt;&lt;/Item&gt;&lt;/References&gt;&lt;/Group&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collection_scope&gt;EI&lt;/_collection_scope&gt;&lt;_created&gt;64795532&lt;/_created&gt;&lt;_date&gt;0001-01-01&lt;/_date&gt;&lt;_date_display&gt;01&lt;/_date_display&gt;&lt;_doi&gt;10.1117/12.571969&lt;/_doi&gt;&lt;_journal&gt;Proceedings of SPIE - The International Society for Optical Engineering&lt;/_journal&gt;&lt;_modified&gt;64848182&lt;/_modified&gt;&lt;_volume&gt;5636&lt;/_volume&gt;&lt;_accessed&gt;64848185&lt;/_accessed&gt;&lt;/Details&gt;&lt;Extra&gt;&lt;DBUID&gt;{F96A950B-833F-4880-A151-76DA2D6A2879}&lt;/DBUID&gt;&lt;/Extra&gt;&lt;/Item&gt;&lt;/References&gt;&lt;/Group&gt;&lt;/Citation&gt;_x000a_"/>
    <w:docVar w:name="NE.Ref{471AFB6D-3E57-4F79-916E-B07D42C9CA84}" w:val=" ADDIN NE.Ref.{471AFB6D-3E57-4F79-916E-B07D42C9CA84}&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db_provider&gt;CNKI&lt;/_db_provider&gt;&lt;_isbn&gt;0146-9592&lt;/_isbn&gt;&lt;_issue&gt;9&lt;/_issue&gt;&lt;_journal&gt;Optics letters&lt;/_journal&gt;&lt;_volume&gt;28&lt;/_volume&gt;&lt;_created&gt;64839880&lt;/_created&gt;&lt;_modified&gt;64839880&lt;/_modified&gt;&lt;_impact_factor&gt;   3.776&lt;/_impact_factor&gt;&lt;_collection_scope&gt;SCI;SCIE;EI&lt;/_collection_scope&gt;&lt;/Details&gt;&lt;Extra&gt;&lt;DBUID&gt;{F96A950B-833F-4880-A151-76DA2D6A2879}&lt;/DBUID&gt;&lt;/Extra&gt;&lt;/Item&gt;&lt;/References&gt;&lt;/Group&gt;&lt;/Citation&gt;_x000a_"/>
    <w:docVar w:name="NE.Ref{4D0CE8D8-5BC5-43C9-9DED-890F28930142}" w:val=" ADDIN NE.Ref.{4D0CE8D8-5BC5-43C9-9DED-890F28930142}&lt;Citation&gt;&lt;Group&gt;&lt;References&gt;&lt;Item&gt;&lt;ID&gt;619&lt;/ID&gt;&lt;UID&gt;{42A3C16F-4A39-41EE-89B1-C36EC40F7F1A}&lt;/UID&gt;&lt;Title&gt;Large deformation of living cells using laser traps&lt;/Title&gt;&lt;Template&gt;Journal Article&lt;/Template&gt;&lt;Star&gt;0&lt;/Star&gt;&lt;Tag&gt;0&lt;/Tag&gt;&lt;Author&gt;Chew, C T Lim And&lt;/Author&gt;&lt;Year&gt;2004&lt;/Year&gt;&lt;Details&gt;&lt;_collection_scope&gt;SCI;SCIE;EI&lt;/_collection_scope&gt;&lt;_created&gt;64814137&lt;/_created&gt;&lt;_impact_factor&gt;   8.203&lt;/_impact_factor&gt;&lt;_journal&gt;Acta Materialia&lt;/_journal&gt;&lt;_modified&gt;64814137&lt;/_modified&gt;&lt;/Details&gt;&lt;Extra&gt;&lt;DBUID&gt;{F96A950B-833F-4880-A151-76DA2D6A2879}&lt;/DBUID&gt;&lt;/Extra&gt;&lt;/Item&gt;&lt;/References&gt;&lt;/Group&gt;&lt;/Citation&gt;_x000a_"/>
    <w:docVar w:name="NE.Ref{52EF0A02-8DD8-48E5-AB31-24BDE31F801F}" w:val=" ADDIN NE.Ref.{52EF0A02-8DD8-48E5-AB31-24BDE31F801F}&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5316B450-CED0-4020-A24D-4129A950A124}" w:val=" ADDIN NE.Ref.{5316B450-CED0-4020-A24D-4129A950A124}&lt;Citation&gt;&lt;Group&gt;&lt;References&gt;&lt;Item&gt;&lt;ID&gt;613&lt;/ID&gt;&lt;UID&gt;{FAB1AF94-6D0E-4A34-8C81-95B0D48664F2}&lt;/UID&gt;&lt;Title&gt;Tapered fiber optical tweezers for microscopic particle trapping: fabrication and application.&lt;/Title&gt;&lt;Template&gt;Journal Article&lt;/Template&gt;&lt;Star&gt;0&lt;/Star&gt;&lt;Tag&gt;0&lt;/Tag&gt;&lt;Author&gt;Zhihai, Liu; Chengkai, Guo; Jun, Yang; Libo, Yuan&lt;/Author&gt;&lt;Year&gt;2006&lt;/Year&gt;&lt;Details&gt;&lt;_collection_scope&gt;SCI;SCIE;EI&lt;/_collection_scope&gt;&lt;_created&gt;64796611&lt;/_created&gt;&lt;_db_provider&gt;CNKI&lt;/_db_provider&gt;&lt;_impact_factor&gt;   3.894&lt;/_impact_factor&gt;&lt;_issue&gt;25&lt;/_issue&gt;&lt;_journal&gt;Optics express&lt;/_journal&gt;&lt;_modified&gt;64796611&lt;/_modified&gt;&lt;_volume&gt;14&lt;/_volume&gt;&lt;/Details&gt;&lt;Extra&gt;&lt;DBUID&gt;{F96A950B-833F-4880-A151-76DA2D6A2879}&lt;/DBUID&gt;&lt;/Extra&gt;&lt;/Item&gt;&lt;/References&gt;&lt;/Group&gt;&lt;/Citation&gt;_x000a_"/>
    <w:docVar w:name="NE.Ref{57DF5D50-0687-48F6-A387-2E08D988DA80}" w:val=" ADDIN NE.Ref.{57DF5D50-0687-48F6-A387-2E08D988DA80}&lt;Citation&gt;&lt;Group&gt;&lt;References&gt;&lt;Item&gt;&lt;ID&gt;590&lt;/ID&gt;&lt;UID&gt;{57D86934-D3BD-423C-B26A-616079ED7FB1}&lt;/UID&gt;&lt;Title&gt;Introduction to Fourier optics&lt;/Title&gt;&lt;Template&gt;Journal Article&lt;/Template&gt;&lt;Star&gt;0&lt;/Star&gt;&lt;Tag&gt;0&lt;/Tag&gt;&lt;Author&gt;Goodman, J W&lt;/Author&gt;&lt;Year&gt;1968&lt;/Year&gt;&lt;Details&gt;&lt;_created&gt;64795457&lt;/_created&gt;&lt;_journal&gt;McGraw-Hill&lt;/_journal&gt;&lt;_modified&gt;64795457&lt;/_modified&gt;&lt;/Details&gt;&lt;Extra&gt;&lt;DBUID&gt;{F96A950B-833F-4880-A151-76DA2D6A2879}&lt;/DBUID&gt;&lt;/Extra&gt;&lt;/Item&gt;&lt;/References&gt;&lt;/Group&gt;&lt;/Citation&gt;_x000a_"/>
    <w:docVar w:name="NE.Ref{62AB1FF7-0791-4F91-8FDB-EC7224A5AFE6}" w:val=" ADDIN NE.Ref.{62AB1FF7-0791-4F91-8FDB-EC7224A5AFE6}&lt;Citation&gt;&lt;Group&gt;&lt;References&gt;&lt;Item&gt;&lt;ID&gt;589&lt;/ID&gt;&lt;UID&gt;{60082D47-5585-4EAE-906A-771B390B77AA}&lt;/UID&gt;&lt;Title&gt;A new microscopic principle.&lt;/Title&gt;&lt;Template&gt;Journal Article&lt;/Template&gt;&lt;Star&gt;0&lt;/Star&gt;&lt;Tag&gt;0&lt;/Tag&gt;&lt;Author&gt;Gabor, D&lt;/Author&gt;&lt;Year&gt;1948&lt;/Year&gt;&lt;Details&gt;&lt;_collection_scope&gt;SCI;SCIE&lt;/_collection_scope&gt;&lt;_created&gt;64795456&lt;/_created&gt;&lt;_impact_factor&gt;  49.962&lt;/_impact_factor&gt;&lt;_journal&gt;Nature&lt;/_journal&gt;&lt;_modified&gt;64795456&lt;/_modified&gt;&lt;_volume&gt;161&lt;/_volume&gt;&lt;/Details&gt;&lt;Extra&gt;&lt;DBUID&gt;{F96A950B-833F-4880-A151-76DA2D6A2879}&lt;/DBUID&gt;&lt;/Extra&gt;&lt;/Item&gt;&lt;/References&gt;&lt;/Group&gt;&lt;/Citation&gt;_x000a_"/>
    <w:docVar w:name="NE.Ref{6963CE78-5E7E-41DD-A456-2C9E322EEA27}" w:val=" ADDIN NE.Ref.{6963CE78-5E7E-41DD-A456-2C9E322EEA27}&lt;Citation&gt;&lt;Group&gt;&lt;References&gt;&lt;Item&gt;&lt;ID&gt;603&lt;/ID&gt;&lt;UID&gt;{EBFDC45B-591E-4D36-A95B-CFEC3D2216DA}&lt;/UID&gt;&lt;Title&gt;Construction of multiple-beam optical traps with nanometer-resolution position sensing&lt;/Title&gt;&lt;Template&gt;Journal Article&lt;/Template&gt;&lt;Star&gt;0&lt;/Star&gt;&lt;Tag&gt;0&lt;/Tag&gt;&lt;Author&gt;Visscher, K; Gross, S P&lt;/Author&gt;&lt;Year&gt;1996&lt;/Year&gt;&lt;Details&gt;&lt;_created&gt;64795490&lt;/_created&gt;&lt;_issue&gt;4&lt;/_issue&gt;&lt;_journal&gt;Selected Topics in Quantum Electronics IEEE Journal of&lt;/_journal&gt;&lt;_modified&gt;64795490&lt;/_modified&gt;&lt;_pages&gt;1066-1076&lt;/_pages&gt;&lt;_volume&gt;2&lt;/_volume&gt;&lt;/Details&gt;&lt;Extra&gt;&lt;DBUID&gt;{F96A950B-833F-4880-A151-76DA2D6A2879}&lt;/DBUID&gt;&lt;/Extra&gt;&lt;/Item&gt;&lt;/References&gt;&lt;/Group&gt;&lt;/Citation&gt;_x000a_"/>
    <w:docVar w:name="NE.Ref{69DC1F6F-20C6-4833-8CC1-FD84AB4CB5F5}" w:val=" ADDIN NE.Ref.{69DC1F6F-20C6-4833-8CC1-FD84AB4CB5F5}&lt;Citation&gt;&lt;Group&gt;&lt;References&gt;&lt;Item&gt;&lt;ID&gt;573&lt;/ID&gt;&lt;UID&gt;{D779D2C5-BEF1-4FDD-A879-D2591192610E}&lt;/UID&gt;&lt;Title&gt;Acceleration and Trapping of Particles by Radiation Pressure&lt;/Title&gt;&lt;Template&gt;Journal Article&lt;/Template&gt;&lt;Star&gt;0&lt;/Star&gt;&lt;Tag&gt;0&lt;/Tag&gt;&lt;Author&gt;Ashkin; A.&lt;/Author&gt;&lt;Year&gt;1970&lt;/Year&gt;&lt;Details&gt;&lt;_created&gt;64795414&lt;/_created&gt;&lt;_issue&gt;4&lt;/_issue&gt;&lt;_journal&gt;Phys.rev.lett&lt;/_journal&gt;&lt;_modified&gt;64795414&lt;/_modified&gt;&lt;_pages&gt;156-159&lt;/_pages&gt;&lt;_volume&gt;24&lt;/_volume&gt;&lt;/Details&gt;&lt;Extra&gt;&lt;DBUID&gt;{F96A950B-833F-4880-A151-76DA2D6A2879}&lt;/DBUID&gt;&lt;/Extra&gt;&lt;/Item&gt;&lt;/References&gt;&lt;/Group&gt;&lt;Group&gt;&lt;References&gt;&lt;Item&gt;&lt;ID&gt;572&lt;/ID&gt;&lt;UID&gt;{ACD5B253-E0E0-4799-BB7B-ABA77B8CDFEB}&lt;/UID&gt;&lt;Title&gt;Optical Trapping and Manipulation of Neutral Particles Using Lasers&lt;/Title&gt;&lt;Template&gt;Journal Article&lt;/Template&gt;&lt;Star&gt;0&lt;/Star&gt;&lt;Tag&gt;0&lt;/Tag&gt;&lt;Author&gt;Ashkin, A&lt;/Author&gt;&lt;Year&gt;1999&lt;/Year&gt;&lt;Details&gt;&lt;_created&gt;64795412&lt;/_created&gt;&lt;_journal&gt;Optics &amp;amp; Photonics News&lt;/_journal&gt;&lt;_modified&gt;64795412&lt;/_modified&gt;&lt;/Details&gt;&lt;Extra&gt;&lt;DBUID&gt;{F96A950B-833F-4880-A151-76DA2D6A2879}&lt;/DBUID&gt;&lt;/Extra&gt;&lt;/Item&gt;&lt;/References&gt;&lt;/Group&gt;&lt;/Citation&gt;_x000a_"/>
    <w:docVar w:name="NE.Ref{6C74EB4B-53EC-4F5A-BEAF-6F6EFC9AA4A8}" w:val=" ADDIN NE.Ref.{6C74EB4B-53EC-4F5A-BEAF-6F6EFC9AA4A8}&lt;Citation&gt;&lt;Group&gt;&lt;References&gt;&lt;Item&gt;&lt;ID&gt;625&lt;/ID&gt;&lt;UID&gt;{F2FE4BDC-125B-4343-B6DD-1DD8009CBC90}&lt;/UID&gt;&lt;Title&gt;Deep learning for hologram generation.&lt;/Title&gt;&lt;Template&gt;Journal Article&lt;/Template&gt;&lt;Star&gt;0&lt;/Star&gt;&lt;Tag&gt;0&lt;/Tag&gt;&lt;Author&gt;ShengChi, Liu; Daping, Chu&lt;/Author&gt;&lt;Year&gt;2021&lt;/Year&gt;&lt;Details&gt;&lt;_collection_scope&gt;SCI;SCIE;EI&lt;/_collection_scope&gt;&lt;_created&gt;64839872&lt;/_created&gt;&lt;_db_provider&gt;CNKI&lt;/_db_provider&gt;&lt;_impact_factor&gt;   3.894&lt;/_impact_factor&gt;&lt;_issue&gt;17&lt;/_issue&gt;&lt;_journal&gt;Optics express&lt;/_journal&gt;&lt;_modified&gt;64839872&lt;/_modified&gt;&lt;_volume&gt;29&lt;/_volume&gt;&lt;/Details&gt;&lt;Extra&gt;&lt;DBUID&gt;{F96A950B-833F-4880-A151-76DA2D6A2879}&lt;/DBUID&gt;&lt;/Extra&gt;&lt;/Item&gt;&lt;/References&gt;&lt;/Group&gt;&lt;Group&gt;&lt;References&gt;&lt;Item&gt;&lt;ID&gt;626&lt;/ID&gt;&lt;UID&gt;{0E016CC4-E421-45BE-A603-BAA0C1A92F21}&lt;/UID&gt;&lt;Title&gt;Deep-learning-generated holography.&lt;/Title&gt;&lt;Template&gt;Journal Article&lt;/Template&gt;&lt;Star&gt;0&lt;/Star&gt;&lt;Tag&gt;0&lt;/Tag&gt;&lt;Author&gt;Ryoichi, Horisaki; Ryosuke, Takagi; Jun, Tanida&lt;/Author&gt;&lt;Year&gt;2018&lt;/Year&gt;&lt;Details&gt;&lt;_collection_scope&gt;SCI;SCIE;EI&lt;/_collection_scope&gt;&lt;_created&gt;64839873&lt;/_created&gt;&lt;_db_provider&gt;CNKI&lt;/_db_provider&gt;&lt;_impact_factor&gt;   1.980&lt;/_impact_factor&gt;&lt;_issue&gt;14&lt;/_issue&gt;&lt;_journal&gt;Applied optics&lt;/_journal&gt;&lt;_modified&gt;64839873&lt;/_modified&gt;&lt;_volume&gt;57&lt;/_volume&gt;&lt;/Details&gt;&lt;Extra&gt;&lt;DBUID&gt;{F96A950B-833F-4880-A151-76DA2D6A2879}&lt;/DBUID&gt;&lt;/Extra&gt;&lt;/Item&gt;&lt;/References&gt;&lt;/Group&gt;&lt;/Citation&gt;_x000a_"/>
    <w:docVar w:name="NE.Ref{6FF0AEE1-9E85-462A-B250-0694797AF500}" w:val=" ADDIN NE.Ref.{6FF0AEE1-9E85-462A-B250-0694797AF500}&lt;Citation&gt;&lt;Group&gt;&lt;References&gt;&lt;Item&gt;&lt;ID&gt;579&lt;/ID&gt;&lt;UID&gt;{D23E617D-9F07-41F1-9F78-9AFBE4E90C7C}&lt;/UID&gt;&lt;Title&gt;An imaging fiber-based optical tweezer array for microparticle array assembly&lt;/Title&gt;&lt;Template&gt;Journal Article&lt;/Template&gt;&lt;Star&gt;0&lt;/Star&gt;&lt;Tag&gt;0&lt;/Tag&gt;&lt;Author&gt;Tam, J M; Biran, I; Walt, D R&lt;/Author&gt;&lt;Year&gt;2004&lt;/Year&gt;&lt;Details&gt;&lt;_collection_scope&gt;SCI;SCIE;EI&lt;/_collection_scope&gt;&lt;_created&gt;64795428&lt;/_created&gt;&lt;_impact_factor&gt;   3.791&lt;/_impact_factor&gt;&lt;_issue&gt;21&lt;/_issue&gt;&lt;_journal&gt;Applied Physics Letters&lt;/_journal&gt;&lt;_modified&gt;64795428&lt;/_modified&gt;&lt;_pages&gt;4289-4291&lt;/_pages&gt;&lt;_volume&gt;84&lt;/_volume&gt;&lt;/Details&gt;&lt;Extra&gt;&lt;DBUID&gt;{F96A950B-833F-4880-A151-76DA2D6A2879}&lt;/DBUID&gt;&lt;/Extra&gt;&lt;/Item&gt;&lt;/References&gt;&lt;/Group&gt;&lt;/Citation&gt;_x000a_"/>
    <w:docVar w:name="NE.Ref{7C2AEEC2-CB34-422A-AC9D-7E2864F86313}" w:val=" ADDIN NE.Ref.{7C2AEEC2-CB34-422A-AC9D-7E2864F86313}&lt;Citation&gt;&lt;Group&gt;&lt;References&gt;&lt;Item&gt;&lt;ID&gt;622&lt;/ID&gt;&lt;UID&gt;{A5D819AB-8CDC-4E65-B078-446FF16288BF}&lt;/UID&gt;&lt;Title&gt;Experimental Demonstration of Violations of the Second Law of Thermodynamics for Small Systems and Short Time Scales&lt;/Title&gt;&lt;Template&gt;Journal Article&lt;/Template&gt;&lt;Star&gt;0&lt;/Star&gt;&lt;Tag&gt;0&lt;/Tag&gt;&lt;Author&gt;Wang, G M; Sevick, E M; Mittag, Emil; Searles, Debra J; Evans, Denis J&lt;/Author&gt;&lt;Year&gt;2002&lt;/Year&gt;&lt;Details&gt;&lt;_accessed&gt;64815281&lt;/_accessed&gt;&lt;_collection_scope&gt;SCI;SCIE;EI&lt;/_collection_scope&gt;&lt;_created&gt;64815279&lt;/_created&gt;&lt;_impact_factor&gt;   9.161&lt;/_impact_factor&gt;&lt;_issue&gt;5&lt;/_issue&gt;&lt;_journal&gt;Physical Review Letters&lt;/_journal&gt;&lt;_modified&gt;64815281&lt;/_modified&gt;&lt;_pages&gt;50601-50601&lt;/_pages&gt;&lt;_volume&gt;89&lt;/_volume&gt;&lt;/Details&gt;&lt;Extra&gt;&lt;DBUID&gt;{F96A950B-833F-4880-A151-76DA2D6A2879}&lt;/DBUID&gt;&lt;/Extra&gt;&lt;/Item&gt;&lt;/References&gt;&lt;/Group&gt;&lt;/Citation&gt;_x000a_"/>
    <w:docVar w:name="NE.Ref{7CE71073-C3F1-4066-99F0-6CB009396D3C}" w:val=" ADDIN NE.Ref.{7CE71073-C3F1-4066-99F0-6CB009396D3C}&lt;Citation&gt;&lt;Group&gt;&lt;References&gt;&lt;Item&gt;&lt;ID&gt;612&lt;/ID&gt;&lt;UID&gt;{D47F3871-16F1-486B-B1AE-6EF4C79E1B2A}&lt;/UID&gt;&lt;Title&gt;Demonstration of a fiber-optical light-force trap&lt;/Title&gt;&lt;Template&gt;Journal Article&lt;/Template&gt;&lt;Star&gt;0&lt;/Star&gt;&lt;Tag&gt;0&lt;/Tag&gt;&lt;Author&gt;Constable, A; Kim, J; Mervis, J; Zarinetchi, F; Prentiss, M&lt;/Author&gt;&lt;Year&gt;1993&lt;/Year&gt;&lt;Details&gt;&lt;_collection_scope&gt;SCI;SCIE;EI&lt;/_collection_scope&gt;&lt;_created&gt;64796576&lt;/_created&gt;&lt;_db_provider&gt;CNKI&lt;/_db_provider&gt;&lt;_impact_factor&gt;   3.776&lt;/_impact_factor&gt;&lt;_isbn&gt;0146-9592 (Print); 0146-9592 (Linking)&lt;/_isbn&gt;&lt;_issue&gt;21&lt;/_issue&gt;&lt;_journal&gt;Opt Lett&lt;/_journal&gt;&lt;_modified&gt;64848197&lt;/_modified&gt;&lt;_volume&gt;18&lt;/_volume&gt;&lt;_url&gt;http://www.ncbi.nlm.nih.gov/entrez/query.fcgi?cmd=Retrieve&amp;amp;db=pubmed&amp;amp;dopt=Abstract&amp;amp;list_uids=19829431&amp;amp;query_hl=1&lt;/_url&gt;&lt;_pages&gt;1867-9&lt;/_pages&gt;&lt;_tertiary_title&gt;Optics letters&lt;/_tertiary_title&gt;&lt;_doi&gt;10.1364/ol.18.001867&lt;/_doi&gt;&lt;_date_display&gt;1993 Nov 1&lt;/_date_display&gt;&lt;_date&gt;49351680&lt;/_date&gt;&lt;_type_work&gt;Journal Article&lt;/_type_work&gt;&lt;_accession_num&gt;19829431&lt;/_accession_num&gt;&lt;_language&gt;eng&lt;/_language&gt;&lt;_accessed&gt;64848197&lt;/_accessed&gt;&lt;_db_updated&gt;PubMed&lt;/_db_updated&gt;&lt;/Details&gt;&lt;Extra&gt;&lt;DBUID&gt;{F96A950B-833F-4880-A151-76DA2D6A2879}&lt;/DBUID&gt;&lt;/Extra&gt;&lt;/Item&gt;&lt;/References&gt;&lt;/Group&gt;&lt;/Citation&gt;_x000a_"/>
    <w:docVar w:name="NE.Ref{87579DD0-DD33-45E8-8BF1-992111A90983}" w:val=" ADDIN NE.Ref.{87579DD0-DD33-45E8-8BF1-992111A90983}&lt;Citation&gt;&lt;Group&gt;&lt;References&gt;&lt;Item&gt;&lt;ID&gt;581&lt;/ID&gt;&lt;UID&gt;{C6CAAD39-D7CF-4657-B1CC-EC5A7340C399}&lt;/UID&gt;&lt;Title&gt;Microfabricated-composite-hologram-enabled multiple channel longitudinal optical guiding of microparticles in nondiffracting core of a Bessel beam array&lt;/Title&gt;&lt;Template&gt;Journal Article&lt;/Template&gt;&lt;Star&gt;0&lt;/Star&gt;&lt;Tag&gt;0&lt;/Tag&gt;&lt;Author&gt;Ahluwalia, Bps; Yuan, X C; Tao, S H; Bu, J; Wang, H; Peng, X; Niu, H B&lt;/Author&gt;&lt;Year&gt;2005&lt;/Year&gt;&lt;Details&gt;&lt;_collection_scope&gt;SCI;SCIE;EI&lt;/_collection_scope&gt;&lt;_created&gt;64795432&lt;/_created&gt;&lt;_impact_factor&gt;   3.791&lt;/_impact_factor&gt;&lt;_issue&gt;8&lt;/_issue&gt;&lt;_journal&gt;Applied Physics Letters&lt;/_journal&gt;&lt;_modified&gt;64795432&lt;/_modified&gt;&lt;_pages&gt;5&lt;/_pages&gt;&lt;_volume&gt;87&lt;/_volume&gt;&lt;/Details&gt;&lt;Extra&gt;&lt;DBUID&gt;{F96A950B-833F-4880-A151-76DA2D6A2879}&lt;/DBUID&gt;&lt;/Extra&gt;&lt;/Item&gt;&lt;/References&gt;&lt;/Group&gt;&lt;Group&gt;&lt;References&gt;&lt;Item&gt;&lt;ID&gt;582&lt;/ID&gt;&lt;UID&gt;{1F23C672-55CF-4873-8D8A-E383300EEFF3}&lt;/UID&gt;&lt;Title&gt;Adjustable diffractive spiral phase plates&lt;/Title&gt;&lt;Template&gt;Journal Article&lt;/Template&gt;&lt;Star&gt;0&lt;/Star&gt;&lt;Tag&gt;0&lt;/Tag&gt;&lt;Author&gt;Harm, W; Bernet, S; Ritsch-Marte, M; Harder, I; Lindlein, N&lt;/Author&gt;&lt;Year&gt;2015&lt;/Year&gt;&lt;Details&gt;&lt;_collection_scope&gt;SCI;SCIE;EI&lt;/_collection_scope&gt;&lt;_created&gt;64795433&lt;/_created&gt;&lt;_impact_factor&gt;   3.894&lt;/_impact_factor&gt;&lt;_issue&gt;1&lt;/_issue&gt;&lt;_journal&gt;Optics Express&lt;/_journal&gt;&lt;_modified&gt;64795433&lt;/_modified&gt;&lt;_pages&gt;413-21&lt;/_pages&gt;&lt;_volume&gt;23&lt;/_volume&gt;&lt;/Details&gt;&lt;Extra&gt;&lt;DBUID&gt;{F96A950B-833F-4880-A151-76DA2D6A2879}&lt;/DBUID&gt;&lt;/Extra&gt;&lt;/Item&gt;&lt;/References&gt;&lt;/Group&gt;&lt;/Citation&gt;_x000a_"/>
    <w:docVar w:name="NE.Ref{8AA7654C-E589-4EF4-A945-971A83B241EE}" w:val=" ADDIN NE.Ref.{8AA7654C-E589-4EF4-A945-971A83B241EE}&lt;Citation&gt;&lt;Group&gt;&lt;References&gt;&lt;Item&gt;&lt;ID&gt;608&lt;/ID&gt;&lt;UID&gt;{B4258A94-E76F-4FAB-8E30-57139CC091DD}&lt;/UID&gt;&lt;Title&gt;A Step-by-step Guide to the Realisation of Advanced Optical Tweezers&lt;/Title&gt;&lt;Template&gt;Patent&lt;/Template&gt;&lt;Star&gt;0&lt;/Star&gt;&lt;Tag&gt;0&lt;/Tag&gt;&lt;Author&gt;Pesce, Giuseppe; Volpe, Giorgio; Maragó, Onofrio M; Jones, Philip H; Gigan, Sylvain; Sasso, Antonio; Volpe, Giovanni&lt;/Author&gt;&lt;Year&gt;2015&lt;/Year&gt;&lt;Details&gt;&lt;_pages&gt;B84-B98&lt;/_pages&gt;&lt;_publisher&gt;arXiv&lt;/_publisher&gt;&lt;_created&gt;64795526&lt;/_created&gt;&lt;_modified&gt;64795526&lt;/_modified&gt;&lt;/Details&gt;&lt;Extra&gt;&lt;DBUID&gt;{F96A950B-833F-4880-A151-76DA2D6A2879}&lt;/DBUID&gt;&lt;/Extra&gt;&lt;/Item&gt;&lt;/References&gt;&lt;/Group&gt;&lt;/Citation&gt;_x000a_"/>
    <w:docVar w:name="NE.Ref{8B8E881F-A9DB-431C-8A16-117465AC6A31}" w:val=" ADDIN NE.Ref.{8B8E881F-A9DB-431C-8A16-117465AC6A31}&lt;Citation&gt;&lt;Group&gt;&lt;References&gt;&lt;Item&gt;&lt;ID&gt;598&lt;/ID&gt;&lt;UID&gt;{831CFE79-D7D2-472E-B0A0-F0C7A4B8A221}&lt;/UID&gt;&lt;Title&gt;A practical algorithm for the determination of phase from image and diffraction plane pictures&lt;/Title&gt;&lt;Template&gt;Journal Article&lt;/Template&gt;&lt;Star&gt;0&lt;/Star&gt;&lt;Tag&gt;0&lt;/Tag&gt;&lt;Author&gt;Gerchberg, R W; O., A Saxton W&lt;/Author&gt;&lt;Year&gt;1972&lt;/Year&gt;&lt;Details&gt;&lt;_collection_scope&gt;SCI;SCIE;EI&lt;/_collection_scope&gt;&lt;_created&gt;64795474&lt;/_created&gt;&lt;_impact_factor&gt;   2.443&lt;/_impact_factor&gt;&lt;_journal&gt;Optik&lt;/_journal&gt;&lt;_modified&gt;64795474&lt;/_modified&gt;&lt;_pages&gt;237-250&lt;/_pages&gt;&lt;_volume&gt;35&lt;/_volume&gt;&lt;/Details&gt;&lt;Extra&gt;&lt;DBUID&gt;{F96A950B-833F-4880-A151-76DA2D6A2879}&lt;/DBUID&gt;&lt;/Extra&gt;&lt;/Item&gt;&lt;/References&gt;&lt;/Group&gt;&lt;/Citation&gt;_x000a_"/>
    <w:docVar w:name="NE.Ref{8FAE91AE-BB41-4D5C-B25E-9DFF3E86EB48}" w:val=" ADDIN NE.Ref.{8FAE91AE-BB41-4D5C-B25E-9DFF3E86EB48}&lt;Citation&gt;&lt;Group&gt;&lt;References&gt;&lt;Item&gt;&lt;ID&gt;615&lt;/ID&gt;&lt;UID&gt;{736A39E7-46C6-4CAF-A6DB-3A7E82FB895A}&lt;/UID&gt;&lt;Title&gt;A non-contact single optical fiber multi-optical tweezers probe: Design and fabrication&lt;/Title&gt;&lt;Template&gt;Journal Article&lt;/Template&gt;&lt;Star&gt;0&lt;/Star&gt;&lt;Tag&gt;0&lt;/Tag&gt;&lt;Author&gt;Zhang, Y; Liu, Z; Yang, J; Yuan, L&lt;/Author&gt;&lt;Year&gt;2012&lt;/Year&gt;&lt;Details&gt;&lt;_collection_scope&gt;SCI;SCIE;EI&lt;/_collection_scope&gt;&lt;_created&gt;64796915&lt;/_created&gt;&lt;_impact_factor&gt;   2.310&lt;/_impact_factor&gt;&lt;_issue&gt;20&lt;/_issue&gt;&lt;_journal&gt;Optics Communications&lt;/_journal&gt;&lt;_modified&gt;64796915&lt;/_modified&gt;&lt;_pages&gt;4068–4071&lt;/_pages&gt;&lt;_volume&gt;285&lt;/_volume&gt;&lt;/Details&gt;&lt;Extra&gt;&lt;DBUID&gt;{F96A950B-833F-4880-A151-76DA2D6A2879}&lt;/DBUID&gt;&lt;/Extra&gt;&lt;/Item&gt;&lt;/References&gt;&lt;/Group&gt;&lt;/Citation&gt;_x000a_"/>
    <w:docVar w:name="NE.Ref{9DFA44BC-300E-48CA-A5A5-6C79EC1175BC}" w:val=" ADDIN NE.Ref.{9DFA44BC-300E-48CA-A5A5-6C79EC1175BC}&lt;Citation&gt;&lt;Group&gt;&lt;References&gt;&lt;Item&gt;&lt;ID&gt;618&lt;/ID&gt;&lt;UID&gt;{71E4C969-335E-4324-B9D5-0DAAD39C74E5}&lt;/UID&gt;&lt;Title&gt;3D trapping and manipulation of micro-particles using holographic optical tweezers with optimized computer-generated holograms&lt;/Title&gt;&lt;Template&gt;Journal Article&lt;/Template&gt;&lt;Star&gt;0&lt;/Star&gt;&lt;Tag&gt;0&lt;/Tag&gt;&lt;Author&gt;Tao; Tao; Jing; Li; Qian; Long; Xiaoping; Wu&lt;/Author&gt;&lt;Year&gt;2011&lt;/Year&gt;&lt;Details&gt;&lt;_collection_scope&gt;SCIE;CSCD;EI&lt;/_collection_scope&gt;&lt;_created&gt;64808365&lt;/_created&gt;&lt;_impact_factor&gt;   2.448&lt;/_impact_factor&gt;&lt;_journal&gt;Chinese Optics Letters&lt;/_journal&gt;&lt;_modified&gt;64808365&lt;/_modified&gt;&lt;/Details&gt;&lt;Extra&gt;&lt;DBUID&gt;{F96A950B-833F-4880-A151-76DA2D6A2879}&lt;/DBUID&gt;&lt;/Extra&gt;&lt;/Item&gt;&lt;/References&gt;&lt;/Group&gt;&lt;/Citation&gt;_x000a_"/>
    <w:docVar w:name="NE.Ref{A81E2416-7CAA-4A6A-BBFC-C875CB78DE0A}" w:val=" ADDIN NE.Ref.{A81E2416-7CAA-4A6A-BBFC-C875CB78DE0A}&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collection_scope&gt;SCI;SCIE;EI&lt;/_collection_scope&gt;&lt;_created&gt;64795476&lt;/_created&gt;&lt;_impact_factor&gt;   1.523&lt;/_impact_factor&gt;&lt;_issue&gt;3&lt;/_issue&gt;&lt;_journal&gt;Review of Scientific Instruments&lt;/_journal&gt;&lt;_modified&gt;64795476&lt;/_modified&gt;&lt;_pages&gt;1810-1816&lt;/_pages&gt;&lt;_volume&gt;72&lt;/_volume&gt;&lt;/Details&gt;&lt;Extra&gt;&lt;DBUID&gt;{F96A950B-833F-4880-A151-76DA2D6A2879}&lt;/DBUID&gt;&lt;/Extra&gt;&lt;/Item&gt;&lt;/References&gt;&lt;/Group&gt;&lt;/Citation&gt;_x000a_"/>
    <w:docVar w:name="NE.Ref{ACE56A50-2BE4-49BB-8F94-7AF0ECEE8B86}" w:val=" ADDIN NE.Ref.{ACE56A50-2BE4-49BB-8F94-7AF0ECEE8B86}&lt;Citation&gt;&lt;Group&gt;&lt;References&gt;&lt;Item&gt;&lt;ID&gt;628&lt;/ID&gt;&lt;UID&gt;{1D48AFD0-42D9-4313-972B-96267CFF45C7}&lt;/UID&gt;&lt;Title&gt;Force Effects on Biochemical Kinetics&lt;/Title&gt;&lt;Template&gt;Journal Article&lt;/Template&gt;&lt;Star&gt;0&lt;/Star&gt;&lt;Tag&gt;0&lt;/Tag&gt;&lt;Author&gt;Khan, Shahid; Sheetz, Michael P&lt;/Author&gt;&lt;Year&gt;1997&lt;/Year&gt;&lt;Details&gt;&lt;_author_adr&gt;Department of Physiology and Biophysics, Albert Einstein College of Medicine, 1300 Morris Park Avenue, Bronx, New York 10461  Department of Cell Biology, Duke University Medical Center, Durham, North Carolina 27710&lt;/_author_adr&gt;&lt;_collection_scope&gt;SCI;SCIE&lt;/_collection_scope&gt;&lt;_created&gt;64845894&lt;/_created&gt;&lt;_db_provider&gt;CNKI&lt;/_db_provider&gt;&lt;_impact_factor&gt;  23.643&lt;/_impact_factor&gt;&lt;_isbn&gt;0066-4154&lt;/_isbn&gt;&lt;_issue&gt;1&lt;/_issue&gt;&lt;_journal&gt;Annual Review of Biochemistry&lt;/_journal&gt;&lt;_modified&gt;64845894&lt;/_modified&gt;&lt;_volume&gt;66&lt;/_volume&gt;&lt;/Details&gt;&lt;Extra&gt;&lt;DBUID&gt;{F96A950B-833F-4880-A151-76DA2D6A2879}&lt;/DBUID&gt;&lt;/Extra&gt;&lt;/Item&gt;&lt;/References&gt;&lt;/Group&gt;&lt;/Citation&gt;_x000a_"/>
    <w:docVar w:name="NE.Ref{AD537CAD-D610-455A-8286-241F59FB5BC8}" w:val=" ADDIN NE.Ref.{AD537CAD-D610-455A-8286-241F59FB5BC8}&lt;Citation&gt;&lt;Group&gt;&lt;References&gt;&lt;Item&gt;&lt;ID&gt;600&lt;/ID&gt;&lt;UID&gt;{75D93F0A-1850-4475-840A-103ACE80104C}&lt;/UID&gt;&lt;Title&gt;Computer generation of optimal holograms for optical trap arrays.&lt;/Title&gt;&lt;Template&gt;Journal Article&lt;/Template&gt;&lt;Star&gt;0&lt;/Star&gt;&lt;Tag&gt;0&lt;/Tag&gt;&lt;Author&gt;&amp;quot;Di Leonardo Roberto&amp;quot;; Francesca, Ianni; Giancarlo, Ruocco&lt;/Author&gt;&lt;Year&gt;2007&lt;/Year&gt;&lt;Details&gt;&lt;_collection_scope&gt;SCI;SCIE;EI&lt;/_collection_scope&gt;&lt;_created&gt;64795478&lt;/_created&gt;&lt;_db_provider&gt;CNKI&lt;/_db_provider&gt;&lt;_impact_factor&gt;   3.894&lt;/_impact_factor&gt;&lt;_issue&gt;4&lt;/_issue&gt;&lt;_journal&gt;Optics express&lt;/_journal&gt;&lt;_modified&gt;64795478&lt;/_modified&gt;&lt;_volume&gt;15&lt;/_volume&gt;&lt;/Details&gt;&lt;Extra&gt;&lt;DBUID&gt;{F96A950B-833F-4880-A151-76DA2D6A2879}&lt;/DBUID&gt;&lt;/Extra&gt;&lt;/Item&gt;&lt;/References&gt;&lt;/Group&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Citation&gt;_x000a_"/>
    <w:docVar w:name="NE.Ref{B3ABF8C1-45BB-4A43-9B03-E1336CBE2405}" w:val=" ADDIN NE.Ref.{B3ABF8C1-45BB-4A43-9B03-E1336CBE2405}&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B77704E0-4C4D-4E73-AD87-F88AD1CBB743}" w:val=" ADDIN NE.Ref.{B77704E0-4C4D-4E73-AD87-F88AD1CBB743}&lt;Citation&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Group&gt;&lt;References&gt;&lt;Item&gt;&lt;ID&gt;605&lt;/ID&gt;&lt;UID&gt;{E1179E77-7689-48BC-8B83-3F7CCA04E0D7}&lt;/UID&gt;&lt;Title&gt;全息光镊技术的捕获性能研究与算法优化&lt;/Title&gt;&lt;Template&gt;Thesis&lt;/Template&gt;&lt;Star&gt;0&lt;/Star&gt;&lt;Tag&gt;0&lt;/Tag&gt;&lt;Author&gt;何旻儒&lt;/Author&gt;&lt;Year&gt;0&lt;/Year&gt;&lt;Details&gt;&lt;_created&gt;64795517&lt;/_created&gt;&lt;_modified&gt;64795517&lt;/_modified&gt;&lt;_publisher&gt;中国科学院大学&lt;/_publisher&gt;&lt;_translated_author&gt;He, Minru&lt;/_translated_author&gt;&lt;/Details&gt;&lt;Extra&gt;&lt;DBUID&gt;{F96A950B-833F-4880-A151-76DA2D6A2879}&lt;/DBUID&gt;&lt;/Extra&gt;&lt;/Item&gt;&lt;/References&gt;&lt;/Group&gt;&lt;/Citation&gt;_x000a_"/>
    <w:docVar w:name="NE.Ref{BCC81C46-3191-4BBC-A7A5-675EE0F402C2}" w:val=" ADDIN NE.Ref.{BCC81C46-3191-4BBC-A7A5-675EE0F402C2}&lt;Citation&gt;&lt;Group&gt;&lt;References&gt;&lt;Item&gt;&lt;ID&gt;576&lt;/ID&gt;&lt;UID&gt;{9A372EB9-F243-45FF-8BE2-D29312E0A1F1}&lt;/UID&gt;&lt;Title&gt;Design for fully steerable dual-trap optical tweezers&lt;/Title&gt;&lt;Template&gt;Journal Article&lt;/Template&gt;&lt;Star&gt;0&lt;/Star&gt;&lt;Tag&gt;0&lt;/Tag&gt;&lt;Author&gt;Fllman, Erik; Axner, O&lt;/Author&gt;&lt;Year&gt;1997&lt;/Year&gt;&lt;Details&gt;&lt;_collection_scope&gt;SCI;SCIE;EI&lt;/_collection_scope&gt;&lt;_created&gt;64795423&lt;/_created&gt;&lt;_impact_factor&gt;   1.980&lt;/_impact_factor&gt;&lt;_issue&gt;10&lt;/_issue&gt;&lt;_journal&gt;Applied Optics&lt;/_journal&gt;&lt;_modified&gt;64795423&lt;/_modified&gt;&lt;_pages&gt;2107-13&lt;/_pages&gt;&lt;_volume&gt;36&lt;/_volume&gt;&lt;/Details&gt;&lt;Extra&gt;&lt;DBUID&gt;{F96A950B-833F-4880-A151-76DA2D6A2879}&lt;/DBUID&gt;&lt;/Extra&gt;&lt;/Item&gt;&lt;/References&gt;&lt;/Group&gt;&lt;/Citation&gt;_x000a_"/>
    <w:docVar w:name="NE.Ref{BDA5A394-25F6-4D12-98D7-4C1F4F88D572}" w:val=" ADDIN NE.Ref.{BDA5A394-25F6-4D12-98D7-4C1F4F88D572}&lt;Citation&gt;&lt;Group&gt;&lt;References&gt;&lt;Item&gt;&lt;ID&gt;604&lt;/ID&gt;&lt;UID&gt;{1325AB62-1481-4FEF-985F-502761376866}&lt;/UID&gt;&lt;Title&gt;Trapping performance of holographic optical tweezers generated with different hologram algorithms&lt;/Title&gt;&lt;Template&gt;Journal Article&lt;/Template&gt;&lt;Star&gt;0&lt;/Star&gt;&lt;Tag&gt;0&lt;/Tag&gt;&lt;Author&gt;He, M R; Liang, Y S; Bianco, P R; Wang, Z J; Lei, M&lt;/Author&gt;&lt;Year&gt;2021&lt;/Year&gt;&lt;Details&gt;&lt;_collection_scope&gt;SCIE;EI&lt;/_collection_scope&gt;&lt;_created&gt;64795511&lt;/_created&gt;&lt;_impact_factor&gt;   1.548&lt;/_impact_factor&gt;&lt;_issue&gt;3&lt;/_issue&gt;&lt;_journal&gt;AIP Advances&lt;/_journal&gt;&lt;_modified&gt;64795511&lt;/_modified&gt;&lt;_pages&gt;035130&lt;/_pages&gt;&lt;_volume&gt;11&lt;/_volume&gt;&lt;/Details&gt;&lt;Extra&gt;&lt;DBUID&gt;{F96A950B-833F-4880-A151-76DA2D6A2879}&lt;/DBUID&gt;&lt;/Extra&gt;&lt;/Item&gt;&lt;/References&gt;&lt;/Group&gt;&lt;/Citation&gt;_x000a_"/>
    <w:docVar w:name="NE.Ref{BE9565EC-33BB-459D-9049-DB608F0BE9EA}" w:val=" ADDIN NE.Ref.{BE9565EC-33BB-459D-9049-DB608F0BE9EA}&lt;Citation&gt;&lt;Group&gt;&lt;References&gt;&lt;Item&gt;&lt;ID&gt;588&lt;/ID&gt;&lt;UID&gt;{2D271C90-B142-47BF-A89F-D4B285575F63}&lt;/UID&gt;&lt;Title&gt;Design of a scanning laser optical trap for multiparticle manipulation&lt;/Title&gt;&lt;Template&gt;Journal Article&lt;/Template&gt;&lt;Star&gt;0&lt;/Star&gt;&lt;Tag&gt;0&lt;/Tag&gt;&lt;Author&gt;Mio, C; Gong, T; Terray, A; Marr, Dwm&lt;/Author&gt;&lt;Year&gt;2000&lt;/Year&gt;&lt;Details&gt;&lt;_collection_scope&gt;SCI;SCIE;EI&lt;/_collection_scope&gt;&lt;_created&gt;64795452&lt;/_created&gt;&lt;_impact_factor&gt;   1.523&lt;/_impact_factor&gt;&lt;_issue&gt;5&lt;/_issue&gt;&lt;_journal&gt;Review of Scientific Instruments&lt;/_journal&gt;&lt;_modified&gt;64795452&lt;/_modified&gt;&lt;_pages&gt;2196-2200&lt;/_pages&gt;&lt;_volume&gt;71&lt;/_volume&gt;&lt;/Details&gt;&lt;Extra&gt;&lt;DBUID&gt;{F96A950B-833F-4880-A151-76DA2D6A2879}&lt;/DBUID&gt;&lt;/Extra&gt;&lt;/Item&gt;&lt;/References&gt;&lt;/Group&gt;&lt;/Citation&gt;_x000a_"/>
    <w:docVar w:name="NE.Ref{BFB29727-9375-4AE7-A652-2D5C24DC5BFF}" w:val=" ADDIN NE.Ref.{BFB29727-9375-4AE7-A652-2D5C24DC5BFF}&lt;Citation&gt;&lt;Group&gt;&lt;References&gt;&lt;Item&gt;&lt;ID&gt;593&lt;/ID&gt;&lt;UID&gt;{BD14C21E-7563-4FE2-95E9-693AA9834385}&lt;/UID&gt;&lt;Title&gt;Multi-functional optical tweezers using computer-generated holograms&lt;/Title&gt;&lt;Template&gt;Journal Article&lt;/Template&gt;&lt;Star&gt;0&lt;/Star&gt;&lt;Tag&gt;0&lt;/Tag&gt;&lt;Author&gt;Liesener, J; Reicherter, M; Haist, T; Tiziani, H J&lt;/Author&gt;&lt;Year&gt;2000&lt;/Year&gt;&lt;Details&gt;&lt;_collection_scope&gt;SCI;SCIE;EI&lt;/_collection_scope&gt;&lt;_created&gt;64795464&lt;/_created&gt;&lt;_impact_factor&gt;   2.310&lt;/_impact_factor&gt;&lt;_issue&gt;1-3&lt;/_issue&gt;&lt;_journal&gt;Optics Communications&lt;/_journal&gt;&lt;_modified&gt;64795464&lt;/_modified&gt;&lt;_pages&gt;77-82&lt;/_pages&gt;&lt;_volume&gt;185&lt;/_volume&gt;&lt;/Details&gt;&lt;Extra&gt;&lt;DBUID&gt;{F96A950B-833F-4880-A151-76DA2D6A2879}&lt;/DBUID&gt;&lt;/Extra&gt;&lt;/Item&gt;&lt;/References&gt;&lt;/Group&gt;&lt;/Citation&gt;_x000a_"/>
    <w:docVar w:name="NE.Ref{C1557C7E-5CA1-4815-AE64-3E54C6F8F8D0}" w:val=" ADDIN NE.Ref.{C1557C7E-5CA1-4815-AE64-3E54C6F8F8D0}&lt;Citation&gt;&lt;Group&gt;&lt;References&gt;&lt;Item&gt;&lt;ID&gt;621&lt;/ID&gt;&lt;UID&gt;{118D4659-6767-4399-935A-21DDDD067BBD}&lt;/UID&gt;&lt;Title&gt;Microfluidic sorting in an optical lattice&lt;/Title&gt;&lt;Template&gt;Journal Article&lt;/Template&gt;&lt;Star&gt;0&lt;/Star&gt;&lt;Tag&gt;0&lt;/Tag&gt;&lt;Author&gt;Macdonald, M P; Spalding, G C; Dholakia, K&lt;/Author&gt;&lt;Year&gt;0&lt;/Year&gt;&lt;Details&gt;&lt;_created&gt;64815268&lt;/_created&gt;&lt;_modified&gt;64815268&lt;/_modified&gt;&lt;/Details&gt;&lt;Extra&gt;&lt;DBUID&gt;{F96A950B-833F-4880-A151-76DA2D6A2879}&lt;/DBUID&gt;&lt;/Extra&gt;&lt;/Item&gt;&lt;/References&gt;&lt;/Group&gt;&lt;/Citation&gt;_x000a_"/>
    <w:docVar w:name="NE.Ref{C4E0AC81-2F73-4A68-B7BA-744E2BE792D3}" w:val=" ADDIN NE.Ref.{C4E0AC81-2F73-4A68-B7BA-744E2BE792D3}&lt;Citation&gt;&lt;Group&gt;&lt;References&gt;&lt;Item&gt;&lt;ID&gt;614&lt;/ID&gt;&lt;UID&gt;{0A57C0B3-1306-47ED-87E8-978B9E8EF747}&lt;/UID&gt;&lt;Title&gt;Twin-core fiber optical tweezers&lt;/Title&gt;&lt;Template&gt;Journal Article&lt;/Template&gt;&lt;Star&gt;0&lt;/Star&gt;&lt;Tag&gt;0&lt;/Tag&gt;&lt;Author&gt;Libo, Yuan; Zhihai, Liu; Jun, Yang; Chunying, Guan&lt;/Author&gt;&lt;Year&gt;2008&lt;/Year&gt;&lt;Details&gt;&lt;_collection_scope&gt;SCI;SCIE;EI&lt;/_collection_scope&gt;&lt;_created&gt;64796905&lt;/_created&gt;&lt;_impact_factor&gt;   3.894&lt;/_impact_factor&gt;&lt;_journal&gt;Opt. Express&lt;/_journal&gt;&lt;_modified&gt;64796905&lt;/_modified&gt;&lt;/Details&gt;&lt;Extra&gt;&lt;DBUID&gt;{F96A950B-833F-4880-A151-76DA2D6A2879}&lt;/DBUID&gt;&lt;/Extra&gt;&lt;/Item&gt;&lt;/References&gt;&lt;/Group&gt;&lt;/Citation&gt;_x000a_"/>
    <w:docVar w:name="NE.Ref{C9B835D1-11C3-4196-9CFE-A09FFD9A5560}" w:val=" ADDIN NE.Ref.{C9B835D1-11C3-4196-9CFE-A09FFD9A5560}&lt;Citation&gt;&lt;Group&gt;&lt;References&gt;&lt;Item&gt;&lt;ID&gt;616&lt;/ID&gt;&lt;UID&gt;{75257E37-C0DB-410D-A931-60119FDE3ED0}&lt;/UID&gt;&lt;Title&gt;Computer-generated holograms from 3D-objects written on twisted-nematic liquid crystal displays&lt;/Title&gt;&lt;Template&gt;Journal Article&lt;/Template&gt;&lt;Star&gt;0&lt;/Star&gt;&lt;Tag&gt;0&lt;/Tag&gt;&lt;Author&gt;Haist, T; Schnleber, M; Tiziani, H J&lt;/Author&gt;&lt;Year&gt;1997&lt;/Year&gt;&lt;Details&gt;&lt;_collection_scope&gt;SCI;SCIE;EI&lt;/_collection_scope&gt;&lt;_created&gt;64808230&lt;/_created&gt;&lt;_impact_factor&gt;   2.310&lt;/_impact_factor&gt;&lt;_issue&gt;4–6&lt;/_issue&gt;&lt;_journal&gt;Optics Communications&lt;/_journal&gt;&lt;_modified&gt;64808230&lt;/_modified&gt;&lt;_pages&gt;299-308&lt;/_pages&gt;&lt;_volume&gt;140&lt;/_volume&gt;&lt;/Details&gt;&lt;Extra&gt;&lt;DBUID&gt;{F96A950B-833F-4880-A151-76DA2D6A2879}&lt;/DBUID&gt;&lt;/Extra&gt;&lt;/Item&gt;&lt;/References&gt;&lt;/Group&gt;&lt;/Citation&gt;_x000a_"/>
    <w:docVar w:name="NE.Ref{CB0E3338-0872-472F-9D16-EB505EF40857}" w:val=" ADDIN NE.Ref.{CB0E3338-0872-472F-9D16-EB505EF40857}&lt;Citation&gt;&lt;Group&gt;&lt;References&gt;&lt;Item&gt;&lt;ID&gt;620&lt;/ID&gt;&lt;UID&gt;{3258B338-274A-4E34-818B-6128E9954366}&lt;/UID&gt;&lt;Title&gt;Counter-propagating dual-trap optical tweezers based on linear momentum conservation&lt;/Title&gt;&lt;Template&gt;Journal Article&lt;/Template&gt;&lt;Star&gt;0&lt;/Star&gt;&lt;Tag&gt;0&lt;/Tag&gt;&lt;Author&gt;Ribezzi-Crivellari, M; Huguet, J M; Ritort, F&lt;/Author&gt;&lt;Year&gt;2013&lt;/Year&gt;&lt;Details&gt;&lt;_collection_scope&gt;SCI;SCIE;EI&lt;/_collection_scope&gt;&lt;_created&gt;64814144&lt;/_created&gt;&lt;_impact_factor&gt;   1.523&lt;/_impact_factor&gt;&lt;_issue&gt;4&lt;/_issue&gt;&lt;_journal&gt;Review of Scientific Instruments&lt;/_journal&gt;&lt;_modified&gt;64814144&lt;/_modified&gt;&lt;_pages&gt;205&lt;/_pages&gt;&lt;_volume&gt;84&lt;/_volume&gt;&lt;/Details&gt;&lt;Extra&gt;&lt;DBUID&gt;{F96A950B-833F-4880-A151-76DA2D6A2879}&lt;/DBUID&gt;&lt;/Extra&gt;&lt;/Item&gt;&lt;/References&gt;&lt;/Group&gt;&lt;/Citation&gt;_x000a_"/>
    <w:docVar w:name="NE.Ref{D1992B25-C6A0-4466-B8A4-414DB90F682E}" w:val=" ADDIN NE.Ref.{D1992B25-C6A0-4466-B8A4-414DB90F682E}&lt;Citation&gt;&lt;Group&gt;&lt;References&gt;&lt;Item&gt;&lt;ID&gt;617&lt;/ID&gt;&lt;UID&gt;{9F9AB595-95C6-4077-9D8B-44E64B410038}&lt;/UID&gt;&lt;Title&gt;Interactive application in holographic optical tweezers of a multi-plane Gerchberg-Saxton algorithm for three-dimensional light shaping&lt;/Title&gt;&lt;Template&gt;Journal Article&lt;/Template&gt;&lt;Star&gt;0&lt;/Star&gt;&lt;Tag&gt;0&lt;/Tag&gt;&lt;Author&gt;Sinclair, G; Leach, J; Jordan, P; Gibson, G; Courtial, J&lt;/Author&gt;&lt;Year&gt;2004&lt;/Year&gt;&lt;Details&gt;&lt;_collection_scope&gt;SCI;SCIE;EI&lt;/_collection_scope&gt;&lt;_created&gt;64808338&lt;/_created&gt;&lt;_impact_factor&gt;   3.894&lt;/_impact_factor&gt;&lt;_issue&gt;8&lt;/_issue&gt;&lt;_journal&gt;Optics Express&lt;/_journal&gt;&lt;_modified&gt;64808338&lt;/_modified&gt;&lt;_pages&gt;1665-70&lt;/_pages&gt;&lt;_volume&gt;12&lt;/_volume&gt;&lt;/Details&gt;&lt;Extra&gt;&lt;DBUID&gt;{F96A950B-833F-4880-A151-76DA2D6A2879}&lt;/DBUID&gt;&lt;/Extra&gt;&lt;/Item&gt;&lt;/References&gt;&lt;/Group&gt;&lt;/Citation&gt;_x000a_"/>
    <w:docVar w:name="NE.Ref{D67AEEFC-6C60-4770-99A1-871D34B8059E}" w:val=" ADDIN NE.Ref.{D67AEEFC-6C60-4770-99A1-871D34B8059E}&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7DEBD77-DD90-46DB-8D77-80C8C9D45E1A}" w:val=" ADDIN NE.Ref.{D7DEBD77-DD90-46DB-8D77-80C8C9D45E1A}&lt;Citation&gt;&lt;Group&gt;&lt;References&gt;&lt;Item&gt;&lt;ID&gt;594&lt;/ID&gt;&lt;UID&gt;{94EE6230-A6DD-4B6E-8512-D87CCD444805}&lt;/UID&gt;&lt;Title&gt;The Kinoform: A New Wavefront Reconstruction Device&lt;/Title&gt;&lt;Template&gt;Journal Article&lt;/Template&gt;&lt;Star&gt;0&lt;/Star&gt;&lt;Tag&gt;0&lt;/Tag&gt;&lt;Author&gt;Lesem, L B; Hirsch, P M; Jordan, J A&lt;/Author&gt;&lt;Year&gt;1969&lt;/Year&gt;&lt;Details&gt;&lt;_author_adr&gt;IBM Scientific Center, 6900 Fannin Street, Houston, Texas 77025, USA;IBM Scientific Center, 6900 Fannin Street, Houston, Texas 77025, USA;Department of Physics, Rice University, Houston, Texas 77001, USA&lt;/_author_adr&gt;&lt;_collection_scope&gt;SCI;SCIE;EI&lt;/_collection_scope&gt;&lt;_created&gt;64795466&lt;/_created&gt;&lt;_db_provider&gt;CNKI&lt;/_db_provider&gt;&lt;_impact_factor&gt;   1.889&lt;/_impact_factor&gt;&lt;_isbn&gt;0018-8646&lt;/_isbn&gt;&lt;_issue&gt;2&lt;/_issue&gt;&lt;_journal&gt;IBM Journal of Research and Development&lt;/_journal&gt;&lt;_modified&gt;64795466&lt;/_modified&gt;&lt;_volume&gt;13&lt;/_volume&gt;&lt;/Details&gt;&lt;Extra&gt;&lt;DBUID&gt;{F96A950B-833F-4880-A151-76DA2D6A2879}&lt;/DBUID&gt;&lt;/Extra&gt;&lt;/Item&gt;&lt;/References&gt;&lt;/Group&gt;&lt;/Citation&gt;_x000a_"/>
    <w:docVar w:name="NE.Ref{DC3D7415-DF38-4C5F-A9F9-FC5B74097C1B}" w:val=" ADDIN NE.Ref.{DC3D7415-DF38-4C5F-A9F9-FC5B74097C1B}&lt;Citation&gt;&lt;Group&gt;&lt;References&gt;&lt;Item&gt;&lt;ID&gt;624&lt;/ID&gt;&lt;UID&gt;{278D79BB-5D9C-4CAF-BCFC-B6939725F1D0}&lt;/UID&gt;&lt;Title&gt;Reducing crosstalk of a multi-plane holographic display by the time-multiplexing stochastic gradient descent.&lt;/Title&gt;&lt;Template&gt;Journal Article&lt;/Template&gt;&lt;Star&gt;0&lt;/Star&gt;&lt;Tag&gt;0&lt;/Tag&gt;&lt;Author&gt;Zi, Wang; Tao, Chen; Qiyang, Chen; Kefeng, Tu; Qibin, Feng; Guoqiang, Lv; Anting, Wang; Hai, Ming&lt;/Author&gt;&lt;Year&gt;2023&lt;/Year&gt;&lt;Details&gt;&lt;_collection_scope&gt;SCI;SCIE;EI&lt;/_collection_scope&gt;&lt;_created&gt;64839532&lt;/_created&gt;&lt;_db_provider&gt;CNKI&lt;/_db_provider&gt;&lt;_impact_factor&gt;   3.894&lt;/_impact_factor&gt;&lt;_issue&gt;5&lt;/_issue&gt;&lt;_journal&gt;Optics express&lt;/_journal&gt;&lt;_modified&gt;64839532&lt;/_modified&gt;&lt;_volume&gt;31&lt;/_volume&gt;&lt;/Details&gt;&lt;Extra&gt;&lt;DBUID&gt;{F96A950B-833F-4880-A151-76DA2D6A2879}&lt;/DBUID&gt;&lt;/Extra&gt;&lt;/Item&gt;&lt;/References&gt;&lt;/Group&gt;&lt;/Citation&gt;_x000a_"/>
    <w:docVar w:name="NE.Ref{DE37D52F-2FF7-4B74-9A33-3EB0D316940B}" w:val=" ADDIN NE.Ref.{DE37D52F-2FF7-4B74-9A33-3EB0D316940B}&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FF613EE-BDDB-4AF9-A233-C3B0F883A854}" w:val=" ADDIN NE.Ref.{DFF613EE-BDDB-4AF9-A233-C3B0F883A85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Group&gt;&lt;References&gt;&lt;Item&gt;&lt;ID&gt;601&lt;/ID&gt;&lt;UID&gt;{5038C488-339E-458A-8F9C-69DB27A7863C}&lt;/UID&gt;&lt;Title&gt;全息光镊在生物学研究中的应用&lt;/Title&gt;&lt;Template&gt;Journal Article&lt;/Template&gt;&lt;Star&gt;0&lt;/Star&gt;&lt;Tag&gt;0&lt;/Tag&gt;&lt;Author&gt;梁言生; 姚保利; 雷铭&lt;/Author&gt;&lt;Year&gt;2020&lt;/Year&gt;&lt;Details&gt;&lt;_collection_scope&gt;CSCD;PKU;EI&lt;/_collection_scope&gt;&lt;_created&gt;64795480&lt;/_created&gt;&lt;_issue&gt;2&lt;/_issue&gt;&lt;_journal&gt;中国激光&lt;/_journal&gt;&lt;_modified&gt;64795480&lt;/_modified&gt;&lt;_pages&gt;16&lt;/_pages&gt;&lt;_volume&gt;47&lt;/_volume&gt;&lt;_translated_author&gt;Liang, Yansheng;Yao, Baoli;Lei, Ming&lt;/_translated_author&gt;&lt;/Details&gt;&lt;Extra&gt;&lt;DBUID&gt;{F96A950B-833F-4880-A151-76DA2D6A2879}&lt;/DBUID&gt;&lt;/Extra&gt;&lt;/Item&gt;&lt;/References&gt;&lt;/Group&gt;&lt;Group&gt;&lt;References&gt;&lt;Item&gt;&lt;ID&gt;611&lt;/ID&gt;&lt;UID&gt;{ED9845EA-B35C-4A97-BFA8-4E8E5273E2EA}&lt;/UID&gt;&lt;Title&gt;全息光镊及相关技术的理论与实验研究&lt;/Title&gt;&lt;Template&gt;Thesis&lt;/Template&gt;&lt;Star&gt;0&lt;/Star&gt;&lt;Tag&gt;0&lt;/Tag&gt;&lt;Author&gt;马百恒&lt;/Author&gt;&lt;Year&gt;2012&lt;/Year&gt;&lt;Details&gt;&lt;_created&gt;64795571&lt;/_created&gt;&lt;_db_provider&gt;CNKI&lt;/_db_provider&gt;&lt;_keywords&gt;光学捕获;全息光镊;空间光调制器;纯相位调制;Gerchberg-Saxton算法;计算全息图&lt;/_keywords&gt;&lt;_modified&gt;64795571&lt;/_modified&gt;&lt;_publisher&gt;中国科学院研究生院（西安光学精密机械研究所）&lt;/_publisher&gt;&lt;_tertiary_author&gt;姚保利&lt;/_tertiary_author&gt;&lt;_type_work&gt;博士&lt;/_type_work&gt;&lt;_translated_author&gt;Ma, Baiheng&lt;/_translated_author&gt;&lt;_translated_tertiary_author&gt;Yao, Baoli&lt;/_translated_tertiary_author&gt;&lt;/Details&gt;&lt;Extra&gt;&lt;DBUID&gt;{F96A950B-833F-4880-A151-76DA2D6A2879}&lt;/DBUID&gt;&lt;/Extra&gt;&lt;/Item&gt;&lt;/References&gt;&lt;/Group&gt;&lt;/Citation&gt;_x000a_"/>
    <w:docVar w:name="NE.Ref{E65CB866-687D-45BA-B3FE-7D6AD88798C6}" w:val=" ADDIN NE.Ref.{E65CB866-687D-45BA-B3FE-7D6AD88798C6}&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collection_scope&gt;SCI;SCIE;EI&lt;/_collection_scope&gt;&lt;_created&gt;64839880&lt;/_created&gt;&lt;_db_provider&gt;CNKI&lt;/_db_provider&gt;&lt;_impact_factor&gt;   3.776&lt;/_impact_factor&gt;&lt;_isbn&gt;0146-9592&lt;/_isbn&gt;&lt;_issue&gt;9&lt;/_issue&gt;&lt;_journal&gt;Optics letters&lt;/_journal&gt;&lt;_modified&gt;64839880&lt;/_modified&gt;&lt;_volume&gt;28&lt;/_volume&gt;&lt;/Details&gt;&lt;Extra&gt;&lt;DBUID&gt;{F96A950B-833F-4880-A151-76DA2D6A2879}&lt;/DBUID&gt;&lt;/Extra&gt;&lt;/Item&gt;&lt;/References&gt;&lt;/Group&gt;&lt;/Citation&gt;_x000a_"/>
    <w:docVar w:name="NE.Ref{ECE5A532-5D29-4B60-B66E-2A26C522C7C3}" w:val=" ADDIN NE.Ref.{ECE5A532-5D29-4B60-B66E-2A26C522C7C3}&lt;Citation&gt;&lt;Group&gt;&lt;References&gt;&lt;Item&gt;&lt;ID&gt;577&lt;/ID&gt;&lt;UID&gt;{ED3963F2-53A7-46A1-BAEF-9D8EC234341F}&lt;/UID&gt;&lt;Title&gt;Differential detection of dual traps improves the spatial resolution of optical tweezers.&lt;/Title&gt;&lt;Template&gt;Journal Article&lt;/Template&gt;&lt;Star&gt;0&lt;/Star&gt;&lt;Tag&gt;0&lt;/Tag&gt;&lt;Author&gt;R, Moffitt Jeffrey; R, Chemla Yann; David, Izhaky; Carlos, Bustamante&lt;/Author&gt;&lt;Year&gt;2006&lt;/Year&gt;&lt;Details&gt;&lt;_author_adr&gt;Department of Physics, University of California, Berkeley, CA 94720, USA.&lt;/_author_adr&gt;&lt;_collection_scope&gt;SCI;SCIE&lt;/_collection_scope&gt;&lt;_created&gt;64795425&lt;/_created&gt;&lt;_db_provider&gt;CNKI&lt;/_db_provider&gt;&lt;_impact_factor&gt;  11.205&lt;/_impact_factor&gt;&lt;_isbn&gt;0027-8424&lt;/_isbn&gt;&lt;_issue&gt;24&lt;/_issue&gt;&lt;_journal&gt;Proceedings of the National Academy of Sciences of the United States of America&lt;/_journal&gt;&lt;_modified&gt;64795425&lt;/_modified&gt;&lt;_volume&gt;103&lt;/_volume&gt;&lt;/Details&gt;&lt;Extra&gt;&lt;DBUID&gt;{F96A950B-833F-4880-A151-76DA2D6A2879}&lt;/DBUID&gt;&lt;/Extra&gt;&lt;/Item&gt;&lt;/References&gt;&lt;/Group&gt;&lt;/Citation&gt;_x000a_"/>
    <w:docVar w:name="NE.Ref{F3BA2404-C74C-4F03-9AE5-13D9226F6655}" w:val=" ADDIN NE.Ref.{F3BA2404-C74C-4F03-9AE5-13D9226F6655}&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F47C9B2F-73BE-487C-B42F-A427CDCE1F50}" w:val=" ADDIN NE.Ref.{F47C9B2F-73BE-487C-B42F-A427CDCE1F50}&lt;Citation&gt;&lt;Group&gt;&lt;References&gt;&lt;Item&gt;&lt;ID&gt;606&lt;/ID&gt;&lt;UID&gt;{71E885F7-AB00-4033-A669-FCCD62177630}&lt;/UID&gt;&lt;Title&gt;全息光镊的最新研究与应用现状&lt;/Title&gt;&lt;Template&gt;Journal Article&lt;/Template&gt;&lt;Star&gt;0&lt;/Star&gt;&lt;Tag&gt;0&lt;/Tag&gt;&lt;Author&gt;庞慧敏; 李威良; 王晓玲; 赵爽; 周哲海&lt;/Author&gt;&lt;Year&gt;2019&lt;/Year&gt;&lt;Details&gt;&lt;_collection_scope&gt;PKU&lt;/_collection_scope&gt;&lt;_created&gt;64795520&lt;/_created&gt;&lt;_issue&gt;3&lt;/_issue&gt;&lt;_journal&gt;激光杂志&lt;/_journal&gt;&lt;_modified&gt;64795520&lt;/_modified&gt;&lt;_pages&gt;6&lt;/_pages&gt;&lt;_volume&gt;40&lt;/_volume&gt;&lt;_translated_author&gt;Pang, Huimin;Li, Weiliang;Wang, Xiaoling;Zhao, Shuang;Zhou, Zhehai&lt;/_translated_author&gt;&lt;/Details&gt;&lt;Extra&gt;&lt;DBUID&gt;{F96A950B-833F-4880-A151-76DA2D6A2879}&lt;/DBUID&gt;&lt;/Extra&gt;&lt;/Item&gt;&lt;/References&gt;&lt;/Group&gt;&lt;/Citation&gt;_x000a_"/>
    <w:docVar w:name="NE.Ref{FBFA20BB-AA3D-43DA-95C0-41CA8BDF548B}" w:val=" ADDIN NE.Ref.{FBFA20BB-AA3D-43DA-95C0-41CA8BDF548B}&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FCAAFA52-829D-499D-8395-0BDD4DC2E6BE}" w:val=" ADDIN NE.Ref.{FCAAFA52-829D-499D-8395-0BDD4DC2E6BE}&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issue&gt;3&lt;/_issue&gt;&lt;_journal&gt;Review of Scientific Instruments&lt;/_journal&gt;&lt;_pages&gt;1810-1816&lt;/_pages&gt;&lt;_volume&gt;72&lt;/_volume&gt;&lt;_created&gt;64795476&lt;/_created&gt;&lt;_modified&gt;64795476&lt;/_modified&gt;&lt;_impact_factor&gt;   1.523&lt;/_impact_factor&gt;&lt;_collection_scope&gt;SCI;SCIE;EI&lt;/_collection_scope&gt;&lt;/Details&gt;&lt;Extra&gt;&lt;DBUID&gt;{F96A950B-833F-4880-A151-76DA2D6A2879}&lt;/DBUID&gt;&lt;/Extra&gt;&lt;/Item&gt;&lt;/References&gt;&lt;/Group&gt;&lt;/Citation&gt;_x000a_"/>
    <w:docVar w:name="NE.Ref{FE30F91F-5604-4564-92F6-210B92D57E74}" w:val=" ADDIN NE.Ref.{FE30F91F-5604-4564-92F6-210B92D57E74}&lt;Citation&gt;&lt;Group&gt;&lt;References&gt;&lt;Item&gt;&lt;ID&gt;597&lt;/ID&gt;&lt;UID&gt;{46158F37-12A1-4B05-8DA1-8CBFE307917B}&lt;/UID&gt;&lt;Title&gt;An algorithm for computing spot-generating holograms&lt;/Title&gt;&lt;Template&gt;Journal Article&lt;/Template&gt;&lt;Star&gt;0&lt;/Star&gt;&lt;Tag&gt;0&lt;/Tag&gt;&lt;Author&gt;A, Georgiou; T, DWilkinson; N, Collings; WA, Crossland&lt;/Author&gt;&lt;Year&gt;2008&lt;/Year&gt;&lt;Details&gt;&lt;_created&gt;64795473&lt;/_created&gt;&lt;_db_provider&gt;CNKI&lt;/_db_provider&gt;&lt;_impact_factor&gt;   2.516&lt;/_impact_factor&gt;&lt;_isbn&gt;2040-8978&lt;/_isbn&gt;&lt;_issue&gt;1&lt;/_issue&gt;&lt;_journal&gt;Journal of optics, A. Pure and applied optics: journal of the European Optical Society&lt;/_journal&gt;&lt;_modified&gt;64795473&lt;/_modified&gt;&lt;_volume&gt;10&lt;/_volume&gt;&lt;/Details&gt;&lt;Extra&gt;&lt;DBUID&gt;{F96A950B-833F-4880-A151-76DA2D6A2879}&lt;/DBUID&gt;&lt;/Extra&gt;&lt;/Item&gt;&lt;/References&gt;&lt;/Group&gt;&lt;/Citation&gt;_x000a_"/>
    <w:docVar w:name="ne_docsoft" w:val="MSWord"/>
    <w:docVar w:name="ne_docversion" w:val="NoteExpress 2.0"/>
    <w:docVar w:name="ne_stylename" w:val="GB7714-87"/>
  </w:docVars>
  <w:rsids>
    <w:rsidRoot w:val="002E6B02"/>
    <w:rsid w:val="0000031D"/>
    <w:rsid w:val="0000037A"/>
    <w:rsid w:val="000009C9"/>
    <w:rsid w:val="00002377"/>
    <w:rsid w:val="000064C2"/>
    <w:rsid w:val="000124C7"/>
    <w:rsid w:val="0001251C"/>
    <w:rsid w:val="00014378"/>
    <w:rsid w:val="00016245"/>
    <w:rsid w:val="0001687B"/>
    <w:rsid w:val="0001740D"/>
    <w:rsid w:val="00023CB0"/>
    <w:rsid w:val="000247C6"/>
    <w:rsid w:val="00024E76"/>
    <w:rsid w:val="00027B91"/>
    <w:rsid w:val="00032025"/>
    <w:rsid w:val="00033D7D"/>
    <w:rsid w:val="00036A8C"/>
    <w:rsid w:val="00040802"/>
    <w:rsid w:val="000408AC"/>
    <w:rsid w:val="00042A93"/>
    <w:rsid w:val="00043FD6"/>
    <w:rsid w:val="000468C3"/>
    <w:rsid w:val="00047316"/>
    <w:rsid w:val="000508DC"/>
    <w:rsid w:val="0005168E"/>
    <w:rsid w:val="0005419C"/>
    <w:rsid w:val="00055670"/>
    <w:rsid w:val="000576AC"/>
    <w:rsid w:val="0006132C"/>
    <w:rsid w:val="000613DC"/>
    <w:rsid w:val="0006355F"/>
    <w:rsid w:val="00063F17"/>
    <w:rsid w:val="00064A68"/>
    <w:rsid w:val="0006532B"/>
    <w:rsid w:val="00073010"/>
    <w:rsid w:val="00076F13"/>
    <w:rsid w:val="000774AE"/>
    <w:rsid w:val="00081B7A"/>
    <w:rsid w:val="000828A8"/>
    <w:rsid w:val="00083384"/>
    <w:rsid w:val="00084DC4"/>
    <w:rsid w:val="00084E4F"/>
    <w:rsid w:val="00090D5A"/>
    <w:rsid w:val="00094F1D"/>
    <w:rsid w:val="00095357"/>
    <w:rsid w:val="0009579F"/>
    <w:rsid w:val="00097314"/>
    <w:rsid w:val="000A0ABC"/>
    <w:rsid w:val="000A431C"/>
    <w:rsid w:val="000A442A"/>
    <w:rsid w:val="000A4F45"/>
    <w:rsid w:val="000B3553"/>
    <w:rsid w:val="000C59B7"/>
    <w:rsid w:val="000C767D"/>
    <w:rsid w:val="000C7963"/>
    <w:rsid w:val="000D4AA9"/>
    <w:rsid w:val="000D571F"/>
    <w:rsid w:val="000D745A"/>
    <w:rsid w:val="000D77A8"/>
    <w:rsid w:val="000E46AD"/>
    <w:rsid w:val="000E5D5E"/>
    <w:rsid w:val="000F0B53"/>
    <w:rsid w:val="000F2757"/>
    <w:rsid w:val="000F4DF2"/>
    <w:rsid w:val="000F739B"/>
    <w:rsid w:val="001000DF"/>
    <w:rsid w:val="001059A9"/>
    <w:rsid w:val="001076EC"/>
    <w:rsid w:val="00107D56"/>
    <w:rsid w:val="0011172F"/>
    <w:rsid w:val="00117809"/>
    <w:rsid w:val="001229B1"/>
    <w:rsid w:val="00125C7A"/>
    <w:rsid w:val="00126686"/>
    <w:rsid w:val="001308D3"/>
    <w:rsid w:val="00131257"/>
    <w:rsid w:val="00133106"/>
    <w:rsid w:val="00136FC4"/>
    <w:rsid w:val="0015258C"/>
    <w:rsid w:val="00152738"/>
    <w:rsid w:val="001534D7"/>
    <w:rsid w:val="00154C5A"/>
    <w:rsid w:val="001560FC"/>
    <w:rsid w:val="00157144"/>
    <w:rsid w:val="001675DB"/>
    <w:rsid w:val="00167E2F"/>
    <w:rsid w:val="00170200"/>
    <w:rsid w:val="00174480"/>
    <w:rsid w:val="001828FA"/>
    <w:rsid w:val="00183CDA"/>
    <w:rsid w:val="00184628"/>
    <w:rsid w:val="00184777"/>
    <w:rsid w:val="00187209"/>
    <w:rsid w:val="0019085E"/>
    <w:rsid w:val="00194B22"/>
    <w:rsid w:val="00195140"/>
    <w:rsid w:val="00197A70"/>
    <w:rsid w:val="00197F72"/>
    <w:rsid w:val="001A5B85"/>
    <w:rsid w:val="001A5D83"/>
    <w:rsid w:val="001B181D"/>
    <w:rsid w:val="001B4BE4"/>
    <w:rsid w:val="001B4CC0"/>
    <w:rsid w:val="001B5DB0"/>
    <w:rsid w:val="001B6B1D"/>
    <w:rsid w:val="001C323D"/>
    <w:rsid w:val="001C54CD"/>
    <w:rsid w:val="001C7FCA"/>
    <w:rsid w:val="001D18AA"/>
    <w:rsid w:val="001D35B1"/>
    <w:rsid w:val="001D69A9"/>
    <w:rsid w:val="001E4A6E"/>
    <w:rsid w:val="001E7C16"/>
    <w:rsid w:val="001F0FDA"/>
    <w:rsid w:val="001F4C41"/>
    <w:rsid w:val="002007EF"/>
    <w:rsid w:val="0020536A"/>
    <w:rsid w:val="00210D48"/>
    <w:rsid w:val="00211F95"/>
    <w:rsid w:val="00212E6A"/>
    <w:rsid w:val="00214128"/>
    <w:rsid w:val="0021425E"/>
    <w:rsid w:val="002142FA"/>
    <w:rsid w:val="00214BFA"/>
    <w:rsid w:val="002241E7"/>
    <w:rsid w:val="002269BF"/>
    <w:rsid w:val="0023550A"/>
    <w:rsid w:val="00242145"/>
    <w:rsid w:val="002442F5"/>
    <w:rsid w:val="00244D06"/>
    <w:rsid w:val="00244FFB"/>
    <w:rsid w:val="00246EA1"/>
    <w:rsid w:val="00250CE8"/>
    <w:rsid w:val="00252007"/>
    <w:rsid w:val="0025473B"/>
    <w:rsid w:val="002554E6"/>
    <w:rsid w:val="002566E1"/>
    <w:rsid w:val="00256CAE"/>
    <w:rsid w:val="002612C4"/>
    <w:rsid w:val="00264C65"/>
    <w:rsid w:val="002715E8"/>
    <w:rsid w:val="00274ABE"/>
    <w:rsid w:val="00274CD8"/>
    <w:rsid w:val="00274F9D"/>
    <w:rsid w:val="00276377"/>
    <w:rsid w:val="0028036B"/>
    <w:rsid w:val="00280FDA"/>
    <w:rsid w:val="00286452"/>
    <w:rsid w:val="002872C9"/>
    <w:rsid w:val="00292610"/>
    <w:rsid w:val="002934AA"/>
    <w:rsid w:val="00293DA9"/>
    <w:rsid w:val="00294D09"/>
    <w:rsid w:val="00296108"/>
    <w:rsid w:val="002A5551"/>
    <w:rsid w:val="002B7C9E"/>
    <w:rsid w:val="002C3963"/>
    <w:rsid w:val="002C42B7"/>
    <w:rsid w:val="002C490E"/>
    <w:rsid w:val="002C598C"/>
    <w:rsid w:val="002C7D56"/>
    <w:rsid w:val="002D5285"/>
    <w:rsid w:val="002D69D2"/>
    <w:rsid w:val="002E1E12"/>
    <w:rsid w:val="002E245C"/>
    <w:rsid w:val="002E2B64"/>
    <w:rsid w:val="002E30DE"/>
    <w:rsid w:val="002E63DF"/>
    <w:rsid w:val="002E6825"/>
    <w:rsid w:val="002E6B02"/>
    <w:rsid w:val="002F14B6"/>
    <w:rsid w:val="002F2CF3"/>
    <w:rsid w:val="002F34CE"/>
    <w:rsid w:val="002F39E5"/>
    <w:rsid w:val="002F4237"/>
    <w:rsid w:val="002F602E"/>
    <w:rsid w:val="00301745"/>
    <w:rsid w:val="00301993"/>
    <w:rsid w:val="00305301"/>
    <w:rsid w:val="0030548F"/>
    <w:rsid w:val="00305742"/>
    <w:rsid w:val="00310436"/>
    <w:rsid w:val="00311D06"/>
    <w:rsid w:val="00320213"/>
    <w:rsid w:val="00322F12"/>
    <w:rsid w:val="00323ED8"/>
    <w:rsid w:val="00325A66"/>
    <w:rsid w:val="00325CE1"/>
    <w:rsid w:val="0032652A"/>
    <w:rsid w:val="003266AF"/>
    <w:rsid w:val="00326812"/>
    <w:rsid w:val="0033044E"/>
    <w:rsid w:val="00330D9F"/>
    <w:rsid w:val="003319F2"/>
    <w:rsid w:val="00331B7D"/>
    <w:rsid w:val="00332B8B"/>
    <w:rsid w:val="00332E9D"/>
    <w:rsid w:val="00333842"/>
    <w:rsid w:val="00336E09"/>
    <w:rsid w:val="003406F6"/>
    <w:rsid w:val="00344F60"/>
    <w:rsid w:val="00346358"/>
    <w:rsid w:val="003476B1"/>
    <w:rsid w:val="003479DC"/>
    <w:rsid w:val="00351A61"/>
    <w:rsid w:val="00353A64"/>
    <w:rsid w:val="0035736E"/>
    <w:rsid w:val="00357472"/>
    <w:rsid w:val="00360B63"/>
    <w:rsid w:val="00361399"/>
    <w:rsid w:val="0036242F"/>
    <w:rsid w:val="0036258A"/>
    <w:rsid w:val="00363461"/>
    <w:rsid w:val="003635B4"/>
    <w:rsid w:val="00363694"/>
    <w:rsid w:val="003723D1"/>
    <w:rsid w:val="0037307D"/>
    <w:rsid w:val="00374CD6"/>
    <w:rsid w:val="003752ED"/>
    <w:rsid w:val="003803E2"/>
    <w:rsid w:val="00380597"/>
    <w:rsid w:val="00380EB1"/>
    <w:rsid w:val="0039213F"/>
    <w:rsid w:val="003922C9"/>
    <w:rsid w:val="00392EA0"/>
    <w:rsid w:val="00394A4B"/>
    <w:rsid w:val="003961EB"/>
    <w:rsid w:val="003A1592"/>
    <w:rsid w:val="003A1F15"/>
    <w:rsid w:val="003A570A"/>
    <w:rsid w:val="003A5D85"/>
    <w:rsid w:val="003A6E8F"/>
    <w:rsid w:val="003B237A"/>
    <w:rsid w:val="003B2CDB"/>
    <w:rsid w:val="003B4648"/>
    <w:rsid w:val="003B4D19"/>
    <w:rsid w:val="003B5ED6"/>
    <w:rsid w:val="003B7043"/>
    <w:rsid w:val="003C33BD"/>
    <w:rsid w:val="003C55B5"/>
    <w:rsid w:val="003C66AE"/>
    <w:rsid w:val="003D474C"/>
    <w:rsid w:val="003D57BA"/>
    <w:rsid w:val="003E43EC"/>
    <w:rsid w:val="003E7337"/>
    <w:rsid w:val="003F5D0B"/>
    <w:rsid w:val="003F79FE"/>
    <w:rsid w:val="004016D6"/>
    <w:rsid w:val="00405711"/>
    <w:rsid w:val="0040629C"/>
    <w:rsid w:val="0041196B"/>
    <w:rsid w:val="004119D7"/>
    <w:rsid w:val="00412928"/>
    <w:rsid w:val="004132F8"/>
    <w:rsid w:val="00415924"/>
    <w:rsid w:val="00415BBF"/>
    <w:rsid w:val="00415DCE"/>
    <w:rsid w:val="004162BA"/>
    <w:rsid w:val="00417BCE"/>
    <w:rsid w:val="00420404"/>
    <w:rsid w:val="00421368"/>
    <w:rsid w:val="00423803"/>
    <w:rsid w:val="00423AA0"/>
    <w:rsid w:val="0042400C"/>
    <w:rsid w:val="0042407D"/>
    <w:rsid w:val="0042504E"/>
    <w:rsid w:val="0042511A"/>
    <w:rsid w:val="00425BA2"/>
    <w:rsid w:val="00431E4E"/>
    <w:rsid w:val="00431E6F"/>
    <w:rsid w:val="00433AA1"/>
    <w:rsid w:val="00434369"/>
    <w:rsid w:val="00435F43"/>
    <w:rsid w:val="004368C8"/>
    <w:rsid w:val="00437FAF"/>
    <w:rsid w:val="00440E1F"/>
    <w:rsid w:val="00441D87"/>
    <w:rsid w:val="00442E71"/>
    <w:rsid w:val="00443807"/>
    <w:rsid w:val="00451CD3"/>
    <w:rsid w:val="00452136"/>
    <w:rsid w:val="00454F5B"/>
    <w:rsid w:val="004556CC"/>
    <w:rsid w:val="00456B6D"/>
    <w:rsid w:val="00457074"/>
    <w:rsid w:val="00457521"/>
    <w:rsid w:val="00461394"/>
    <w:rsid w:val="00461638"/>
    <w:rsid w:val="00461DEB"/>
    <w:rsid w:val="00464B68"/>
    <w:rsid w:val="00464E6E"/>
    <w:rsid w:val="00467EE0"/>
    <w:rsid w:val="00471A73"/>
    <w:rsid w:val="00473AB8"/>
    <w:rsid w:val="00480DC6"/>
    <w:rsid w:val="004837DF"/>
    <w:rsid w:val="0048665E"/>
    <w:rsid w:val="0049043F"/>
    <w:rsid w:val="004960EA"/>
    <w:rsid w:val="004A176B"/>
    <w:rsid w:val="004A28BC"/>
    <w:rsid w:val="004A63AC"/>
    <w:rsid w:val="004A663A"/>
    <w:rsid w:val="004B09CB"/>
    <w:rsid w:val="004B1058"/>
    <w:rsid w:val="004B1BEB"/>
    <w:rsid w:val="004B23F7"/>
    <w:rsid w:val="004B285B"/>
    <w:rsid w:val="004C03A6"/>
    <w:rsid w:val="004C448A"/>
    <w:rsid w:val="004C64E7"/>
    <w:rsid w:val="004C72E3"/>
    <w:rsid w:val="004D18FD"/>
    <w:rsid w:val="004D2F40"/>
    <w:rsid w:val="004D59C8"/>
    <w:rsid w:val="004D6BBA"/>
    <w:rsid w:val="004E00E7"/>
    <w:rsid w:val="004E0CA3"/>
    <w:rsid w:val="004E5A4B"/>
    <w:rsid w:val="004F09AD"/>
    <w:rsid w:val="004F34F1"/>
    <w:rsid w:val="004F78C0"/>
    <w:rsid w:val="005001E6"/>
    <w:rsid w:val="00503E9D"/>
    <w:rsid w:val="00506E65"/>
    <w:rsid w:val="005079F7"/>
    <w:rsid w:val="00507AB4"/>
    <w:rsid w:val="0051022A"/>
    <w:rsid w:val="00510771"/>
    <w:rsid w:val="0051147F"/>
    <w:rsid w:val="00511A6B"/>
    <w:rsid w:val="00512E85"/>
    <w:rsid w:val="00513298"/>
    <w:rsid w:val="00517018"/>
    <w:rsid w:val="005178F8"/>
    <w:rsid w:val="0052032E"/>
    <w:rsid w:val="00524508"/>
    <w:rsid w:val="00524DA8"/>
    <w:rsid w:val="0052578B"/>
    <w:rsid w:val="00527E95"/>
    <w:rsid w:val="005324E4"/>
    <w:rsid w:val="005331FE"/>
    <w:rsid w:val="00540195"/>
    <w:rsid w:val="0054227C"/>
    <w:rsid w:val="0054274B"/>
    <w:rsid w:val="00546771"/>
    <w:rsid w:val="0055765C"/>
    <w:rsid w:val="00561962"/>
    <w:rsid w:val="00561B51"/>
    <w:rsid w:val="00561D3D"/>
    <w:rsid w:val="005654F1"/>
    <w:rsid w:val="005748F3"/>
    <w:rsid w:val="00580D68"/>
    <w:rsid w:val="00592A43"/>
    <w:rsid w:val="00592B63"/>
    <w:rsid w:val="00592E87"/>
    <w:rsid w:val="00593914"/>
    <w:rsid w:val="0059394E"/>
    <w:rsid w:val="00593B1D"/>
    <w:rsid w:val="00594BE8"/>
    <w:rsid w:val="00595D57"/>
    <w:rsid w:val="005A333A"/>
    <w:rsid w:val="005A3C3F"/>
    <w:rsid w:val="005B380E"/>
    <w:rsid w:val="005B63FC"/>
    <w:rsid w:val="005C0EAA"/>
    <w:rsid w:val="005C2EB2"/>
    <w:rsid w:val="005C55A9"/>
    <w:rsid w:val="005C781C"/>
    <w:rsid w:val="005D2385"/>
    <w:rsid w:val="005D3091"/>
    <w:rsid w:val="005D3CF5"/>
    <w:rsid w:val="005D4457"/>
    <w:rsid w:val="005D4665"/>
    <w:rsid w:val="005D4773"/>
    <w:rsid w:val="005D63DE"/>
    <w:rsid w:val="005D7915"/>
    <w:rsid w:val="005E2A92"/>
    <w:rsid w:val="005E343E"/>
    <w:rsid w:val="005E35EF"/>
    <w:rsid w:val="005E3F99"/>
    <w:rsid w:val="005E5DF7"/>
    <w:rsid w:val="005F036F"/>
    <w:rsid w:val="005F1D2C"/>
    <w:rsid w:val="005F1E4F"/>
    <w:rsid w:val="005F4A57"/>
    <w:rsid w:val="005F4E8F"/>
    <w:rsid w:val="005F5C83"/>
    <w:rsid w:val="006013E2"/>
    <w:rsid w:val="006022FB"/>
    <w:rsid w:val="00602B89"/>
    <w:rsid w:val="006054DF"/>
    <w:rsid w:val="0060677C"/>
    <w:rsid w:val="00614881"/>
    <w:rsid w:val="006157AC"/>
    <w:rsid w:val="00615C65"/>
    <w:rsid w:val="006178A4"/>
    <w:rsid w:val="00621FFC"/>
    <w:rsid w:val="00633B41"/>
    <w:rsid w:val="00635CEC"/>
    <w:rsid w:val="00635CFB"/>
    <w:rsid w:val="006363BD"/>
    <w:rsid w:val="006375F3"/>
    <w:rsid w:val="0064133B"/>
    <w:rsid w:val="00641638"/>
    <w:rsid w:val="00641855"/>
    <w:rsid w:val="00643CA0"/>
    <w:rsid w:val="00644AF3"/>
    <w:rsid w:val="006460F3"/>
    <w:rsid w:val="00650236"/>
    <w:rsid w:val="006503BF"/>
    <w:rsid w:val="00650B0D"/>
    <w:rsid w:val="00650E28"/>
    <w:rsid w:val="006546E1"/>
    <w:rsid w:val="00655D02"/>
    <w:rsid w:val="006572D4"/>
    <w:rsid w:val="006605C1"/>
    <w:rsid w:val="00662032"/>
    <w:rsid w:val="0066208B"/>
    <w:rsid w:val="0066264A"/>
    <w:rsid w:val="00663AA3"/>
    <w:rsid w:val="00666C8D"/>
    <w:rsid w:val="00667642"/>
    <w:rsid w:val="00670C6D"/>
    <w:rsid w:val="00671689"/>
    <w:rsid w:val="00674367"/>
    <w:rsid w:val="0067561F"/>
    <w:rsid w:val="006765C8"/>
    <w:rsid w:val="00676BF0"/>
    <w:rsid w:val="006802B2"/>
    <w:rsid w:val="0068085F"/>
    <w:rsid w:val="006809AC"/>
    <w:rsid w:val="00684800"/>
    <w:rsid w:val="00686099"/>
    <w:rsid w:val="00686608"/>
    <w:rsid w:val="00690AAC"/>
    <w:rsid w:val="00692A55"/>
    <w:rsid w:val="00695A95"/>
    <w:rsid w:val="0069710B"/>
    <w:rsid w:val="006A102D"/>
    <w:rsid w:val="006A7B1A"/>
    <w:rsid w:val="006B0EC7"/>
    <w:rsid w:val="006B13C8"/>
    <w:rsid w:val="006B26E4"/>
    <w:rsid w:val="006B4C0D"/>
    <w:rsid w:val="006B6330"/>
    <w:rsid w:val="006C0A81"/>
    <w:rsid w:val="006C3542"/>
    <w:rsid w:val="006C3BC7"/>
    <w:rsid w:val="006C43F9"/>
    <w:rsid w:val="006D0968"/>
    <w:rsid w:val="006D16DB"/>
    <w:rsid w:val="006D214F"/>
    <w:rsid w:val="006D3193"/>
    <w:rsid w:val="006D3F55"/>
    <w:rsid w:val="006D52FE"/>
    <w:rsid w:val="006D65CA"/>
    <w:rsid w:val="006D6600"/>
    <w:rsid w:val="006D6A47"/>
    <w:rsid w:val="006E186F"/>
    <w:rsid w:val="006E2EB8"/>
    <w:rsid w:val="006E493B"/>
    <w:rsid w:val="006E7250"/>
    <w:rsid w:val="006F0F79"/>
    <w:rsid w:val="006F1E98"/>
    <w:rsid w:val="006F383C"/>
    <w:rsid w:val="006F3C47"/>
    <w:rsid w:val="006F3CC3"/>
    <w:rsid w:val="006F4AC0"/>
    <w:rsid w:val="006F4DD5"/>
    <w:rsid w:val="006F627A"/>
    <w:rsid w:val="006F7196"/>
    <w:rsid w:val="0070043E"/>
    <w:rsid w:val="0071000C"/>
    <w:rsid w:val="00710878"/>
    <w:rsid w:val="00710FE9"/>
    <w:rsid w:val="00711739"/>
    <w:rsid w:val="00711ED7"/>
    <w:rsid w:val="007123B7"/>
    <w:rsid w:val="007150EB"/>
    <w:rsid w:val="00717080"/>
    <w:rsid w:val="00717D2C"/>
    <w:rsid w:val="00721247"/>
    <w:rsid w:val="00721884"/>
    <w:rsid w:val="00721D8A"/>
    <w:rsid w:val="00724137"/>
    <w:rsid w:val="00724CDD"/>
    <w:rsid w:val="007260B1"/>
    <w:rsid w:val="0072767E"/>
    <w:rsid w:val="007300E6"/>
    <w:rsid w:val="00731275"/>
    <w:rsid w:val="00731ADF"/>
    <w:rsid w:val="007327A8"/>
    <w:rsid w:val="0073288E"/>
    <w:rsid w:val="00735E78"/>
    <w:rsid w:val="0074417E"/>
    <w:rsid w:val="0074446E"/>
    <w:rsid w:val="00744A86"/>
    <w:rsid w:val="00747388"/>
    <w:rsid w:val="007513D5"/>
    <w:rsid w:val="00751705"/>
    <w:rsid w:val="00752DB8"/>
    <w:rsid w:val="00757F33"/>
    <w:rsid w:val="007624D8"/>
    <w:rsid w:val="00762E65"/>
    <w:rsid w:val="00767AB0"/>
    <w:rsid w:val="00771AA1"/>
    <w:rsid w:val="00773859"/>
    <w:rsid w:val="00774622"/>
    <w:rsid w:val="007763AE"/>
    <w:rsid w:val="00780BDF"/>
    <w:rsid w:val="00782247"/>
    <w:rsid w:val="0078340A"/>
    <w:rsid w:val="00784FA3"/>
    <w:rsid w:val="00787322"/>
    <w:rsid w:val="0079092C"/>
    <w:rsid w:val="00793509"/>
    <w:rsid w:val="0079773C"/>
    <w:rsid w:val="00797D32"/>
    <w:rsid w:val="007A23DB"/>
    <w:rsid w:val="007A7E04"/>
    <w:rsid w:val="007B0405"/>
    <w:rsid w:val="007B2977"/>
    <w:rsid w:val="007B55EE"/>
    <w:rsid w:val="007C2C92"/>
    <w:rsid w:val="007C5A91"/>
    <w:rsid w:val="007C5E37"/>
    <w:rsid w:val="007C611B"/>
    <w:rsid w:val="007D1EAB"/>
    <w:rsid w:val="007E1741"/>
    <w:rsid w:val="007E191E"/>
    <w:rsid w:val="007E2B78"/>
    <w:rsid w:val="007E2C5D"/>
    <w:rsid w:val="007E636B"/>
    <w:rsid w:val="007E66CD"/>
    <w:rsid w:val="007E6B8F"/>
    <w:rsid w:val="007E79E1"/>
    <w:rsid w:val="007F268C"/>
    <w:rsid w:val="007F3D18"/>
    <w:rsid w:val="007F3DC9"/>
    <w:rsid w:val="007F449D"/>
    <w:rsid w:val="007F565F"/>
    <w:rsid w:val="007F6325"/>
    <w:rsid w:val="007F63A5"/>
    <w:rsid w:val="0080090A"/>
    <w:rsid w:val="00801133"/>
    <w:rsid w:val="00801345"/>
    <w:rsid w:val="008014A4"/>
    <w:rsid w:val="008028A5"/>
    <w:rsid w:val="00806597"/>
    <w:rsid w:val="00807B86"/>
    <w:rsid w:val="0081057D"/>
    <w:rsid w:val="00813AC5"/>
    <w:rsid w:val="00814CA9"/>
    <w:rsid w:val="00815972"/>
    <w:rsid w:val="00815A50"/>
    <w:rsid w:val="00815D4C"/>
    <w:rsid w:val="008172DB"/>
    <w:rsid w:val="008215E3"/>
    <w:rsid w:val="008238BB"/>
    <w:rsid w:val="00824D7A"/>
    <w:rsid w:val="0082552B"/>
    <w:rsid w:val="00827091"/>
    <w:rsid w:val="0082761D"/>
    <w:rsid w:val="00827DB6"/>
    <w:rsid w:val="00830D2C"/>
    <w:rsid w:val="008345A8"/>
    <w:rsid w:val="00836AAF"/>
    <w:rsid w:val="008410FD"/>
    <w:rsid w:val="008412F3"/>
    <w:rsid w:val="00843658"/>
    <w:rsid w:val="00845E23"/>
    <w:rsid w:val="00846240"/>
    <w:rsid w:val="0084680F"/>
    <w:rsid w:val="00847DCE"/>
    <w:rsid w:val="00851FF3"/>
    <w:rsid w:val="00854011"/>
    <w:rsid w:val="00854165"/>
    <w:rsid w:val="00854BCE"/>
    <w:rsid w:val="00855AF9"/>
    <w:rsid w:val="008617CD"/>
    <w:rsid w:val="0087017A"/>
    <w:rsid w:val="00873104"/>
    <w:rsid w:val="00876939"/>
    <w:rsid w:val="00884135"/>
    <w:rsid w:val="0088459D"/>
    <w:rsid w:val="0088552C"/>
    <w:rsid w:val="008856FC"/>
    <w:rsid w:val="008868F8"/>
    <w:rsid w:val="008873BE"/>
    <w:rsid w:val="00887E81"/>
    <w:rsid w:val="00890DC8"/>
    <w:rsid w:val="00891990"/>
    <w:rsid w:val="00892011"/>
    <w:rsid w:val="008927A0"/>
    <w:rsid w:val="00895032"/>
    <w:rsid w:val="00897C7F"/>
    <w:rsid w:val="008A2769"/>
    <w:rsid w:val="008A4429"/>
    <w:rsid w:val="008B2D0F"/>
    <w:rsid w:val="008B3ECE"/>
    <w:rsid w:val="008B4FAC"/>
    <w:rsid w:val="008B5AA9"/>
    <w:rsid w:val="008B5F4C"/>
    <w:rsid w:val="008C1981"/>
    <w:rsid w:val="008C21D0"/>
    <w:rsid w:val="008D2048"/>
    <w:rsid w:val="008D4278"/>
    <w:rsid w:val="008D42C1"/>
    <w:rsid w:val="008D4D06"/>
    <w:rsid w:val="008E12E4"/>
    <w:rsid w:val="008E156E"/>
    <w:rsid w:val="008E465E"/>
    <w:rsid w:val="008E6695"/>
    <w:rsid w:val="008F3B4F"/>
    <w:rsid w:val="008F4413"/>
    <w:rsid w:val="008F774C"/>
    <w:rsid w:val="009004E7"/>
    <w:rsid w:val="0090061C"/>
    <w:rsid w:val="0090093B"/>
    <w:rsid w:val="00901081"/>
    <w:rsid w:val="00901BF0"/>
    <w:rsid w:val="009027DD"/>
    <w:rsid w:val="00903EFC"/>
    <w:rsid w:val="00904671"/>
    <w:rsid w:val="00905C29"/>
    <w:rsid w:val="00906385"/>
    <w:rsid w:val="00912326"/>
    <w:rsid w:val="0091243C"/>
    <w:rsid w:val="00912B13"/>
    <w:rsid w:val="00915AA2"/>
    <w:rsid w:val="009179B8"/>
    <w:rsid w:val="0092047B"/>
    <w:rsid w:val="009236DB"/>
    <w:rsid w:val="00926C4A"/>
    <w:rsid w:val="00926F6C"/>
    <w:rsid w:val="00930DEE"/>
    <w:rsid w:val="009321D7"/>
    <w:rsid w:val="00932CE1"/>
    <w:rsid w:val="00934F36"/>
    <w:rsid w:val="009376A2"/>
    <w:rsid w:val="00943CDA"/>
    <w:rsid w:val="0094495A"/>
    <w:rsid w:val="0095746E"/>
    <w:rsid w:val="0096244E"/>
    <w:rsid w:val="00962C00"/>
    <w:rsid w:val="009646A9"/>
    <w:rsid w:val="00972EA6"/>
    <w:rsid w:val="0097735D"/>
    <w:rsid w:val="00977941"/>
    <w:rsid w:val="00980156"/>
    <w:rsid w:val="00980E2A"/>
    <w:rsid w:val="0098772C"/>
    <w:rsid w:val="009944A4"/>
    <w:rsid w:val="009956CC"/>
    <w:rsid w:val="009A0D8E"/>
    <w:rsid w:val="009A2B99"/>
    <w:rsid w:val="009A2E92"/>
    <w:rsid w:val="009A7CC4"/>
    <w:rsid w:val="009B0C68"/>
    <w:rsid w:val="009B6A7C"/>
    <w:rsid w:val="009C4237"/>
    <w:rsid w:val="009C6CF5"/>
    <w:rsid w:val="009C7F93"/>
    <w:rsid w:val="009D0548"/>
    <w:rsid w:val="009D21C1"/>
    <w:rsid w:val="009D2274"/>
    <w:rsid w:val="009E00E6"/>
    <w:rsid w:val="009E66BD"/>
    <w:rsid w:val="009F0139"/>
    <w:rsid w:val="009F0C4C"/>
    <w:rsid w:val="009F265B"/>
    <w:rsid w:val="009F5B55"/>
    <w:rsid w:val="00A02735"/>
    <w:rsid w:val="00A05FCF"/>
    <w:rsid w:val="00A12BB2"/>
    <w:rsid w:val="00A16BFC"/>
    <w:rsid w:val="00A17809"/>
    <w:rsid w:val="00A207D6"/>
    <w:rsid w:val="00A23D61"/>
    <w:rsid w:val="00A23EA5"/>
    <w:rsid w:val="00A24991"/>
    <w:rsid w:val="00A4134F"/>
    <w:rsid w:val="00A423B4"/>
    <w:rsid w:val="00A4326B"/>
    <w:rsid w:val="00A47172"/>
    <w:rsid w:val="00A47B46"/>
    <w:rsid w:val="00A47C39"/>
    <w:rsid w:val="00A5071D"/>
    <w:rsid w:val="00A51C87"/>
    <w:rsid w:val="00A52905"/>
    <w:rsid w:val="00A54B53"/>
    <w:rsid w:val="00A55102"/>
    <w:rsid w:val="00A6249F"/>
    <w:rsid w:val="00A630B3"/>
    <w:rsid w:val="00A70905"/>
    <w:rsid w:val="00A71234"/>
    <w:rsid w:val="00A72A00"/>
    <w:rsid w:val="00A73077"/>
    <w:rsid w:val="00A73749"/>
    <w:rsid w:val="00A7420F"/>
    <w:rsid w:val="00A753A1"/>
    <w:rsid w:val="00A75A42"/>
    <w:rsid w:val="00A77914"/>
    <w:rsid w:val="00A77D6A"/>
    <w:rsid w:val="00A80D3B"/>
    <w:rsid w:val="00A82FC5"/>
    <w:rsid w:val="00A851FA"/>
    <w:rsid w:val="00A85AA3"/>
    <w:rsid w:val="00A9084A"/>
    <w:rsid w:val="00A91A4B"/>
    <w:rsid w:val="00A93A00"/>
    <w:rsid w:val="00A940BB"/>
    <w:rsid w:val="00AA5085"/>
    <w:rsid w:val="00AA5717"/>
    <w:rsid w:val="00AA6068"/>
    <w:rsid w:val="00AA67F3"/>
    <w:rsid w:val="00AB1FB5"/>
    <w:rsid w:val="00AB28B5"/>
    <w:rsid w:val="00AB3397"/>
    <w:rsid w:val="00AB3824"/>
    <w:rsid w:val="00AB42DB"/>
    <w:rsid w:val="00AB572E"/>
    <w:rsid w:val="00AB6062"/>
    <w:rsid w:val="00AB770F"/>
    <w:rsid w:val="00AC169C"/>
    <w:rsid w:val="00AC1C95"/>
    <w:rsid w:val="00AC42E5"/>
    <w:rsid w:val="00AC559A"/>
    <w:rsid w:val="00AC63FF"/>
    <w:rsid w:val="00AD0EE1"/>
    <w:rsid w:val="00AD2D40"/>
    <w:rsid w:val="00AD2FA6"/>
    <w:rsid w:val="00AD3A1B"/>
    <w:rsid w:val="00AD41F1"/>
    <w:rsid w:val="00AD5524"/>
    <w:rsid w:val="00AD5EF1"/>
    <w:rsid w:val="00AD6D7B"/>
    <w:rsid w:val="00AE08B2"/>
    <w:rsid w:val="00AE3E0B"/>
    <w:rsid w:val="00AE44A9"/>
    <w:rsid w:val="00AE7248"/>
    <w:rsid w:val="00AE7D4E"/>
    <w:rsid w:val="00AF06C3"/>
    <w:rsid w:val="00AF0F05"/>
    <w:rsid w:val="00AF25BD"/>
    <w:rsid w:val="00AF3920"/>
    <w:rsid w:val="00AF4C0E"/>
    <w:rsid w:val="00AF6474"/>
    <w:rsid w:val="00AF7BA5"/>
    <w:rsid w:val="00B01BA4"/>
    <w:rsid w:val="00B01F01"/>
    <w:rsid w:val="00B025AA"/>
    <w:rsid w:val="00B02ED3"/>
    <w:rsid w:val="00B06279"/>
    <w:rsid w:val="00B06801"/>
    <w:rsid w:val="00B07B0C"/>
    <w:rsid w:val="00B15D83"/>
    <w:rsid w:val="00B1664F"/>
    <w:rsid w:val="00B23303"/>
    <w:rsid w:val="00B23B69"/>
    <w:rsid w:val="00B240F0"/>
    <w:rsid w:val="00B260B2"/>
    <w:rsid w:val="00B2713A"/>
    <w:rsid w:val="00B30D18"/>
    <w:rsid w:val="00B32892"/>
    <w:rsid w:val="00B335E6"/>
    <w:rsid w:val="00B34B10"/>
    <w:rsid w:val="00B35E5F"/>
    <w:rsid w:val="00B3700C"/>
    <w:rsid w:val="00B37E9A"/>
    <w:rsid w:val="00B41B6F"/>
    <w:rsid w:val="00B41F88"/>
    <w:rsid w:val="00B45DEA"/>
    <w:rsid w:val="00B56898"/>
    <w:rsid w:val="00B57B1C"/>
    <w:rsid w:val="00B614A4"/>
    <w:rsid w:val="00B6441A"/>
    <w:rsid w:val="00B65059"/>
    <w:rsid w:val="00B6694B"/>
    <w:rsid w:val="00B71895"/>
    <w:rsid w:val="00B726FF"/>
    <w:rsid w:val="00B73215"/>
    <w:rsid w:val="00B755DF"/>
    <w:rsid w:val="00B75812"/>
    <w:rsid w:val="00B7636B"/>
    <w:rsid w:val="00B76C39"/>
    <w:rsid w:val="00B7743A"/>
    <w:rsid w:val="00B83C78"/>
    <w:rsid w:val="00B84A47"/>
    <w:rsid w:val="00B84B4A"/>
    <w:rsid w:val="00B85A6E"/>
    <w:rsid w:val="00B90BC6"/>
    <w:rsid w:val="00B91CDA"/>
    <w:rsid w:val="00B946D5"/>
    <w:rsid w:val="00B96E23"/>
    <w:rsid w:val="00BA0A28"/>
    <w:rsid w:val="00BA304C"/>
    <w:rsid w:val="00BA415A"/>
    <w:rsid w:val="00BA5406"/>
    <w:rsid w:val="00BA6F83"/>
    <w:rsid w:val="00BB0509"/>
    <w:rsid w:val="00BB2A2F"/>
    <w:rsid w:val="00BB2C38"/>
    <w:rsid w:val="00BB579A"/>
    <w:rsid w:val="00BB5E7C"/>
    <w:rsid w:val="00BB726C"/>
    <w:rsid w:val="00BC320C"/>
    <w:rsid w:val="00BC7419"/>
    <w:rsid w:val="00BD0827"/>
    <w:rsid w:val="00BD24B0"/>
    <w:rsid w:val="00BD7029"/>
    <w:rsid w:val="00BE0F0C"/>
    <w:rsid w:val="00BE1F79"/>
    <w:rsid w:val="00BE4C39"/>
    <w:rsid w:val="00BE7A32"/>
    <w:rsid w:val="00BF0A13"/>
    <w:rsid w:val="00BF20E7"/>
    <w:rsid w:val="00BF2C74"/>
    <w:rsid w:val="00BF6A6B"/>
    <w:rsid w:val="00BF732D"/>
    <w:rsid w:val="00C049A3"/>
    <w:rsid w:val="00C05DAA"/>
    <w:rsid w:val="00C0648C"/>
    <w:rsid w:val="00C074B0"/>
    <w:rsid w:val="00C10386"/>
    <w:rsid w:val="00C10C57"/>
    <w:rsid w:val="00C11ABC"/>
    <w:rsid w:val="00C12F9F"/>
    <w:rsid w:val="00C14514"/>
    <w:rsid w:val="00C16C58"/>
    <w:rsid w:val="00C21505"/>
    <w:rsid w:val="00C21A88"/>
    <w:rsid w:val="00C21B5E"/>
    <w:rsid w:val="00C22397"/>
    <w:rsid w:val="00C23CEE"/>
    <w:rsid w:val="00C30D04"/>
    <w:rsid w:val="00C42FA7"/>
    <w:rsid w:val="00C54EF2"/>
    <w:rsid w:val="00C561B0"/>
    <w:rsid w:val="00C624BD"/>
    <w:rsid w:val="00C63711"/>
    <w:rsid w:val="00C6371A"/>
    <w:rsid w:val="00C63B6E"/>
    <w:rsid w:val="00C67BDD"/>
    <w:rsid w:val="00C73658"/>
    <w:rsid w:val="00C7605D"/>
    <w:rsid w:val="00C77748"/>
    <w:rsid w:val="00C82506"/>
    <w:rsid w:val="00C83342"/>
    <w:rsid w:val="00C83EC6"/>
    <w:rsid w:val="00C861BB"/>
    <w:rsid w:val="00C871F8"/>
    <w:rsid w:val="00C8789E"/>
    <w:rsid w:val="00C87F88"/>
    <w:rsid w:val="00C87FCD"/>
    <w:rsid w:val="00C9302A"/>
    <w:rsid w:val="00C947E1"/>
    <w:rsid w:val="00C94C88"/>
    <w:rsid w:val="00C955C6"/>
    <w:rsid w:val="00C957DA"/>
    <w:rsid w:val="00C95A5C"/>
    <w:rsid w:val="00CA0486"/>
    <w:rsid w:val="00CA04DB"/>
    <w:rsid w:val="00CA1E98"/>
    <w:rsid w:val="00CA41CD"/>
    <w:rsid w:val="00CA60F5"/>
    <w:rsid w:val="00CA7646"/>
    <w:rsid w:val="00CB0D8A"/>
    <w:rsid w:val="00CB0F8F"/>
    <w:rsid w:val="00CB2071"/>
    <w:rsid w:val="00CB2218"/>
    <w:rsid w:val="00CB3ECF"/>
    <w:rsid w:val="00CB4A54"/>
    <w:rsid w:val="00CB635B"/>
    <w:rsid w:val="00CB7665"/>
    <w:rsid w:val="00CC1714"/>
    <w:rsid w:val="00CC2CE4"/>
    <w:rsid w:val="00CC40C3"/>
    <w:rsid w:val="00CC6818"/>
    <w:rsid w:val="00CD0EE5"/>
    <w:rsid w:val="00CD741D"/>
    <w:rsid w:val="00CD7EC2"/>
    <w:rsid w:val="00CE0F9B"/>
    <w:rsid w:val="00CE28C9"/>
    <w:rsid w:val="00CE5865"/>
    <w:rsid w:val="00CE5969"/>
    <w:rsid w:val="00CF0FAE"/>
    <w:rsid w:val="00CF1D36"/>
    <w:rsid w:val="00CF29F0"/>
    <w:rsid w:val="00CF3855"/>
    <w:rsid w:val="00CF5352"/>
    <w:rsid w:val="00D01749"/>
    <w:rsid w:val="00D0290E"/>
    <w:rsid w:val="00D07097"/>
    <w:rsid w:val="00D1072E"/>
    <w:rsid w:val="00D10F88"/>
    <w:rsid w:val="00D23B0B"/>
    <w:rsid w:val="00D2447E"/>
    <w:rsid w:val="00D260FF"/>
    <w:rsid w:val="00D26518"/>
    <w:rsid w:val="00D30BE4"/>
    <w:rsid w:val="00D31135"/>
    <w:rsid w:val="00D3335E"/>
    <w:rsid w:val="00D33B56"/>
    <w:rsid w:val="00D34036"/>
    <w:rsid w:val="00D35B01"/>
    <w:rsid w:val="00D41172"/>
    <w:rsid w:val="00D4146B"/>
    <w:rsid w:val="00D42176"/>
    <w:rsid w:val="00D5225E"/>
    <w:rsid w:val="00D5778E"/>
    <w:rsid w:val="00D57B21"/>
    <w:rsid w:val="00D600D7"/>
    <w:rsid w:val="00D601DC"/>
    <w:rsid w:val="00D61CBC"/>
    <w:rsid w:val="00D65F8E"/>
    <w:rsid w:val="00D6770A"/>
    <w:rsid w:val="00D71F69"/>
    <w:rsid w:val="00D73FB6"/>
    <w:rsid w:val="00D74B21"/>
    <w:rsid w:val="00D75A47"/>
    <w:rsid w:val="00D82BD4"/>
    <w:rsid w:val="00D83130"/>
    <w:rsid w:val="00D83247"/>
    <w:rsid w:val="00D83F87"/>
    <w:rsid w:val="00D9046F"/>
    <w:rsid w:val="00D91652"/>
    <w:rsid w:val="00D9234E"/>
    <w:rsid w:val="00D95EE1"/>
    <w:rsid w:val="00DA040B"/>
    <w:rsid w:val="00DA3AA7"/>
    <w:rsid w:val="00DA4929"/>
    <w:rsid w:val="00DB6100"/>
    <w:rsid w:val="00DB660E"/>
    <w:rsid w:val="00DB70A4"/>
    <w:rsid w:val="00DB757D"/>
    <w:rsid w:val="00DC33F8"/>
    <w:rsid w:val="00DC35C3"/>
    <w:rsid w:val="00DC4FEB"/>
    <w:rsid w:val="00DC7854"/>
    <w:rsid w:val="00DD1358"/>
    <w:rsid w:val="00DD7388"/>
    <w:rsid w:val="00DD7446"/>
    <w:rsid w:val="00DE1B4E"/>
    <w:rsid w:val="00DE3E54"/>
    <w:rsid w:val="00DE3F63"/>
    <w:rsid w:val="00DE6CC5"/>
    <w:rsid w:val="00DE7230"/>
    <w:rsid w:val="00DF0043"/>
    <w:rsid w:val="00DF3755"/>
    <w:rsid w:val="00DF3B15"/>
    <w:rsid w:val="00DF4246"/>
    <w:rsid w:val="00DF516A"/>
    <w:rsid w:val="00DF5593"/>
    <w:rsid w:val="00DF60C6"/>
    <w:rsid w:val="00E0275A"/>
    <w:rsid w:val="00E02CB7"/>
    <w:rsid w:val="00E0367C"/>
    <w:rsid w:val="00E0393C"/>
    <w:rsid w:val="00E068FF"/>
    <w:rsid w:val="00E06C3E"/>
    <w:rsid w:val="00E10D11"/>
    <w:rsid w:val="00E1536D"/>
    <w:rsid w:val="00E158DD"/>
    <w:rsid w:val="00E16CFF"/>
    <w:rsid w:val="00E218E4"/>
    <w:rsid w:val="00E21F33"/>
    <w:rsid w:val="00E23679"/>
    <w:rsid w:val="00E27E6A"/>
    <w:rsid w:val="00E32EDE"/>
    <w:rsid w:val="00E340AD"/>
    <w:rsid w:val="00E3479D"/>
    <w:rsid w:val="00E34AA1"/>
    <w:rsid w:val="00E40A8F"/>
    <w:rsid w:val="00E40F75"/>
    <w:rsid w:val="00E42ABD"/>
    <w:rsid w:val="00E43273"/>
    <w:rsid w:val="00E501CC"/>
    <w:rsid w:val="00E50572"/>
    <w:rsid w:val="00E50BCC"/>
    <w:rsid w:val="00E51F30"/>
    <w:rsid w:val="00E533F2"/>
    <w:rsid w:val="00E54CD9"/>
    <w:rsid w:val="00E553B8"/>
    <w:rsid w:val="00E55615"/>
    <w:rsid w:val="00E56089"/>
    <w:rsid w:val="00E56E8A"/>
    <w:rsid w:val="00E642EC"/>
    <w:rsid w:val="00E67711"/>
    <w:rsid w:val="00E704FE"/>
    <w:rsid w:val="00E71C0D"/>
    <w:rsid w:val="00E725AA"/>
    <w:rsid w:val="00E72827"/>
    <w:rsid w:val="00E72A45"/>
    <w:rsid w:val="00E72D8A"/>
    <w:rsid w:val="00E742A0"/>
    <w:rsid w:val="00E74593"/>
    <w:rsid w:val="00E82647"/>
    <w:rsid w:val="00E82BDE"/>
    <w:rsid w:val="00E84C66"/>
    <w:rsid w:val="00E9062C"/>
    <w:rsid w:val="00E90A3A"/>
    <w:rsid w:val="00E910C1"/>
    <w:rsid w:val="00E92EA5"/>
    <w:rsid w:val="00E9317F"/>
    <w:rsid w:val="00E94E30"/>
    <w:rsid w:val="00E9671F"/>
    <w:rsid w:val="00E97BE1"/>
    <w:rsid w:val="00EA2BBA"/>
    <w:rsid w:val="00EA2EFD"/>
    <w:rsid w:val="00EA483C"/>
    <w:rsid w:val="00EB0F34"/>
    <w:rsid w:val="00EB18A6"/>
    <w:rsid w:val="00EB1A1B"/>
    <w:rsid w:val="00EB3D9A"/>
    <w:rsid w:val="00EC1416"/>
    <w:rsid w:val="00EC3B20"/>
    <w:rsid w:val="00EC43F8"/>
    <w:rsid w:val="00EC5313"/>
    <w:rsid w:val="00EC7142"/>
    <w:rsid w:val="00ED0B44"/>
    <w:rsid w:val="00ED0DA3"/>
    <w:rsid w:val="00ED2883"/>
    <w:rsid w:val="00ED2C19"/>
    <w:rsid w:val="00EE21BC"/>
    <w:rsid w:val="00EF0F15"/>
    <w:rsid w:val="00F05503"/>
    <w:rsid w:val="00F11D53"/>
    <w:rsid w:val="00F20BF6"/>
    <w:rsid w:val="00F2227F"/>
    <w:rsid w:val="00F249BE"/>
    <w:rsid w:val="00F24E6A"/>
    <w:rsid w:val="00F3128E"/>
    <w:rsid w:val="00F31A31"/>
    <w:rsid w:val="00F31DBF"/>
    <w:rsid w:val="00F32A3C"/>
    <w:rsid w:val="00F33303"/>
    <w:rsid w:val="00F333CC"/>
    <w:rsid w:val="00F339D5"/>
    <w:rsid w:val="00F3421C"/>
    <w:rsid w:val="00F34800"/>
    <w:rsid w:val="00F350E9"/>
    <w:rsid w:val="00F35900"/>
    <w:rsid w:val="00F37030"/>
    <w:rsid w:val="00F435A3"/>
    <w:rsid w:val="00F4438D"/>
    <w:rsid w:val="00F4484E"/>
    <w:rsid w:val="00F46BAB"/>
    <w:rsid w:val="00F47018"/>
    <w:rsid w:val="00F515A0"/>
    <w:rsid w:val="00F52CB1"/>
    <w:rsid w:val="00F5743B"/>
    <w:rsid w:val="00F57D10"/>
    <w:rsid w:val="00F57F19"/>
    <w:rsid w:val="00F60C34"/>
    <w:rsid w:val="00F63168"/>
    <w:rsid w:val="00F645EB"/>
    <w:rsid w:val="00F647B4"/>
    <w:rsid w:val="00F659C2"/>
    <w:rsid w:val="00F71389"/>
    <w:rsid w:val="00F71D4C"/>
    <w:rsid w:val="00F7235E"/>
    <w:rsid w:val="00F726FB"/>
    <w:rsid w:val="00F72E02"/>
    <w:rsid w:val="00F76D45"/>
    <w:rsid w:val="00F77766"/>
    <w:rsid w:val="00F82160"/>
    <w:rsid w:val="00F821E4"/>
    <w:rsid w:val="00F844E2"/>
    <w:rsid w:val="00F852C2"/>
    <w:rsid w:val="00F85C18"/>
    <w:rsid w:val="00F87809"/>
    <w:rsid w:val="00F9098F"/>
    <w:rsid w:val="00F91AD2"/>
    <w:rsid w:val="00F91DA0"/>
    <w:rsid w:val="00F927EF"/>
    <w:rsid w:val="00F92A79"/>
    <w:rsid w:val="00F931FF"/>
    <w:rsid w:val="00F93F0B"/>
    <w:rsid w:val="00F93F15"/>
    <w:rsid w:val="00F95A9F"/>
    <w:rsid w:val="00F95B66"/>
    <w:rsid w:val="00FA24AF"/>
    <w:rsid w:val="00FA384B"/>
    <w:rsid w:val="00FA4F1D"/>
    <w:rsid w:val="00FA680A"/>
    <w:rsid w:val="00FA762A"/>
    <w:rsid w:val="00FB29EF"/>
    <w:rsid w:val="00FB40E7"/>
    <w:rsid w:val="00FB494A"/>
    <w:rsid w:val="00FB74F1"/>
    <w:rsid w:val="00FC0259"/>
    <w:rsid w:val="00FC0B8A"/>
    <w:rsid w:val="00FC1645"/>
    <w:rsid w:val="00FC1B4E"/>
    <w:rsid w:val="00FC2096"/>
    <w:rsid w:val="00FD1A38"/>
    <w:rsid w:val="00FD1B67"/>
    <w:rsid w:val="00FD2B27"/>
    <w:rsid w:val="00FD4113"/>
    <w:rsid w:val="00FD7076"/>
    <w:rsid w:val="00FE1E1B"/>
    <w:rsid w:val="00FE6587"/>
    <w:rsid w:val="00FF07F4"/>
    <w:rsid w:val="00FF1589"/>
    <w:rsid w:val="00FF5ED0"/>
    <w:rsid w:val="00FF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8296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qFormat="1"/>
    <w:lsdException w:name="footer" w:qFormat="1"/>
    <w:lsdException w:name="caption" w:uiPriority="35" w:qFormat="1"/>
    <w:lsdException w:name="footnote reference" w:uiPriority="14"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14128"/>
    <w:pPr>
      <w:widowControl w:val="0"/>
      <w:spacing w:line="440" w:lineRule="exact"/>
      <w:ind w:firstLineChars="200" w:firstLine="200"/>
      <w:jc w:val="both"/>
    </w:pPr>
    <w:rPr>
      <w:rFonts w:ascii="Times New Roman" w:eastAsia="宋体" w:hAnsi="Times New Roman"/>
      <w:sz w:val="24"/>
    </w:rPr>
  </w:style>
  <w:style w:type="paragraph" w:styleId="1">
    <w:name w:val="heading 1"/>
    <w:basedOn w:val="a"/>
    <w:next w:val="a"/>
    <w:link w:val="1Char"/>
    <w:uiPriority w:val="9"/>
    <w:qFormat/>
    <w:rsid w:val="00BA415A"/>
    <w:pPr>
      <w:keepNext/>
      <w:keepLines/>
      <w:spacing w:beforeLines="100" w:before="100" w:afterLines="100" w:after="100"/>
      <w:ind w:firstLineChars="0" w:firstLine="0"/>
      <w:jc w:val="center"/>
      <w:outlineLvl w:val="0"/>
    </w:pPr>
    <w:rPr>
      <w:rFonts w:eastAsia="黑体" w:ascii="Times New Roman" w:hAnsi="Times New Roman"/>
      <w:bCs/>
      <w:kern w:val="44"/>
      <w:sz w:val="32"/>
      <w:szCs w:val="44"/>
    </w:rPr>
  </w:style>
  <w:style w:type="paragraph" w:styleId="2">
    <w:name w:val="heading 2"/>
    <w:basedOn w:val="a"/>
    <w:next w:val="a"/>
    <w:link w:val="2Char"/>
    <w:uiPriority w:val="9"/>
    <w:unhideWhenUsed/>
    <w:qFormat/>
    <w:rsid w:val="00BA415A"/>
    <w:pPr>
      <w:keepNext/>
      <w:keepLines/>
      <w:spacing w:beforeLines="50" w:before="50" w:afterLines="50" w:after="50"/>
      <w:ind w:firstLineChars="0" w:firstLine="0"/>
      <w:outlineLvl w:val="1"/>
    </w:pPr>
    <w:rPr>
      <w:rFonts w:eastAsia="黑体" w:cstheme="majorBidi" w:ascii="Times New Roman" w:hAnsi="Times New Roman"/>
      <w:bCs/>
      <w:sz w:val="28"/>
      <w:szCs w:val="32"/>
    </w:rPr>
  </w:style>
  <w:style w:type="paragraph" w:styleId="3">
    <w:name w:val="heading 3"/>
    <w:basedOn w:val="a"/>
    <w:next w:val="a"/>
    <w:link w:val="3Char"/>
    <w:uiPriority w:val="9"/>
    <w:unhideWhenUsed/>
    <w:qFormat/>
    <w:rsid w:val="003635B4"/>
    <w:pPr>
      <w:keepNext/>
      <w:keepLines/>
      <w:spacing w:beforeLines="50" w:before="50" w:afterLines="50" w:after="50"/>
      <w:ind w:firstLineChars="0" w:firstLine="0"/>
      <w:outlineLvl w:val="2"/>
    </w:pPr>
    <w:rPr>
      <w:rFonts w:eastAsia="黑体" w:ascii="Times New Roman" w:hAnsi="Times New Roman"/>
      <w:bCs/>
      <w:sz w:val="24"/>
      <w:szCs w:val="32"/>
    </w:rPr>
  </w:style>
  <w:style w:type="paragraph" w:styleId="4">
    <w:name w:val="heading 4"/>
    <w:basedOn w:val="a"/>
    <w:next w:val="a"/>
    <w:link w:val="4Char"/>
    <w:uiPriority w:val="9"/>
    <w:unhideWhenUsed/>
    <w:qFormat/>
    <w:rsid w:val="00BA415A"/>
    <w:pPr>
      <w:keepNext/>
      <w:keepLines/>
      <w:spacing w:before="280" w:after="290" w:line="377" w:lineRule="auto"/>
      <w:ind w:firstLineChars="0" w:firstLine="0"/>
      <w:outlineLvl w:val="3"/>
    </w:pPr>
    <w:rPr>
      <w:rFonts w:eastAsia="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BA415A"/>
    <w:rPr>
      <w:rFonts w:ascii="Times New Roman" w:eastAsia="黑体" w:hAnsi="Times New Roman"/>
      <w:bCs/>
      <w:kern w:val="44"/>
      <w:sz w:val="36"/>
      <w:szCs w:val="44"/>
    </w:rPr>
  </w:style>
  <w:style w:type="character" w:customStyle="1" w:styleId="2Char">
    <w:name w:val="标题 2 Char"/>
    <w:basedOn w:val="a0"/>
    <w:link w:val="2"/>
    <w:uiPriority w:val="9"/>
    <w:rsid w:val="00BA415A"/>
    <w:rPr>
      <w:rFonts w:ascii="Times New Roman" w:eastAsia="黑体" w:hAnsi="Times New Roman" w:cstheme="majorBidi"/>
      <w:bCs/>
      <w:sz w:val="30"/>
      <w:szCs w:val="32"/>
    </w:rPr>
  </w:style>
  <w:style w:type="paragraph" w:styleId="a3">
    <w:name w:val="header"/>
    <w:basedOn w:val="a"/>
    <w:link w:val="Char"/>
    <w:uiPriority w:val="99"/>
    <w:unhideWhenUsed/>
    <w:rsid w:val="00801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01133"/>
    <w:rPr>
      <w:sz w:val="18"/>
      <w:szCs w:val="18"/>
    </w:rPr>
  </w:style>
  <w:style w:type="paragraph" w:styleId="a4">
    <w:name w:val="footer"/>
    <w:basedOn w:val="a"/>
    <w:link w:val="Char0"/>
    <w:uiPriority w:val="99"/>
    <w:unhideWhenUsed/>
    <w:qFormat/>
    <w:rsid w:val="00801133"/>
    <w:pPr>
      <w:tabs>
        <w:tab w:val="center" w:pos="4153"/>
        <w:tab w:val="right" w:pos="8306"/>
      </w:tabs>
      <w:snapToGrid w:val="0"/>
      <w:jc w:val="left"/>
    </w:pPr>
    <w:rPr>
      <w:sz w:val="18"/>
      <w:szCs w:val="18"/>
    </w:rPr>
  </w:style>
  <w:style w:type="character" w:customStyle="1" w:styleId="Char0">
    <w:name w:val="页脚 Char"/>
    <w:basedOn w:val="a0"/>
    <w:link w:val="a4"/>
    <w:uiPriority w:val="99"/>
    <w:rsid w:val="00801133"/>
    <w:rPr>
      <w:sz w:val="18"/>
      <w:szCs w:val="18"/>
    </w:rPr>
  </w:style>
  <w:style w:type="paragraph" w:styleId="a5">
    <w:name w:val="No Spacing"/>
    <w:uiPriority w:val="1"/>
    <w:qFormat/>
    <w:rsid w:val="00801133"/>
    <w:pPr>
      <w:widowControl w:val="0"/>
      <w:jc w:val="both"/>
    </w:pPr>
  </w:style>
  <w:style w:type="character" w:customStyle="1" w:styleId="3Char">
    <w:name w:val="标题 3 Char"/>
    <w:basedOn w:val="a0"/>
    <w:link w:val="3"/>
    <w:uiPriority w:val="9"/>
    <w:rsid w:val="003635B4"/>
    <w:rPr>
      <w:rFonts w:ascii="Times New Roman" w:eastAsia="黑体" w:hAnsi="Times New Roman"/>
      <w:bCs/>
      <w:sz w:val="28"/>
      <w:szCs w:val="32"/>
    </w:rPr>
  </w:style>
  <w:style w:type="table" w:styleId="a6">
    <w:name w:val="Table Grid"/>
    <w:basedOn w:val="a1"/>
    <w:uiPriority w:val="59"/>
    <w:qFormat/>
    <w:rsid w:val="006F3C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basedOn w:val="a0"/>
    <w:link w:val="4"/>
    <w:uiPriority w:val="9"/>
    <w:rsid w:val="00BA415A"/>
    <w:rPr>
      <w:rFonts w:ascii="Times New Roman" w:eastAsia="黑体" w:hAnsi="Times New Roman" w:cstheme="majorBidi"/>
      <w:bCs/>
      <w:sz w:val="24"/>
      <w:szCs w:val="28"/>
    </w:rPr>
  </w:style>
  <w:style w:type="character" w:styleId="a7">
    <w:name w:val="Placeholder Text"/>
    <w:basedOn w:val="a0"/>
    <w:uiPriority w:val="99"/>
    <w:semiHidden/>
    <w:rsid w:val="00405711"/>
    <w:rPr>
      <w:color w:val="808080"/>
    </w:rPr>
  </w:style>
  <w:style w:type="character" w:styleId="a8">
    <w:name w:val="Hyperlink"/>
    <w:basedOn w:val="a0"/>
    <w:uiPriority w:val="99"/>
    <w:unhideWhenUsed/>
    <w:rsid w:val="0021425E"/>
    <w:rPr>
      <w:color w:val="0563C1" w:themeColor="hyperlink"/>
      <w:u w:val="single"/>
    </w:rPr>
  </w:style>
  <w:style w:type="character" w:customStyle="1" w:styleId="UnresolvedMention">
    <w:name w:val="Unresolved Mention"/>
    <w:basedOn w:val="a0"/>
    <w:uiPriority w:val="99"/>
    <w:semiHidden/>
    <w:unhideWhenUsed/>
    <w:rsid w:val="0021425E"/>
    <w:rPr>
      <w:color w:val="605E5C"/>
      <w:shd w:val="clear" w:color="auto" w:fill="E1DFDD"/>
    </w:rPr>
  </w:style>
  <w:style w:type="paragraph" w:styleId="a9">
    <w:name w:val="footnote text"/>
    <w:basedOn w:val="a"/>
    <w:link w:val="Char1"/>
    <w:uiPriority w:val="99"/>
    <w:semiHidden/>
    <w:unhideWhenUsed/>
    <w:rsid w:val="00301745"/>
    <w:pPr>
      <w:snapToGrid w:val="0"/>
      <w:jc w:val="left"/>
    </w:pPr>
    <w:rPr>
      <w:sz w:val="18"/>
      <w:szCs w:val="18"/>
    </w:rPr>
  </w:style>
  <w:style w:type="character" w:customStyle="1" w:styleId="Char1">
    <w:name w:val="脚注文本 Char"/>
    <w:basedOn w:val="a0"/>
    <w:link w:val="a9"/>
    <w:uiPriority w:val="99"/>
    <w:semiHidden/>
    <w:rsid w:val="00301745"/>
    <w:rPr>
      <w:sz w:val="18"/>
      <w:szCs w:val="18"/>
    </w:rPr>
  </w:style>
  <w:style w:type="character" w:styleId="aa">
    <w:name w:val="footnote reference"/>
    <w:basedOn w:val="a0"/>
    <w:uiPriority w:val="14"/>
    <w:unhideWhenUsed/>
    <w:qFormat/>
    <w:rsid w:val="00301745"/>
    <w:rPr>
      <w:vertAlign w:val="superscript"/>
    </w:rPr>
  </w:style>
  <w:style w:type="paragraph" w:styleId="ab">
    <w:name w:val="Title"/>
    <w:basedOn w:val="a"/>
    <w:next w:val="a"/>
    <w:link w:val="Char2"/>
    <w:uiPriority w:val="10"/>
    <w:qFormat/>
    <w:rsid w:val="003A1F15"/>
    <w:pPr>
      <w:spacing w:before="240" w:after="60"/>
      <w:jc w:val="center"/>
      <w:outlineLvl w:val="0"/>
    </w:pPr>
    <w:rPr>
      <w:rFonts w:asciiTheme="majorHAnsi" w:eastAsiaTheme="majorEastAsia" w:hAnsiTheme="majorHAnsi" w:cstheme="majorBidi"/>
      <w:b/>
      <w:bCs/>
      <w:sz w:val="32"/>
      <w:szCs w:val="32"/>
    </w:rPr>
  </w:style>
  <w:style w:type="character" w:customStyle="1" w:styleId="Char2">
    <w:name w:val="标题 Char"/>
    <w:basedOn w:val="a0"/>
    <w:link w:val="ab"/>
    <w:uiPriority w:val="10"/>
    <w:rsid w:val="003A1F15"/>
    <w:rPr>
      <w:rFonts w:asciiTheme="majorHAnsi" w:eastAsiaTheme="majorEastAsia" w:hAnsiTheme="majorHAnsi" w:cstheme="majorBidi"/>
      <w:b/>
      <w:bCs/>
      <w:sz w:val="32"/>
      <w:szCs w:val="32"/>
    </w:rPr>
  </w:style>
  <w:style w:type="paragraph" w:customStyle="1" w:styleId="ac">
    <w:name w:val="表格"/>
    <w:basedOn w:val="a"/>
    <w:link w:val="ad"/>
    <w:qFormat/>
    <w:rsid w:val="007513D5"/>
    <w:pPr>
      <w:framePr w:hSpace="180" w:wrap="around" w:vAnchor="text" w:hAnchor="margin" w:xAlign="center" w:y="49"/>
      <w:ind w:firstLine="420"/>
      <w:jc w:val="center"/>
    </w:pPr>
    <w:rPr>
      <w:sz w:val="21"/>
      <w:szCs w:val="21"/>
    </w:rPr>
  </w:style>
  <w:style w:type="character" w:styleId="ae">
    <w:name w:val="FollowedHyperlink"/>
    <w:basedOn w:val="a0"/>
    <w:uiPriority w:val="99"/>
    <w:semiHidden/>
    <w:unhideWhenUsed/>
    <w:rsid w:val="00977941"/>
    <w:rPr>
      <w:color w:val="954F72" w:themeColor="followedHyperlink"/>
      <w:u w:val="single"/>
    </w:rPr>
  </w:style>
  <w:style w:type="character" w:customStyle="1" w:styleId="ad">
    <w:name w:val="表格 字符"/>
    <w:basedOn w:val="a0"/>
    <w:link w:val="ac"/>
    <w:rsid w:val="007513D5"/>
    <w:rPr>
      <w:rFonts w:ascii="Times New Roman" w:eastAsia="宋体" w:hAnsi="Times New Roman"/>
      <w:szCs w:val="21"/>
    </w:rPr>
  </w:style>
  <w:style w:type="character" w:customStyle="1" w:styleId="MTEquationSection">
    <w:name w:val="MTEquationSection"/>
    <w:basedOn w:val="a0"/>
    <w:rsid w:val="005C55A9"/>
    <w:rPr>
      <w:vanish/>
      <w:color w:val="FF0000"/>
    </w:rPr>
  </w:style>
  <w:style w:type="paragraph" w:customStyle="1" w:styleId="MTDisplayEquation">
    <w:name w:val="MTDisplayEquation"/>
    <w:basedOn w:val="a"/>
    <w:next w:val="a"/>
    <w:link w:val="MTDisplayEquation0"/>
    <w:rsid w:val="00EB3D9A"/>
    <w:pPr>
      <w:tabs>
        <w:tab w:val="center" w:pos="4160"/>
        <w:tab w:val="right" w:pos="8300"/>
      </w:tabs>
      <w:ind w:firstLine="480"/>
    </w:pPr>
  </w:style>
  <w:style w:type="character" w:customStyle="1" w:styleId="MTDisplayEquation0">
    <w:name w:val="MTDisplayEquation 字符"/>
    <w:basedOn w:val="a0"/>
    <w:link w:val="MTDisplayEquation"/>
    <w:rsid w:val="00EB3D9A"/>
    <w:rPr>
      <w:rFonts w:ascii="Times New Roman" w:eastAsia="宋体" w:hAnsi="Times New Roman"/>
      <w:sz w:val="24"/>
    </w:rPr>
  </w:style>
  <w:style w:type="paragraph" w:styleId="af">
    <w:name w:val="Normal (Web)"/>
    <w:basedOn w:val="a"/>
    <w:uiPriority w:val="99"/>
    <w:semiHidden/>
    <w:unhideWhenUsed/>
    <w:rsid w:val="003319F2"/>
    <w:pPr>
      <w:widowControl/>
      <w:spacing w:before="100" w:beforeAutospacing="1" w:after="100" w:afterAutospacing="1"/>
      <w:jc w:val="left"/>
    </w:pPr>
    <w:rPr>
      <w:rFonts w:ascii="宋体" w:hAnsi="宋体" w:cs="宋体"/>
      <w:kern w:val="0"/>
      <w:szCs w:val="24"/>
    </w:rPr>
  </w:style>
  <w:style w:type="paragraph" w:styleId="30">
    <w:name w:val="toc 3"/>
    <w:basedOn w:val="a"/>
    <w:next w:val="a"/>
    <w:uiPriority w:val="39"/>
    <w:unhideWhenUsed/>
    <w:qFormat/>
    <w:rsid w:val="001059A9"/>
    <w:pPr>
      <w:ind w:leftChars="400" w:left="400" w:firstLineChars="0" w:firstLine="0"/>
    </w:pPr>
    <w:rPr>
      <w:rFonts w:cs="黑体"/>
    </w:rPr>
  </w:style>
  <w:style w:type="paragraph" w:styleId="10">
    <w:name w:val="toc 1"/>
    <w:next w:val="a"/>
    <w:uiPriority w:val="39"/>
    <w:unhideWhenUsed/>
    <w:qFormat/>
    <w:rsid w:val="001059A9"/>
    <w:pPr>
      <w:spacing w:line="440" w:lineRule="exact"/>
      <w:jc w:val="both"/>
    </w:pPr>
    <w:rPr>
      <w:rFonts w:ascii="Times New Roman" w:eastAsia="黑体" w:hAnsi="Times New Roman" w:cs="黑体"/>
      <w:sz w:val="24"/>
    </w:rPr>
  </w:style>
  <w:style w:type="paragraph" w:styleId="20">
    <w:name w:val="toc 2"/>
    <w:basedOn w:val="a"/>
    <w:next w:val="a"/>
    <w:uiPriority w:val="39"/>
    <w:unhideWhenUsed/>
    <w:qFormat/>
    <w:rsid w:val="001059A9"/>
    <w:pPr>
      <w:ind w:leftChars="200" w:left="200" w:firstLineChars="0" w:firstLine="0"/>
    </w:pPr>
    <w:rPr>
      <w:rFonts w:cs="黑体"/>
    </w:rPr>
  </w:style>
  <w:style w:type="paragraph" w:styleId="9">
    <w:name w:val="toc 9"/>
    <w:basedOn w:val="a"/>
    <w:next w:val="a"/>
    <w:uiPriority w:val="39"/>
    <w:unhideWhenUsed/>
    <w:qFormat/>
    <w:rsid w:val="004E5A4B"/>
    <w:pPr>
      <w:ind w:leftChars="1600" w:left="3360"/>
    </w:pPr>
    <w:rPr>
      <w:rFonts w:cs="黑体"/>
    </w:rPr>
  </w:style>
  <w:style w:type="character" w:customStyle="1" w:styleId="11">
    <w:name w:val="页眉 字符1"/>
    <w:uiPriority w:val="99"/>
    <w:semiHidden/>
    <w:qFormat/>
    <w:rsid w:val="004E5A4B"/>
    <w:rPr>
      <w:sz w:val="18"/>
      <w:szCs w:val="18"/>
    </w:rPr>
  </w:style>
  <w:style w:type="character" w:customStyle="1" w:styleId="12">
    <w:name w:val="页脚 字符1"/>
    <w:uiPriority w:val="99"/>
    <w:qFormat/>
    <w:rsid w:val="004E5A4B"/>
    <w:rPr>
      <w:sz w:val="18"/>
      <w:szCs w:val="18"/>
    </w:rPr>
  </w:style>
  <w:style w:type="paragraph" w:customStyle="1" w:styleId="af0">
    <w:name w:val="书脊样式"/>
    <w:basedOn w:val="a"/>
    <w:qFormat/>
    <w:rsid w:val="004E5A4B"/>
    <w:rPr>
      <w:rFonts w:eastAsia="黑体" w:cs="黑体"/>
      <w:b/>
      <w:sz w:val="36"/>
      <w:szCs w:val="21"/>
    </w:rPr>
  </w:style>
  <w:style w:type="paragraph" w:customStyle="1" w:styleId="p0">
    <w:name w:val="p0"/>
    <w:basedOn w:val="a"/>
    <w:qFormat/>
    <w:rsid w:val="004E5A4B"/>
    <w:pPr>
      <w:widowControl/>
    </w:pPr>
    <w:rPr>
      <w:rFonts w:cs="黑体"/>
      <w:kern w:val="0"/>
      <w:szCs w:val="21"/>
    </w:rPr>
  </w:style>
  <w:style w:type="paragraph" w:styleId="TOC">
    <w:name w:val="TOC Heading"/>
    <w:basedOn w:val="1"/>
    <w:next w:val="a"/>
    <w:uiPriority w:val="39"/>
    <w:unhideWhenUsed/>
    <w:qFormat/>
    <w:rsid w:val="006E2EB8"/>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1">
    <w:name w:val="List Paragraph"/>
    <w:basedOn w:val="a"/>
    <w:uiPriority w:val="34"/>
    <w:qFormat/>
    <w:rsid w:val="00E56E8A"/>
    <w:pPr>
      <w:ind w:firstLine="420"/>
    </w:pPr>
  </w:style>
  <w:style w:type="paragraph" w:styleId="31">
    <w:name w:val="Body Text Indent 3"/>
    <w:basedOn w:val="a"/>
    <w:link w:val="3Char0"/>
    <w:uiPriority w:val="99"/>
    <w:rsid w:val="00C10386"/>
    <w:pPr>
      <w:tabs>
        <w:tab w:val="left" w:pos="207"/>
      </w:tabs>
      <w:adjustRightInd w:val="0"/>
      <w:snapToGrid w:val="0"/>
      <w:spacing w:line="360" w:lineRule="auto"/>
      <w:ind w:leftChars="-13" w:left="-27" w:firstLineChars="215" w:firstLine="682"/>
    </w:pPr>
    <w:rPr>
      <w:rFonts w:cs="Times New Roman"/>
      <w:kern w:val="0"/>
      <w:sz w:val="32"/>
      <w:szCs w:val="24"/>
    </w:rPr>
  </w:style>
  <w:style w:type="character" w:customStyle="1" w:styleId="3Char0">
    <w:name w:val="正文文本缩进 3 Char"/>
    <w:basedOn w:val="a0"/>
    <w:link w:val="31"/>
    <w:uiPriority w:val="99"/>
    <w:rsid w:val="00C10386"/>
    <w:rPr>
      <w:rFonts w:ascii="Times New Roman" w:eastAsia="宋体" w:hAnsi="Times New Roman" w:cs="Times New Roman"/>
      <w:kern w:val="0"/>
      <w:sz w:val="32"/>
      <w:szCs w:val="24"/>
    </w:rPr>
  </w:style>
  <w:style w:type="paragraph" w:customStyle="1" w:styleId="af2">
    <w:name w:val="论文正文"/>
    <w:basedOn w:val="a"/>
    <w:link w:val="Char3"/>
    <w:autoRedefine/>
    <w:uiPriority w:val="2"/>
    <w:qFormat/>
    <w:locked/>
    <w:rsid w:val="00E23679"/>
    <w:pPr>
      <w:widowControl/>
      <w:ind w:firstLineChars="0" w:firstLine="482"/>
    </w:pPr>
    <w:rPr>
      <w:rFonts w:hAnsi="宋体" w:cs="Courier New"/>
      <w:bCs/>
      <w:szCs w:val="24"/>
    </w:rPr>
  </w:style>
  <w:style w:type="character" w:customStyle="1" w:styleId="Char3">
    <w:name w:val="论文正文 Char"/>
    <w:basedOn w:val="a0"/>
    <w:link w:val="af2"/>
    <w:autoRedefine/>
    <w:uiPriority w:val="2"/>
    <w:qFormat/>
    <w:rsid w:val="00E23679"/>
    <w:rPr>
      <w:rFonts w:ascii="Times New Roman" w:eastAsia="宋体" w:hAnsi="宋体" w:cs="Courier New"/>
      <w:bCs/>
      <w:sz w:val="24"/>
      <w:szCs w:val="24"/>
    </w:rPr>
  </w:style>
  <w:style w:type="table" w:customStyle="1" w:styleId="13">
    <w:name w:val="网格型1"/>
    <w:basedOn w:val="a1"/>
    <w:next w:val="a6"/>
    <w:autoRedefine/>
    <w:uiPriority w:val="59"/>
    <w:qFormat/>
    <w:rsid w:val="00AB28B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6"/>
    <w:autoRedefine/>
    <w:uiPriority w:val="59"/>
    <w:qFormat/>
    <w:rsid w:val="0021412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3">
    <w:name w:val="三线表格"/>
    <w:basedOn w:val="a1"/>
    <w:autoRedefine/>
    <w:uiPriority w:val="99"/>
    <w:qFormat/>
    <w:locked/>
    <w:rsid w:val="00214128"/>
    <w:pPr>
      <w:jc w:val="center"/>
    </w:pPr>
    <w:rPr>
      <w:rFonts w:ascii="Times New Roman" w:eastAsia="宋体" w:hAnsi="Times New Roman" w:cs="Times New Roman"/>
      <w:kern w:val="0"/>
      <w:szCs w:val="20"/>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cBorders>
        <w:shd w:val="clear" w:color="auto" w:fill="auto"/>
      </w:tcPr>
    </w:tblStylePr>
  </w:style>
  <w:style w:type="paragraph" w:styleId="af4">
    <w:name w:val="Balloon Text"/>
    <w:basedOn w:val="a"/>
    <w:link w:val="Char4"/>
    <w:uiPriority w:val="99"/>
    <w:semiHidden/>
    <w:unhideWhenUsed/>
    <w:rsid w:val="0082761D"/>
    <w:pPr>
      <w:spacing w:line="240" w:lineRule="auto"/>
    </w:pPr>
    <w:rPr>
      <w:sz w:val="18"/>
      <w:szCs w:val="18"/>
    </w:rPr>
  </w:style>
  <w:style w:type="character" w:customStyle="1" w:styleId="Char4">
    <w:name w:val="批注框文本 Char"/>
    <w:basedOn w:val="a0"/>
    <w:link w:val="af4"/>
    <w:uiPriority w:val="99"/>
    <w:semiHidden/>
    <w:rsid w:val="0082761D"/>
    <w:rPr>
      <w:rFonts w:ascii="Times New Roman" w:eastAsia="宋体"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qFormat="1"/>
    <w:lsdException w:name="footer" w:qFormat="1"/>
    <w:lsdException w:name="caption" w:uiPriority="35" w:qFormat="1"/>
    <w:lsdException w:name="footnote reference" w:uiPriority="14"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14128"/>
    <w:pPr>
      <w:widowControl w:val="0"/>
      <w:spacing w:line="440" w:lineRule="exact"/>
      <w:ind w:firstLineChars="200" w:firstLine="200"/>
      <w:jc w:val="both"/>
    </w:pPr>
    <w:rPr>
      <w:rFonts w:ascii="Times New Roman" w:eastAsia="宋体" w:hAnsi="Times New Roman"/>
      <w:sz w:val="24"/>
    </w:rPr>
  </w:style>
  <w:style w:type="paragraph" w:styleId="1">
    <w:name w:val="heading 1"/>
    <w:basedOn w:val="a"/>
    <w:next w:val="a"/>
    <w:link w:val="1Char"/>
    <w:uiPriority w:val="9"/>
    <w:qFormat/>
    <w:rsid w:val="00BA415A"/>
    <w:pPr>
      <w:keepNext/>
      <w:keepLines/>
      <w:spacing w:beforeLines="100" w:before="100" w:afterLines="100" w:after="100"/>
      <w:ind w:firstLineChars="0" w:firstLine="0"/>
      <w:jc w:val="center"/>
      <w:outlineLvl w:val="0"/>
    </w:pPr>
    <w:rPr>
      <w:rFonts w:eastAsia="黑体"/>
      <w:bCs/>
      <w:kern w:val="44"/>
      <w:sz w:val="36"/>
      <w:szCs w:val="44"/>
    </w:rPr>
  </w:style>
  <w:style w:type="paragraph" w:styleId="2">
    <w:name w:val="heading 2"/>
    <w:basedOn w:val="a"/>
    <w:next w:val="a"/>
    <w:link w:val="2Char"/>
    <w:uiPriority w:val="9"/>
    <w:unhideWhenUsed/>
    <w:qFormat/>
    <w:rsid w:val="00BA415A"/>
    <w:pPr>
      <w:keepNext/>
      <w:keepLines/>
      <w:spacing w:beforeLines="50" w:before="50" w:afterLines="50" w:after="50"/>
      <w:ind w:firstLineChars="0" w:firstLine="0"/>
      <w:outlineLvl w:val="1"/>
    </w:pPr>
    <w:rPr>
      <w:rFonts w:eastAsia="黑体" w:cstheme="majorBidi"/>
      <w:bCs/>
      <w:sz w:val="30"/>
      <w:szCs w:val="32"/>
    </w:rPr>
  </w:style>
  <w:style w:type="paragraph" w:styleId="3">
    <w:name w:val="heading 3"/>
    <w:basedOn w:val="a"/>
    <w:next w:val="a"/>
    <w:link w:val="3Char"/>
    <w:uiPriority w:val="9"/>
    <w:unhideWhenUsed/>
    <w:qFormat/>
    <w:rsid w:val="003635B4"/>
    <w:pPr>
      <w:keepNext/>
      <w:keepLines/>
      <w:spacing w:beforeLines="50" w:before="50" w:afterLines="50" w:after="50"/>
      <w:ind w:firstLineChars="0" w:firstLine="0"/>
      <w:outlineLvl w:val="2"/>
    </w:pPr>
    <w:rPr>
      <w:rFonts w:eastAsia="黑体"/>
      <w:bCs/>
      <w:sz w:val="28"/>
      <w:szCs w:val="32"/>
    </w:rPr>
  </w:style>
  <w:style w:type="paragraph" w:styleId="4">
    <w:name w:val="heading 4"/>
    <w:basedOn w:val="a"/>
    <w:next w:val="a"/>
    <w:link w:val="4Char"/>
    <w:uiPriority w:val="9"/>
    <w:unhideWhenUsed/>
    <w:qFormat/>
    <w:rsid w:val="00BA415A"/>
    <w:pPr>
      <w:keepNext/>
      <w:keepLines/>
      <w:spacing w:before="280" w:after="290" w:line="377" w:lineRule="auto"/>
      <w:ind w:firstLineChars="0" w:firstLine="0"/>
      <w:outlineLvl w:val="3"/>
    </w:pPr>
    <w:rPr>
      <w:rFonts w:eastAsia="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BA415A"/>
    <w:rPr>
      <w:rFonts w:ascii="Times New Roman" w:eastAsia="黑体" w:hAnsi="Times New Roman"/>
      <w:bCs/>
      <w:kern w:val="44"/>
      <w:sz w:val="36"/>
      <w:szCs w:val="44"/>
    </w:rPr>
  </w:style>
  <w:style w:type="character" w:customStyle="1" w:styleId="2Char">
    <w:name w:val="标题 2 Char"/>
    <w:basedOn w:val="a0"/>
    <w:link w:val="2"/>
    <w:uiPriority w:val="9"/>
    <w:rsid w:val="00BA415A"/>
    <w:rPr>
      <w:rFonts w:ascii="Times New Roman" w:eastAsia="黑体" w:hAnsi="Times New Roman" w:cstheme="majorBidi"/>
      <w:bCs/>
      <w:sz w:val="30"/>
      <w:szCs w:val="32"/>
    </w:rPr>
  </w:style>
  <w:style w:type="paragraph" w:styleId="a3">
    <w:name w:val="header"/>
    <w:basedOn w:val="a"/>
    <w:link w:val="Char"/>
    <w:uiPriority w:val="99"/>
    <w:unhideWhenUsed/>
    <w:rsid w:val="00801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01133"/>
    <w:rPr>
      <w:sz w:val="18"/>
      <w:szCs w:val="18"/>
    </w:rPr>
  </w:style>
  <w:style w:type="paragraph" w:styleId="a4">
    <w:name w:val="footer"/>
    <w:basedOn w:val="a"/>
    <w:link w:val="Char0"/>
    <w:uiPriority w:val="99"/>
    <w:unhideWhenUsed/>
    <w:qFormat/>
    <w:rsid w:val="00801133"/>
    <w:pPr>
      <w:tabs>
        <w:tab w:val="center" w:pos="4153"/>
        <w:tab w:val="right" w:pos="8306"/>
      </w:tabs>
      <w:snapToGrid w:val="0"/>
      <w:jc w:val="left"/>
    </w:pPr>
    <w:rPr>
      <w:sz w:val="18"/>
      <w:szCs w:val="18"/>
    </w:rPr>
  </w:style>
  <w:style w:type="character" w:customStyle="1" w:styleId="Char0">
    <w:name w:val="页脚 Char"/>
    <w:basedOn w:val="a0"/>
    <w:link w:val="a4"/>
    <w:uiPriority w:val="99"/>
    <w:rsid w:val="00801133"/>
    <w:rPr>
      <w:sz w:val="18"/>
      <w:szCs w:val="18"/>
    </w:rPr>
  </w:style>
  <w:style w:type="paragraph" w:styleId="a5">
    <w:name w:val="No Spacing"/>
    <w:uiPriority w:val="1"/>
    <w:qFormat/>
    <w:rsid w:val="00801133"/>
    <w:pPr>
      <w:widowControl w:val="0"/>
      <w:jc w:val="both"/>
    </w:pPr>
  </w:style>
  <w:style w:type="character" w:customStyle="1" w:styleId="3Char">
    <w:name w:val="标题 3 Char"/>
    <w:basedOn w:val="a0"/>
    <w:link w:val="3"/>
    <w:uiPriority w:val="9"/>
    <w:rsid w:val="003635B4"/>
    <w:rPr>
      <w:rFonts w:ascii="Times New Roman" w:eastAsia="黑体" w:hAnsi="Times New Roman"/>
      <w:bCs/>
      <w:sz w:val="28"/>
      <w:szCs w:val="32"/>
    </w:rPr>
  </w:style>
  <w:style w:type="table" w:styleId="a6">
    <w:name w:val="Table Grid"/>
    <w:basedOn w:val="a1"/>
    <w:uiPriority w:val="59"/>
    <w:qFormat/>
    <w:rsid w:val="006F3C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basedOn w:val="a0"/>
    <w:link w:val="4"/>
    <w:uiPriority w:val="9"/>
    <w:rsid w:val="00BA415A"/>
    <w:rPr>
      <w:rFonts w:ascii="Times New Roman" w:eastAsia="黑体" w:hAnsi="Times New Roman" w:cstheme="majorBidi"/>
      <w:bCs/>
      <w:sz w:val="24"/>
      <w:szCs w:val="28"/>
    </w:rPr>
  </w:style>
  <w:style w:type="character" w:styleId="a7">
    <w:name w:val="Placeholder Text"/>
    <w:basedOn w:val="a0"/>
    <w:uiPriority w:val="99"/>
    <w:semiHidden/>
    <w:rsid w:val="00405711"/>
    <w:rPr>
      <w:color w:val="808080"/>
    </w:rPr>
  </w:style>
  <w:style w:type="character" w:styleId="a8">
    <w:name w:val="Hyperlink"/>
    <w:basedOn w:val="a0"/>
    <w:uiPriority w:val="99"/>
    <w:unhideWhenUsed/>
    <w:rsid w:val="0021425E"/>
    <w:rPr>
      <w:color w:val="0563C1" w:themeColor="hyperlink"/>
      <w:u w:val="single"/>
    </w:rPr>
  </w:style>
  <w:style w:type="character" w:customStyle="1" w:styleId="UnresolvedMention">
    <w:name w:val="Unresolved Mention"/>
    <w:basedOn w:val="a0"/>
    <w:uiPriority w:val="99"/>
    <w:semiHidden/>
    <w:unhideWhenUsed/>
    <w:rsid w:val="0021425E"/>
    <w:rPr>
      <w:color w:val="605E5C"/>
      <w:shd w:val="clear" w:color="auto" w:fill="E1DFDD"/>
    </w:rPr>
  </w:style>
  <w:style w:type="paragraph" w:styleId="a9">
    <w:name w:val="footnote text"/>
    <w:basedOn w:val="a"/>
    <w:link w:val="Char1"/>
    <w:uiPriority w:val="99"/>
    <w:semiHidden/>
    <w:unhideWhenUsed/>
    <w:rsid w:val="00301745"/>
    <w:pPr>
      <w:snapToGrid w:val="0"/>
      <w:jc w:val="left"/>
    </w:pPr>
    <w:rPr>
      <w:sz w:val="18"/>
      <w:szCs w:val="18"/>
    </w:rPr>
  </w:style>
  <w:style w:type="character" w:customStyle="1" w:styleId="Char1">
    <w:name w:val="脚注文本 Char"/>
    <w:basedOn w:val="a0"/>
    <w:link w:val="a9"/>
    <w:uiPriority w:val="99"/>
    <w:semiHidden/>
    <w:rsid w:val="00301745"/>
    <w:rPr>
      <w:sz w:val="18"/>
      <w:szCs w:val="18"/>
    </w:rPr>
  </w:style>
  <w:style w:type="character" w:styleId="aa">
    <w:name w:val="footnote reference"/>
    <w:basedOn w:val="a0"/>
    <w:uiPriority w:val="14"/>
    <w:unhideWhenUsed/>
    <w:qFormat/>
    <w:rsid w:val="00301745"/>
    <w:rPr>
      <w:vertAlign w:val="superscript"/>
    </w:rPr>
  </w:style>
  <w:style w:type="paragraph" w:styleId="ab">
    <w:name w:val="Title"/>
    <w:basedOn w:val="a"/>
    <w:next w:val="a"/>
    <w:link w:val="Char2"/>
    <w:uiPriority w:val="10"/>
    <w:qFormat/>
    <w:rsid w:val="003A1F15"/>
    <w:pPr>
      <w:spacing w:before="240" w:after="60"/>
      <w:jc w:val="center"/>
      <w:outlineLvl w:val="0"/>
    </w:pPr>
    <w:rPr>
      <w:rFonts w:asciiTheme="majorHAnsi" w:eastAsiaTheme="majorEastAsia" w:hAnsiTheme="majorHAnsi" w:cstheme="majorBidi"/>
      <w:b/>
      <w:bCs/>
      <w:sz w:val="32"/>
      <w:szCs w:val="32"/>
    </w:rPr>
  </w:style>
  <w:style w:type="character" w:customStyle="1" w:styleId="Char2">
    <w:name w:val="标题 Char"/>
    <w:basedOn w:val="a0"/>
    <w:link w:val="ab"/>
    <w:uiPriority w:val="10"/>
    <w:rsid w:val="003A1F15"/>
    <w:rPr>
      <w:rFonts w:asciiTheme="majorHAnsi" w:eastAsiaTheme="majorEastAsia" w:hAnsiTheme="majorHAnsi" w:cstheme="majorBidi"/>
      <w:b/>
      <w:bCs/>
      <w:sz w:val="32"/>
      <w:szCs w:val="32"/>
    </w:rPr>
  </w:style>
  <w:style w:type="paragraph" w:customStyle="1" w:styleId="ac">
    <w:name w:val="表格"/>
    <w:basedOn w:val="a"/>
    <w:link w:val="ad"/>
    <w:qFormat/>
    <w:rsid w:val="007513D5"/>
    <w:pPr>
      <w:framePr w:hSpace="180" w:wrap="around" w:vAnchor="text" w:hAnchor="margin" w:xAlign="center" w:y="49"/>
      <w:ind w:firstLine="420"/>
      <w:jc w:val="center"/>
    </w:pPr>
    <w:rPr>
      <w:sz w:val="21"/>
      <w:szCs w:val="21"/>
    </w:rPr>
  </w:style>
  <w:style w:type="character" w:styleId="ae">
    <w:name w:val="FollowedHyperlink"/>
    <w:basedOn w:val="a0"/>
    <w:uiPriority w:val="99"/>
    <w:semiHidden/>
    <w:unhideWhenUsed/>
    <w:rsid w:val="00977941"/>
    <w:rPr>
      <w:color w:val="954F72" w:themeColor="followedHyperlink"/>
      <w:u w:val="single"/>
    </w:rPr>
  </w:style>
  <w:style w:type="character" w:customStyle="1" w:styleId="ad">
    <w:name w:val="表格 字符"/>
    <w:basedOn w:val="a0"/>
    <w:link w:val="ac"/>
    <w:rsid w:val="007513D5"/>
    <w:rPr>
      <w:rFonts w:ascii="Times New Roman" w:eastAsia="宋体" w:hAnsi="Times New Roman"/>
      <w:szCs w:val="21"/>
    </w:rPr>
  </w:style>
  <w:style w:type="character" w:customStyle="1" w:styleId="MTEquationSection">
    <w:name w:val="MTEquationSection"/>
    <w:basedOn w:val="a0"/>
    <w:rsid w:val="005C55A9"/>
    <w:rPr>
      <w:vanish/>
      <w:color w:val="FF0000"/>
    </w:rPr>
  </w:style>
  <w:style w:type="paragraph" w:customStyle="1" w:styleId="MTDisplayEquation">
    <w:name w:val="MTDisplayEquation"/>
    <w:basedOn w:val="a"/>
    <w:next w:val="a"/>
    <w:link w:val="MTDisplayEquation0"/>
    <w:rsid w:val="00EB3D9A"/>
    <w:pPr>
      <w:tabs>
        <w:tab w:val="center" w:pos="4160"/>
        <w:tab w:val="right" w:pos="8300"/>
      </w:tabs>
      <w:ind w:firstLine="480"/>
    </w:pPr>
  </w:style>
  <w:style w:type="character" w:customStyle="1" w:styleId="MTDisplayEquation0">
    <w:name w:val="MTDisplayEquation 字符"/>
    <w:basedOn w:val="a0"/>
    <w:link w:val="MTDisplayEquation"/>
    <w:rsid w:val="00EB3D9A"/>
    <w:rPr>
      <w:rFonts w:ascii="Times New Roman" w:eastAsia="宋体" w:hAnsi="Times New Roman"/>
      <w:sz w:val="24"/>
    </w:rPr>
  </w:style>
  <w:style w:type="paragraph" w:styleId="af">
    <w:name w:val="Normal (Web)"/>
    <w:basedOn w:val="a"/>
    <w:uiPriority w:val="99"/>
    <w:semiHidden/>
    <w:unhideWhenUsed/>
    <w:rsid w:val="003319F2"/>
    <w:pPr>
      <w:widowControl/>
      <w:spacing w:before="100" w:beforeAutospacing="1" w:after="100" w:afterAutospacing="1"/>
      <w:jc w:val="left"/>
    </w:pPr>
    <w:rPr>
      <w:rFonts w:ascii="宋体" w:hAnsi="宋体" w:cs="宋体"/>
      <w:kern w:val="0"/>
      <w:szCs w:val="24"/>
    </w:rPr>
  </w:style>
  <w:style w:type="paragraph" w:styleId="30">
    <w:name w:val="toc 3"/>
    <w:basedOn w:val="a"/>
    <w:next w:val="a"/>
    <w:uiPriority w:val="39"/>
    <w:unhideWhenUsed/>
    <w:qFormat/>
    <w:rsid w:val="001059A9"/>
    <w:pPr>
      <w:ind w:leftChars="400" w:left="400" w:firstLineChars="0" w:firstLine="0"/>
    </w:pPr>
    <w:rPr>
      <w:rFonts w:cs="黑体"/>
    </w:rPr>
  </w:style>
  <w:style w:type="paragraph" w:styleId="10">
    <w:name w:val="toc 1"/>
    <w:next w:val="a"/>
    <w:uiPriority w:val="39"/>
    <w:unhideWhenUsed/>
    <w:qFormat/>
    <w:rsid w:val="001059A9"/>
    <w:pPr>
      <w:spacing w:line="440" w:lineRule="exact"/>
      <w:jc w:val="both"/>
    </w:pPr>
    <w:rPr>
      <w:rFonts w:ascii="Times New Roman" w:eastAsia="黑体" w:hAnsi="Times New Roman" w:cs="黑体"/>
      <w:sz w:val="24"/>
    </w:rPr>
  </w:style>
  <w:style w:type="paragraph" w:styleId="20">
    <w:name w:val="toc 2"/>
    <w:basedOn w:val="a"/>
    <w:next w:val="a"/>
    <w:uiPriority w:val="39"/>
    <w:unhideWhenUsed/>
    <w:qFormat/>
    <w:rsid w:val="001059A9"/>
    <w:pPr>
      <w:ind w:leftChars="200" w:left="200" w:firstLineChars="0" w:firstLine="0"/>
    </w:pPr>
    <w:rPr>
      <w:rFonts w:cs="黑体"/>
    </w:rPr>
  </w:style>
  <w:style w:type="paragraph" w:styleId="9">
    <w:name w:val="toc 9"/>
    <w:basedOn w:val="a"/>
    <w:next w:val="a"/>
    <w:uiPriority w:val="39"/>
    <w:unhideWhenUsed/>
    <w:qFormat/>
    <w:rsid w:val="004E5A4B"/>
    <w:pPr>
      <w:ind w:leftChars="1600" w:left="3360"/>
    </w:pPr>
    <w:rPr>
      <w:rFonts w:cs="黑体"/>
    </w:rPr>
  </w:style>
  <w:style w:type="character" w:customStyle="1" w:styleId="11">
    <w:name w:val="页眉 字符1"/>
    <w:uiPriority w:val="99"/>
    <w:semiHidden/>
    <w:qFormat/>
    <w:rsid w:val="004E5A4B"/>
    <w:rPr>
      <w:sz w:val="18"/>
      <w:szCs w:val="18"/>
    </w:rPr>
  </w:style>
  <w:style w:type="character" w:customStyle="1" w:styleId="12">
    <w:name w:val="页脚 字符1"/>
    <w:uiPriority w:val="99"/>
    <w:qFormat/>
    <w:rsid w:val="004E5A4B"/>
    <w:rPr>
      <w:sz w:val="18"/>
      <w:szCs w:val="18"/>
    </w:rPr>
  </w:style>
  <w:style w:type="paragraph" w:customStyle="1" w:styleId="af0">
    <w:name w:val="书脊样式"/>
    <w:basedOn w:val="a"/>
    <w:qFormat/>
    <w:rsid w:val="004E5A4B"/>
    <w:rPr>
      <w:rFonts w:eastAsia="黑体" w:cs="黑体"/>
      <w:b/>
      <w:sz w:val="36"/>
      <w:szCs w:val="21"/>
    </w:rPr>
  </w:style>
  <w:style w:type="paragraph" w:customStyle="1" w:styleId="p0">
    <w:name w:val="p0"/>
    <w:basedOn w:val="a"/>
    <w:qFormat/>
    <w:rsid w:val="004E5A4B"/>
    <w:pPr>
      <w:widowControl/>
    </w:pPr>
    <w:rPr>
      <w:rFonts w:cs="黑体"/>
      <w:kern w:val="0"/>
      <w:szCs w:val="21"/>
    </w:rPr>
  </w:style>
  <w:style w:type="paragraph" w:styleId="TOC">
    <w:name w:val="TOC Heading"/>
    <w:basedOn w:val="1"/>
    <w:next w:val="a"/>
    <w:uiPriority w:val="39"/>
    <w:unhideWhenUsed/>
    <w:qFormat/>
    <w:rsid w:val="006E2EB8"/>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1">
    <w:name w:val="List Paragraph"/>
    <w:basedOn w:val="a"/>
    <w:uiPriority w:val="34"/>
    <w:qFormat/>
    <w:rsid w:val="00E56E8A"/>
    <w:pPr>
      <w:ind w:firstLine="420"/>
    </w:pPr>
  </w:style>
  <w:style w:type="paragraph" w:styleId="31">
    <w:name w:val="Body Text Indent 3"/>
    <w:basedOn w:val="a"/>
    <w:link w:val="3Char0"/>
    <w:uiPriority w:val="99"/>
    <w:rsid w:val="00C10386"/>
    <w:pPr>
      <w:tabs>
        <w:tab w:val="left" w:pos="207"/>
      </w:tabs>
      <w:adjustRightInd w:val="0"/>
      <w:snapToGrid w:val="0"/>
      <w:spacing w:line="360" w:lineRule="auto"/>
      <w:ind w:leftChars="-13" w:left="-27" w:firstLineChars="215" w:firstLine="682"/>
    </w:pPr>
    <w:rPr>
      <w:rFonts w:cs="Times New Roman"/>
      <w:kern w:val="0"/>
      <w:sz w:val="32"/>
      <w:szCs w:val="24"/>
    </w:rPr>
  </w:style>
  <w:style w:type="character" w:customStyle="1" w:styleId="3Char0">
    <w:name w:val="正文文本缩进 3 Char"/>
    <w:basedOn w:val="a0"/>
    <w:link w:val="31"/>
    <w:uiPriority w:val="99"/>
    <w:rsid w:val="00C10386"/>
    <w:rPr>
      <w:rFonts w:ascii="Times New Roman" w:eastAsia="宋体" w:hAnsi="Times New Roman" w:cs="Times New Roman"/>
      <w:kern w:val="0"/>
      <w:sz w:val="32"/>
      <w:szCs w:val="24"/>
    </w:rPr>
  </w:style>
  <w:style w:type="paragraph" w:customStyle="1" w:styleId="af2">
    <w:name w:val="论文正文"/>
    <w:basedOn w:val="a"/>
    <w:link w:val="Char3"/>
    <w:autoRedefine/>
    <w:uiPriority w:val="2"/>
    <w:qFormat/>
    <w:locked/>
    <w:rsid w:val="00E23679"/>
    <w:pPr>
      <w:widowControl/>
      <w:ind w:firstLineChars="0" w:firstLine="482"/>
    </w:pPr>
    <w:rPr>
      <w:rFonts w:hAnsi="宋体" w:cs="Courier New"/>
      <w:bCs/>
      <w:szCs w:val="24"/>
    </w:rPr>
  </w:style>
  <w:style w:type="character" w:customStyle="1" w:styleId="Char3">
    <w:name w:val="论文正文 Char"/>
    <w:basedOn w:val="a0"/>
    <w:link w:val="af2"/>
    <w:autoRedefine/>
    <w:uiPriority w:val="2"/>
    <w:qFormat/>
    <w:rsid w:val="00E23679"/>
    <w:rPr>
      <w:rFonts w:ascii="Times New Roman" w:eastAsia="宋体" w:hAnsi="宋体" w:cs="Courier New"/>
      <w:bCs/>
      <w:sz w:val="24"/>
      <w:szCs w:val="24"/>
    </w:rPr>
  </w:style>
  <w:style w:type="table" w:customStyle="1" w:styleId="13">
    <w:name w:val="网格型1"/>
    <w:basedOn w:val="a1"/>
    <w:next w:val="a6"/>
    <w:autoRedefine/>
    <w:uiPriority w:val="59"/>
    <w:qFormat/>
    <w:rsid w:val="00AB28B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6"/>
    <w:autoRedefine/>
    <w:uiPriority w:val="59"/>
    <w:qFormat/>
    <w:rsid w:val="0021412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3">
    <w:name w:val="三线表格"/>
    <w:basedOn w:val="a1"/>
    <w:autoRedefine/>
    <w:uiPriority w:val="99"/>
    <w:qFormat/>
    <w:locked/>
    <w:rsid w:val="00214128"/>
    <w:pPr>
      <w:jc w:val="center"/>
    </w:pPr>
    <w:rPr>
      <w:rFonts w:ascii="Times New Roman" w:eastAsia="宋体" w:hAnsi="Times New Roman" w:cs="Times New Roman"/>
      <w:kern w:val="0"/>
      <w:szCs w:val="20"/>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cBorders>
        <w:shd w:val="clear" w:color="auto" w:fill="auto"/>
      </w:tcPr>
    </w:tblStylePr>
  </w:style>
  <w:style w:type="paragraph" w:styleId="af4">
    <w:name w:val="Balloon Text"/>
    <w:basedOn w:val="a"/>
    <w:link w:val="Char4"/>
    <w:uiPriority w:val="99"/>
    <w:semiHidden/>
    <w:unhideWhenUsed/>
    <w:rsid w:val="0082761D"/>
    <w:pPr>
      <w:spacing w:line="240" w:lineRule="auto"/>
    </w:pPr>
    <w:rPr>
      <w:sz w:val="18"/>
      <w:szCs w:val="18"/>
    </w:rPr>
  </w:style>
  <w:style w:type="character" w:customStyle="1" w:styleId="Char4">
    <w:name w:val="批注框文本 Char"/>
    <w:basedOn w:val="a0"/>
    <w:link w:val="af4"/>
    <w:uiPriority w:val="99"/>
    <w:semiHidden/>
    <w:rsid w:val="0082761D"/>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2113">
      <w:bodyDiv w:val="1"/>
      <w:marLeft w:val="0"/>
      <w:marRight w:val="0"/>
      <w:marTop w:val="0"/>
      <w:marBottom w:val="0"/>
      <w:divBdr>
        <w:top w:val="none" w:sz="0" w:space="0" w:color="auto"/>
        <w:left w:val="none" w:sz="0" w:space="0" w:color="auto"/>
        <w:bottom w:val="none" w:sz="0" w:space="0" w:color="auto"/>
        <w:right w:val="none" w:sz="0" w:space="0" w:color="auto"/>
      </w:divBdr>
    </w:div>
    <w:div w:id="38282543">
      <w:bodyDiv w:val="1"/>
      <w:marLeft w:val="0"/>
      <w:marRight w:val="0"/>
      <w:marTop w:val="0"/>
      <w:marBottom w:val="0"/>
      <w:divBdr>
        <w:top w:val="none" w:sz="0" w:space="0" w:color="auto"/>
        <w:left w:val="none" w:sz="0" w:space="0" w:color="auto"/>
        <w:bottom w:val="none" w:sz="0" w:space="0" w:color="auto"/>
        <w:right w:val="none" w:sz="0" w:space="0" w:color="auto"/>
      </w:divBdr>
    </w:div>
    <w:div w:id="39668899">
      <w:bodyDiv w:val="1"/>
      <w:marLeft w:val="0"/>
      <w:marRight w:val="0"/>
      <w:marTop w:val="0"/>
      <w:marBottom w:val="0"/>
      <w:divBdr>
        <w:top w:val="none" w:sz="0" w:space="0" w:color="auto"/>
        <w:left w:val="none" w:sz="0" w:space="0" w:color="auto"/>
        <w:bottom w:val="none" w:sz="0" w:space="0" w:color="auto"/>
        <w:right w:val="none" w:sz="0" w:space="0" w:color="auto"/>
      </w:divBdr>
    </w:div>
    <w:div w:id="67967413">
      <w:bodyDiv w:val="1"/>
      <w:marLeft w:val="0"/>
      <w:marRight w:val="0"/>
      <w:marTop w:val="0"/>
      <w:marBottom w:val="0"/>
      <w:divBdr>
        <w:top w:val="none" w:sz="0" w:space="0" w:color="auto"/>
        <w:left w:val="none" w:sz="0" w:space="0" w:color="auto"/>
        <w:bottom w:val="none" w:sz="0" w:space="0" w:color="auto"/>
        <w:right w:val="none" w:sz="0" w:space="0" w:color="auto"/>
      </w:divBdr>
    </w:div>
    <w:div w:id="79377134">
      <w:bodyDiv w:val="1"/>
      <w:marLeft w:val="0"/>
      <w:marRight w:val="0"/>
      <w:marTop w:val="0"/>
      <w:marBottom w:val="0"/>
      <w:divBdr>
        <w:top w:val="none" w:sz="0" w:space="0" w:color="auto"/>
        <w:left w:val="none" w:sz="0" w:space="0" w:color="auto"/>
        <w:bottom w:val="none" w:sz="0" w:space="0" w:color="auto"/>
        <w:right w:val="none" w:sz="0" w:space="0" w:color="auto"/>
      </w:divBdr>
    </w:div>
    <w:div w:id="152988872">
      <w:bodyDiv w:val="1"/>
      <w:marLeft w:val="0"/>
      <w:marRight w:val="0"/>
      <w:marTop w:val="0"/>
      <w:marBottom w:val="0"/>
      <w:divBdr>
        <w:top w:val="none" w:sz="0" w:space="0" w:color="auto"/>
        <w:left w:val="none" w:sz="0" w:space="0" w:color="auto"/>
        <w:bottom w:val="none" w:sz="0" w:space="0" w:color="auto"/>
        <w:right w:val="none" w:sz="0" w:space="0" w:color="auto"/>
      </w:divBdr>
    </w:div>
    <w:div w:id="160512161">
      <w:bodyDiv w:val="1"/>
      <w:marLeft w:val="0"/>
      <w:marRight w:val="0"/>
      <w:marTop w:val="0"/>
      <w:marBottom w:val="0"/>
      <w:divBdr>
        <w:top w:val="none" w:sz="0" w:space="0" w:color="auto"/>
        <w:left w:val="none" w:sz="0" w:space="0" w:color="auto"/>
        <w:bottom w:val="none" w:sz="0" w:space="0" w:color="auto"/>
        <w:right w:val="none" w:sz="0" w:space="0" w:color="auto"/>
      </w:divBdr>
    </w:div>
    <w:div w:id="260651122">
      <w:bodyDiv w:val="1"/>
      <w:marLeft w:val="0"/>
      <w:marRight w:val="0"/>
      <w:marTop w:val="0"/>
      <w:marBottom w:val="0"/>
      <w:divBdr>
        <w:top w:val="none" w:sz="0" w:space="0" w:color="auto"/>
        <w:left w:val="none" w:sz="0" w:space="0" w:color="auto"/>
        <w:bottom w:val="none" w:sz="0" w:space="0" w:color="auto"/>
        <w:right w:val="none" w:sz="0" w:space="0" w:color="auto"/>
      </w:divBdr>
    </w:div>
    <w:div w:id="263150463">
      <w:bodyDiv w:val="1"/>
      <w:marLeft w:val="0"/>
      <w:marRight w:val="0"/>
      <w:marTop w:val="0"/>
      <w:marBottom w:val="0"/>
      <w:divBdr>
        <w:top w:val="none" w:sz="0" w:space="0" w:color="auto"/>
        <w:left w:val="none" w:sz="0" w:space="0" w:color="auto"/>
        <w:bottom w:val="none" w:sz="0" w:space="0" w:color="auto"/>
        <w:right w:val="none" w:sz="0" w:space="0" w:color="auto"/>
      </w:divBdr>
    </w:div>
    <w:div w:id="299042565">
      <w:bodyDiv w:val="1"/>
      <w:marLeft w:val="0"/>
      <w:marRight w:val="0"/>
      <w:marTop w:val="0"/>
      <w:marBottom w:val="0"/>
      <w:divBdr>
        <w:top w:val="none" w:sz="0" w:space="0" w:color="auto"/>
        <w:left w:val="none" w:sz="0" w:space="0" w:color="auto"/>
        <w:bottom w:val="none" w:sz="0" w:space="0" w:color="auto"/>
        <w:right w:val="none" w:sz="0" w:space="0" w:color="auto"/>
      </w:divBdr>
    </w:div>
    <w:div w:id="403995088">
      <w:bodyDiv w:val="1"/>
      <w:marLeft w:val="0"/>
      <w:marRight w:val="0"/>
      <w:marTop w:val="0"/>
      <w:marBottom w:val="0"/>
      <w:divBdr>
        <w:top w:val="none" w:sz="0" w:space="0" w:color="auto"/>
        <w:left w:val="none" w:sz="0" w:space="0" w:color="auto"/>
        <w:bottom w:val="none" w:sz="0" w:space="0" w:color="auto"/>
        <w:right w:val="none" w:sz="0" w:space="0" w:color="auto"/>
      </w:divBdr>
    </w:div>
    <w:div w:id="417100651">
      <w:bodyDiv w:val="1"/>
      <w:marLeft w:val="0"/>
      <w:marRight w:val="0"/>
      <w:marTop w:val="0"/>
      <w:marBottom w:val="0"/>
      <w:divBdr>
        <w:top w:val="none" w:sz="0" w:space="0" w:color="auto"/>
        <w:left w:val="none" w:sz="0" w:space="0" w:color="auto"/>
        <w:bottom w:val="none" w:sz="0" w:space="0" w:color="auto"/>
        <w:right w:val="none" w:sz="0" w:space="0" w:color="auto"/>
      </w:divBdr>
    </w:div>
    <w:div w:id="545336017">
      <w:bodyDiv w:val="1"/>
      <w:marLeft w:val="0"/>
      <w:marRight w:val="0"/>
      <w:marTop w:val="0"/>
      <w:marBottom w:val="0"/>
      <w:divBdr>
        <w:top w:val="none" w:sz="0" w:space="0" w:color="auto"/>
        <w:left w:val="none" w:sz="0" w:space="0" w:color="auto"/>
        <w:bottom w:val="none" w:sz="0" w:space="0" w:color="auto"/>
        <w:right w:val="none" w:sz="0" w:space="0" w:color="auto"/>
      </w:divBdr>
    </w:div>
    <w:div w:id="610822173">
      <w:bodyDiv w:val="1"/>
      <w:marLeft w:val="0"/>
      <w:marRight w:val="0"/>
      <w:marTop w:val="0"/>
      <w:marBottom w:val="0"/>
      <w:divBdr>
        <w:top w:val="none" w:sz="0" w:space="0" w:color="auto"/>
        <w:left w:val="none" w:sz="0" w:space="0" w:color="auto"/>
        <w:bottom w:val="none" w:sz="0" w:space="0" w:color="auto"/>
        <w:right w:val="none" w:sz="0" w:space="0" w:color="auto"/>
      </w:divBdr>
    </w:div>
    <w:div w:id="647561356">
      <w:bodyDiv w:val="1"/>
      <w:marLeft w:val="0"/>
      <w:marRight w:val="0"/>
      <w:marTop w:val="0"/>
      <w:marBottom w:val="0"/>
      <w:divBdr>
        <w:top w:val="none" w:sz="0" w:space="0" w:color="auto"/>
        <w:left w:val="none" w:sz="0" w:space="0" w:color="auto"/>
        <w:bottom w:val="none" w:sz="0" w:space="0" w:color="auto"/>
        <w:right w:val="none" w:sz="0" w:space="0" w:color="auto"/>
      </w:divBdr>
    </w:div>
    <w:div w:id="727148333">
      <w:bodyDiv w:val="1"/>
      <w:marLeft w:val="0"/>
      <w:marRight w:val="0"/>
      <w:marTop w:val="0"/>
      <w:marBottom w:val="0"/>
      <w:divBdr>
        <w:top w:val="none" w:sz="0" w:space="0" w:color="auto"/>
        <w:left w:val="none" w:sz="0" w:space="0" w:color="auto"/>
        <w:bottom w:val="none" w:sz="0" w:space="0" w:color="auto"/>
        <w:right w:val="none" w:sz="0" w:space="0" w:color="auto"/>
      </w:divBdr>
    </w:div>
    <w:div w:id="737090096">
      <w:bodyDiv w:val="1"/>
      <w:marLeft w:val="0"/>
      <w:marRight w:val="0"/>
      <w:marTop w:val="0"/>
      <w:marBottom w:val="0"/>
      <w:divBdr>
        <w:top w:val="none" w:sz="0" w:space="0" w:color="auto"/>
        <w:left w:val="none" w:sz="0" w:space="0" w:color="auto"/>
        <w:bottom w:val="none" w:sz="0" w:space="0" w:color="auto"/>
        <w:right w:val="none" w:sz="0" w:space="0" w:color="auto"/>
      </w:divBdr>
    </w:div>
    <w:div w:id="808476213">
      <w:bodyDiv w:val="1"/>
      <w:marLeft w:val="0"/>
      <w:marRight w:val="0"/>
      <w:marTop w:val="0"/>
      <w:marBottom w:val="0"/>
      <w:divBdr>
        <w:top w:val="none" w:sz="0" w:space="0" w:color="auto"/>
        <w:left w:val="none" w:sz="0" w:space="0" w:color="auto"/>
        <w:bottom w:val="none" w:sz="0" w:space="0" w:color="auto"/>
        <w:right w:val="none" w:sz="0" w:space="0" w:color="auto"/>
      </w:divBdr>
    </w:div>
    <w:div w:id="831683842">
      <w:bodyDiv w:val="1"/>
      <w:marLeft w:val="0"/>
      <w:marRight w:val="0"/>
      <w:marTop w:val="0"/>
      <w:marBottom w:val="0"/>
      <w:divBdr>
        <w:top w:val="none" w:sz="0" w:space="0" w:color="auto"/>
        <w:left w:val="none" w:sz="0" w:space="0" w:color="auto"/>
        <w:bottom w:val="none" w:sz="0" w:space="0" w:color="auto"/>
        <w:right w:val="none" w:sz="0" w:space="0" w:color="auto"/>
      </w:divBdr>
    </w:div>
    <w:div w:id="896015420">
      <w:bodyDiv w:val="1"/>
      <w:marLeft w:val="0"/>
      <w:marRight w:val="0"/>
      <w:marTop w:val="0"/>
      <w:marBottom w:val="0"/>
      <w:divBdr>
        <w:top w:val="none" w:sz="0" w:space="0" w:color="auto"/>
        <w:left w:val="none" w:sz="0" w:space="0" w:color="auto"/>
        <w:bottom w:val="none" w:sz="0" w:space="0" w:color="auto"/>
        <w:right w:val="none" w:sz="0" w:space="0" w:color="auto"/>
      </w:divBdr>
    </w:div>
    <w:div w:id="954287226">
      <w:bodyDiv w:val="1"/>
      <w:marLeft w:val="0"/>
      <w:marRight w:val="0"/>
      <w:marTop w:val="0"/>
      <w:marBottom w:val="0"/>
      <w:divBdr>
        <w:top w:val="none" w:sz="0" w:space="0" w:color="auto"/>
        <w:left w:val="none" w:sz="0" w:space="0" w:color="auto"/>
        <w:bottom w:val="none" w:sz="0" w:space="0" w:color="auto"/>
        <w:right w:val="none" w:sz="0" w:space="0" w:color="auto"/>
      </w:divBdr>
    </w:div>
    <w:div w:id="958224527">
      <w:bodyDiv w:val="1"/>
      <w:marLeft w:val="0"/>
      <w:marRight w:val="0"/>
      <w:marTop w:val="0"/>
      <w:marBottom w:val="0"/>
      <w:divBdr>
        <w:top w:val="none" w:sz="0" w:space="0" w:color="auto"/>
        <w:left w:val="none" w:sz="0" w:space="0" w:color="auto"/>
        <w:bottom w:val="none" w:sz="0" w:space="0" w:color="auto"/>
        <w:right w:val="none" w:sz="0" w:space="0" w:color="auto"/>
      </w:divBdr>
    </w:div>
    <w:div w:id="1022121929">
      <w:bodyDiv w:val="1"/>
      <w:marLeft w:val="0"/>
      <w:marRight w:val="0"/>
      <w:marTop w:val="0"/>
      <w:marBottom w:val="0"/>
      <w:divBdr>
        <w:top w:val="none" w:sz="0" w:space="0" w:color="auto"/>
        <w:left w:val="none" w:sz="0" w:space="0" w:color="auto"/>
        <w:bottom w:val="none" w:sz="0" w:space="0" w:color="auto"/>
        <w:right w:val="none" w:sz="0" w:space="0" w:color="auto"/>
      </w:divBdr>
    </w:div>
    <w:div w:id="1074278904">
      <w:bodyDiv w:val="1"/>
      <w:marLeft w:val="0"/>
      <w:marRight w:val="0"/>
      <w:marTop w:val="0"/>
      <w:marBottom w:val="0"/>
      <w:divBdr>
        <w:top w:val="none" w:sz="0" w:space="0" w:color="auto"/>
        <w:left w:val="none" w:sz="0" w:space="0" w:color="auto"/>
        <w:bottom w:val="none" w:sz="0" w:space="0" w:color="auto"/>
        <w:right w:val="none" w:sz="0" w:space="0" w:color="auto"/>
      </w:divBdr>
    </w:div>
    <w:div w:id="1103037769">
      <w:bodyDiv w:val="1"/>
      <w:marLeft w:val="0"/>
      <w:marRight w:val="0"/>
      <w:marTop w:val="0"/>
      <w:marBottom w:val="0"/>
      <w:divBdr>
        <w:top w:val="none" w:sz="0" w:space="0" w:color="auto"/>
        <w:left w:val="none" w:sz="0" w:space="0" w:color="auto"/>
        <w:bottom w:val="none" w:sz="0" w:space="0" w:color="auto"/>
        <w:right w:val="none" w:sz="0" w:space="0" w:color="auto"/>
      </w:divBdr>
    </w:div>
    <w:div w:id="1169638812">
      <w:bodyDiv w:val="1"/>
      <w:marLeft w:val="0"/>
      <w:marRight w:val="0"/>
      <w:marTop w:val="0"/>
      <w:marBottom w:val="0"/>
      <w:divBdr>
        <w:top w:val="none" w:sz="0" w:space="0" w:color="auto"/>
        <w:left w:val="none" w:sz="0" w:space="0" w:color="auto"/>
        <w:bottom w:val="none" w:sz="0" w:space="0" w:color="auto"/>
        <w:right w:val="none" w:sz="0" w:space="0" w:color="auto"/>
      </w:divBdr>
    </w:div>
    <w:div w:id="1205875135">
      <w:bodyDiv w:val="1"/>
      <w:marLeft w:val="0"/>
      <w:marRight w:val="0"/>
      <w:marTop w:val="0"/>
      <w:marBottom w:val="0"/>
      <w:divBdr>
        <w:top w:val="none" w:sz="0" w:space="0" w:color="auto"/>
        <w:left w:val="none" w:sz="0" w:space="0" w:color="auto"/>
        <w:bottom w:val="none" w:sz="0" w:space="0" w:color="auto"/>
        <w:right w:val="none" w:sz="0" w:space="0" w:color="auto"/>
      </w:divBdr>
    </w:div>
    <w:div w:id="1354303078">
      <w:bodyDiv w:val="1"/>
      <w:marLeft w:val="0"/>
      <w:marRight w:val="0"/>
      <w:marTop w:val="0"/>
      <w:marBottom w:val="0"/>
      <w:divBdr>
        <w:top w:val="none" w:sz="0" w:space="0" w:color="auto"/>
        <w:left w:val="none" w:sz="0" w:space="0" w:color="auto"/>
        <w:bottom w:val="none" w:sz="0" w:space="0" w:color="auto"/>
        <w:right w:val="none" w:sz="0" w:space="0" w:color="auto"/>
      </w:divBdr>
    </w:div>
    <w:div w:id="1425802446">
      <w:bodyDiv w:val="1"/>
      <w:marLeft w:val="0"/>
      <w:marRight w:val="0"/>
      <w:marTop w:val="0"/>
      <w:marBottom w:val="0"/>
      <w:divBdr>
        <w:top w:val="none" w:sz="0" w:space="0" w:color="auto"/>
        <w:left w:val="none" w:sz="0" w:space="0" w:color="auto"/>
        <w:bottom w:val="none" w:sz="0" w:space="0" w:color="auto"/>
        <w:right w:val="none" w:sz="0" w:space="0" w:color="auto"/>
      </w:divBdr>
    </w:div>
    <w:div w:id="1527409322">
      <w:bodyDiv w:val="1"/>
      <w:marLeft w:val="0"/>
      <w:marRight w:val="0"/>
      <w:marTop w:val="0"/>
      <w:marBottom w:val="0"/>
      <w:divBdr>
        <w:top w:val="none" w:sz="0" w:space="0" w:color="auto"/>
        <w:left w:val="none" w:sz="0" w:space="0" w:color="auto"/>
        <w:bottom w:val="none" w:sz="0" w:space="0" w:color="auto"/>
        <w:right w:val="none" w:sz="0" w:space="0" w:color="auto"/>
      </w:divBdr>
    </w:div>
    <w:div w:id="1546715596">
      <w:bodyDiv w:val="1"/>
      <w:marLeft w:val="0"/>
      <w:marRight w:val="0"/>
      <w:marTop w:val="0"/>
      <w:marBottom w:val="0"/>
      <w:divBdr>
        <w:top w:val="none" w:sz="0" w:space="0" w:color="auto"/>
        <w:left w:val="none" w:sz="0" w:space="0" w:color="auto"/>
        <w:bottom w:val="none" w:sz="0" w:space="0" w:color="auto"/>
        <w:right w:val="none" w:sz="0" w:space="0" w:color="auto"/>
      </w:divBdr>
    </w:div>
    <w:div w:id="1566260693">
      <w:bodyDiv w:val="1"/>
      <w:marLeft w:val="0"/>
      <w:marRight w:val="0"/>
      <w:marTop w:val="0"/>
      <w:marBottom w:val="0"/>
      <w:divBdr>
        <w:top w:val="none" w:sz="0" w:space="0" w:color="auto"/>
        <w:left w:val="none" w:sz="0" w:space="0" w:color="auto"/>
        <w:bottom w:val="none" w:sz="0" w:space="0" w:color="auto"/>
        <w:right w:val="none" w:sz="0" w:space="0" w:color="auto"/>
      </w:divBdr>
    </w:div>
    <w:div w:id="1573731596">
      <w:bodyDiv w:val="1"/>
      <w:marLeft w:val="0"/>
      <w:marRight w:val="0"/>
      <w:marTop w:val="0"/>
      <w:marBottom w:val="0"/>
      <w:divBdr>
        <w:top w:val="none" w:sz="0" w:space="0" w:color="auto"/>
        <w:left w:val="none" w:sz="0" w:space="0" w:color="auto"/>
        <w:bottom w:val="none" w:sz="0" w:space="0" w:color="auto"/>
        <w:right w:val="none" w:sz="0" w:space="0" w:color="auto"/>
      </w:divBdr>
    </w:div>
    <w:div w:id="1588686885">
      <w:bodyDiv w:val="1"/>
      <w:marLeft w:val="0"/>
      <w:marRight w:val="0"/>
      <w:marTop w:val="0"/>
      <w:marBottom w:val="0"/>
      <w:divBdr>
        <w:top w:val="none" w:sz="0" w:space="0" w:color="auto"/>
        <w:left w:val="none" w:sz="0" w:space="0" w:color="auto"/>
        <w:bottom w:val="none" w:sz="0" w:space="0" w:color="auto"/>
        <w:right w:val="none" w:sz="0" w:space="0" w:color="auto"/>
      </w:divBdr>
    </w:div>
    <w:div w:id="1701738469">
      <w:bodyDiv w:val="1"/>
      <w:marLeft w:val="0"/>
      <w:marRight w:val="0"/>
      <w:marTop w:val="0"/>
      <w:marBottom w:val="0"/>
      <w:divBdr>
        <w:top w:val="none" w:sz="0" w:space="0" w:color="auto"/>
        <w:left w:val="none" w:sz="0" w:space="0" w:color="auto"/>
        <w:bottom w:val="none" w:sz="0" w:space="0" w:color="auto"/>
        <w:right w:val="none" w:sz="0" w:space="0" w:color="auto"/>
      </w:divBdr>
    </w:div>
    <w:div w:id="1795175118">
      <w:bodyDiv w:val="1"/>
      <w:marLeft w:val="0"/>
      <w:marRight w:val="0"/>
      <w:marTop w:val="0"/>
      <w:marBottom w:val="0"/>
      <w:divBdr>
        <w:top w:val="none" w:sz="0" w:space="0" w:color="auto"/>
        <w:left w:val="none" w:sz="0" w:space="0" w:color="auto"/>
        <w:bottom w:val="none" w:sz="0" w:space="0" w:color="auto"/>
        <w:right w:val="none" w:sz="0" w:space="0" w:color="auto"/>
      </w:divBdr>
    </w:div>
    <w:div w:id="1831019505">
      <w:bodyDiv w:val="1"/>
      <w:marLeft w:val="0"/>
      <w:marRight w:val="0"/>
      <w:marTop w:val="0"/>
      <w:marBottom w:val="0"/>
      <w:divBdr>
        <w:top w:val="none" w:sz="0" w:space="0" w:color="auto"/>
        <w:left w:val="none" w:sz="0" w:space="0" w:color="auto"/>
        <w:bottom w:val="none" w:sz="0" w:space="0" w:color="auto"/>
        <w:right w:val="none" w:sz="0" w:space="0" w:color="auto"/>
      </w:divBdr>
    </w:div>
    <w:div w:id="1851138040">
      <w:bodyDiv w:val="1"/>
      <w:marLeft w:val="0"/>
      <w:marRight w:val="0"/>
      <w:marTop w:val="0"/>
      <w:marBottom w:val="0"/>
      <w:divBdr>
        <w:top w:val="none" w:sz="0" w:space="0" w:color="auto"/>
        <w:left w:val="none" w:sz="0" w:space="0" w:color="auto"/>
        <w:bottom w:val="none" w:sz="0" w:space="0" w:color="auto"/>
        <w:right w:val="none" w:sz="0" w:space="0" w:color="auto"/>
      </w:divBdr>
    </w:div>
    <w:div w:id="1934822163">
      <w:bodyDiv w:val="1"/>
      <w:marLeft w:val="0"/>
      <w:marRight w:val="0"/>
      <w:marTop w:val="0"/>
      <w:marBottom w:val="0"/>
      <w:divBdr>
        <w:top w:val="none" w:sz="0" w:space="0" w:color="auto"/>
        <w:left w:val="none" w:sz="0" w:space="0" w:color="auto"/>
        <w:bottom w:val="none" w:sz="0" w:space="0" w:color="auto"/>
        <w:right w:val="none" w:sz="0" w:space="0" w:color="auto"/>
      </w:divBdr>
    </w:div>
    <w:div w:id="1939098279">
      <w:bodyDiv w:val="1"/>
      <w:marLeft w:val="0"/>
      <w:marRight w:val="0"/>
      <w:marTop w:val="0"/>
      <w:marBottom w:val="0"/>
      <w:divBdr>
        <w:top w:val="none" w:sz="0" w:space="0" w:color="auto"/>
        <w:left w:val="none" w:sz="0" w:space="0" w:color="auto"/>
        <w:bottom w:val="none" w:sz="0" w:space="0" w:color="auto"/>
        <w:right w:val="none" w:sz="0" w:space="0" w:color="auto"/>
      </w:divBdr>
    </w:div>
    <w:div w:id="1943485813">
      <w:bodyDiv w:val="1"/>
      <w:marLeft w:val="0"/>
      <w:marRight w:val="0"/>
      <w:marTop w:val="0"/>
      <w:marBottom w:val="0"/>
      <w:divBdr>
        <w:top w:val="none" w:sz="0" w:space="0" w:color="auto"/>
        <w:left w:val="none" w:sz="0" w:space="0" w:color="auto"/>
        <w:bottom w:val="none" w:sz="0" w:space="0" w:color="auto"/>
        <w:right w:val="none" w:sz="0" w:space="0" w:color="auto"/>
      </w:divBdr>
    </w:div>
    <w:div w:id="1959871393">
      <w:bodyDiv w:val="1"/>
      <w:marLeft w:val="0"/>
      <w:marRight w:val="0"/>
      <w:marTop w:val="0"/>
      <w:marBottom w:val="0"/>
      <w:divBdr>
        <w:top w:val="none" w:sz="0" w:space="0" w:color="auto"/>
        <w:left w:val="none" w:sz="0" w:space="0" w:color="auto"/>
        <w:bottom w:val="none" w:sz="0" w:space="0" w:color="auto"/>
        <w:right w:val="none" w:sz="0" w:space="0" w:color="auto"/>
      </w:divBdr>
    </w:div>
    <w:div w:id="1982954201">
      <w:bodyDiv w:val="1"/>
      <w:marLeft w:val="0"/>
      <w:marRight w:val="0"/>
      <w:marTop w:val="0"/>
      <w:marBottom w:val="0"/>
      <w:divBdr>
        <w:top w:val="none" w:sz="0" w:space="0" w:color="auto"/>
        <w:left w:val="none" w:sz="0" w:space="0" w:color="auto"/>
        <w:bottom w:val="none" w:sz="0" w:space="0" w:color="auto"/>
        <w:right w:val="none" w:sz="0" w:space="0" w:color="auto"/>
      </w:divBdr>
    </w:div>
    <w:div w:id="1988853355">
      <w:bodyDiv w:val="1"/>
      <w:marLeft w:val="0"/>
      <w:marRight w:val="0"/>
      <w:marTop w:val="0"/>
      <w:marBottom w:val="0"/>
      <w:divBdr>
        <w:top w:val="none" w:sz="0" w:space="0" w:color="auto"/>
        <w:left w:val="none" w:sz="0" w:space="0" w:color="auto"/>
        <w:bottom w:val="none" w:sz="0" w:space="0" w:color="auto"/>
        <w:right w:val="none" w:sz="0" w:space="0" w:color="auto"/>
      </w:divBdr>
    </w:div>
    <w:div w:id="2023890600">
      <w:bodyDiv w:val="1"/>
      <w:marLeft w:val="0"/>
      <w:marRight w:val="0"/>
      <w:marTop w:val="0"/>
      <w:marBottom w:val="0"/>
      <w:divBdr>
        <w:top w:val="none" w:sz="0" w:space="0" w:color="auto"/>
        <w:left w:val="none" w:sz="0" w:space="0" w:color="auto"/>
        <w:bottom w:val="none" w:sz="0" w:space="0" w:color="auto"/>
        <w:right w:val="none" w:sz="0" w:space="0" w:color="auto"/>
      </w:divBdr>
    </w:div>
    <w:div w:id="2072388372">
      <w:bodyDiv w:val="1"/>
      <w:marLeft w:val="0"/>
      <w:marRight w:val="0"/>
      <w:marTop w:val="0"/>
      <w:marBottom w:val="0"/>
      <w:divBdr>
        <w:top w:val="none" w:sz="0" w:space="0" w:color="auto"/>
        <w:left w:val="none" w:sz="0" w:space="0" w:color="auto"/>
        <w:bottom w:val="none" w:sz="0" w:space="0" w:color="auto"/>
        <w:right w:val="none" w:sz="0" w:space="0" w:color="auto"/>
      </w:divBdr>
    </w:div>
    <w:div w:id="2081098911">
      <w:bodyDiv w:val="1"/>
      <w:marLeft w:val="0"/>
      <w:marRight w:val="0"/>
      <w:marTop w:val="0"/>
      <w:marBottom w:val="0"/>
      <w:divBdr>
        <w:top w:val="none" w:sz="0" w:space="0" w:color="auto"/>
        <w:left w:val="none" w:sz="0" w:space="0" w:color="auto"/>
        <w:bottom w:val="none" w:sz="0" w:space="0" w:color="auto"/>
        <w:right w:val="none" w:sz="0" w:space="0" w:color="auto"/>
      </w:divBdr>
    </w:div>
    <w:div w:id="2081516010">
      <w:bodyDiv w:val="1"/>
      <w:marLeft w:val="0"/>
      <w:marRight w:val="0"/>
      <w:marTop w:val="0"/>
      <w:marBottom w:val="0"/>
      <w:divBdr>
        <w:top w:val="none" w:sz="0" w:space="0" w:color="auto"/>
        <w:left w:val="none" w:sz="0" w:space="0" w:color="auto"/>
        <w:bottom w:val="none" w:sz="0" w:space="0" w:color="auto"/>
        <w:right w:val="none" w:sz="0" w:space="0" w:color="auto"/>
      </w:divBdr>
    </w:div>
    <w:div w:id="2099787941">
      <w:bodyDiv w:val="1"/>
      <w:marLeft w:val="0"/>
      <w:marRight w:val="0"/>
      <w:marTop w:val="0"/>
      <w:marBottom w:val="0"/>
      <w:divBdr>
        <w:top w:val="none" w:sz="0" w:space="0" w:color="auto"/>
        <w:left w:val="none" w:sz="0" w:space="0" w:color="auto"/>
        <w:bottom w:val="none" w:sz="0" w:space="0" w:color="auto"/>
        <w:right w:val="none" w:sz="0" w:space="0" w:color="auto"/>
      </w:divBdr>
    </w:div>
    <w:div w:id="2128812152">
      <w:bodyDiv w:val="1"/>
      <w:marLeft w:val="0"/>
      <w:marRight w:val="0"/>
      <w:marTop w:val="0"/>
      <w:marBottom w:val="0"/>
      <w:divBdr>
        <w:top w:val="none" w:sz="0" w:space="0" w:color="auto"/>
        <w:left w:val="none" w:sz="0" w:space="0" w:color="auto"/>
        <w:bottom w:val="none" w:sz="0" w:space="0" w:color="auto"/>
        <w:right w:val="none" w:sz="0" w:space="0" w:color="auto"/>
      </w:divBdr>
    </w:div>
    <w:div w:id="214199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10.xml"/><Relationship Id="rId39"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6.wmf"/><Relationship Id="rId42" Type="http://schemas.openxmlformats.org/officeDocument/2006/relationships/image" Target="media/image10.wmf"/><Relationship Id="rId47" Type="http://schemas.openxmlformats.org/officeDocument/2006/relationships/header" Target="header13.xml"/><Relationship Id="rId50" Type="http://schemas.openxmlformats.org/officeDocument/2006/relationships/header" Target="header15.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9.xml"/><Relationship Id="rId33" Type="http://schemas.openxmlformats.org/officeDocument/2006/relationships/oleObject" Target="embeddings/oleObject1.bin"/><Relationship Id="rId38" Type="http://schemas.openxmlformats.org/officeDocument/2006/relationships/image" Target="media/image8.wmf"/><Relationship Id="rId46"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image" Target="media/image3.svg"/><Relationship Id="rId41"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5.wmf"/><Relationship Id="rId37" Type="http://schemas.openxmlformats.org/officeDocument/2006/relationships/oleObject" Target="embeddings/oleObject3.bin"/><Relationship Id="rId40" Type="http://schemas.openxmlformats.org/officeDocument/2006/relationships/image" Target="media/image9.wmf"/><Relationship Id="rId45"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2.png"/><Relationship Id="rId36" Type="http://schemas.openxmlformats.org/officeDocument/2006/relationships/image" Target="media/image7.wmf"/><Relationship Id="rId49" Type="http://schemas.openxmlformats.org/officeDocument/2006/relationships/header" Target="head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4.png"/><Relationship Id="rId44" Type="http://schemas.openxmlformats.org/officeDocument/2006/relationships/header" Target="header10.xml"/><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9.xml"/><Relationship Id="rId30" Type="http://schemas.openxmlformats.org/officeDocument/2006/relationships/image" Target="media/image3.png"/><Relationship Id="rId35"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hyperlink" Target="http://www.seg.org/reviews/mccorm30.html" TargetMode="External"/><Relationship Id="rId8" Type="http://schemas.openxmlformats.org/officeDocument/2006/relationships/endnotes" Target="endnotes.xml"/><Relationship Id="rId51"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B0939-DFE9-422A-883F-C202697D5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7266</TotalTime>
  <Pages>24</Pages>
  <Words>2420</Words>
  <Characters>13798</Characters>
  <Application>Microsoft Office Word</Application>
  <DocSecurity>0</DocSecurity>
  <Lines>114</Lines>
  <Paragraphs>32</Paragraphs>
  <ScaleCrop>false</ScaleCrop>
  <Company/>
  <LinksUpToDate>false</LinksUpToDate>
  <CharactersWithSpaces>16186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基于OpenGL的CAE软件数据预处理方法研究与实践</dc:title>
  <dc:subject/>
  <dc:creator>ASUS</dc:creator>
  <cp:keywords/>
  <dc:description>NE.Ref</dc:description>
  <cp:lastModifiedBy>梁爽</cp:lastModifiedBy>
  <cp:revision>419</cp:revision>
  <cp:lastPrinted>2023-05-01T05:37:00Z</cp:lastPrinted>
  <dcterms:created xsi:type="dcterms:W3CDTF">2023-04-07T15:17:00Z</dcterms:created>
  <dcterms:modified xsi:type="dcterms:W3CDTF">2025-12-22T01:30:00Z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CustomEquationNumber">
    <vt:lpwstr>1</vt:lpwstr>
  </property>
  <property fmtid="{D5CDD505-2E9C-101B-9397-08002B2CF9AE}" pid="6" name="MTEquationSection">
    <vt:lpwstr>1</vt:lpwstr>
  </property>
</Properties>
</file>