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黑体" w:hAnsi="黑体"/>
          <w:b/>
          <w:sz w:val="32"/>
          <w:rFonts w:eastAsia="宋体" w:ascii="黑体" w:hAnsi="黑体"/>
        </w:rPr>
        <w:t>给老师汇报稿（方法调整版）</w:t>
      </w:r>
    </w:p>
    <w:p>
      <w:pPr>
        <w:pStyle w:val="Heading2"/>
        <w:spacing w:line="360" w:lineRule="auto"/>
      </w:pPr>
      <w:r>
        <w:rPr>
          <w:rFonts w:ascii="黑体" w:hAnsi="黑体"/>
          <w:b/>
          <w:sz w:val="28"/>
          <w:rFonts w:eastAsia="宋体" w:ascii="黑体" w:hAnsi="黑体"/>
        </w:rPr>
        <w:t>1. 本次想向老师汇报的核心调整</w:t>
      </w:r>
    </w:p>
    <w:p>
      <w:pPr>
        <w:spacing w:line="360" w:lineRule="auto"/>
        <w:ind w:firstLine="420"/>
        <w:jc w:val="both"/>
      </w:pPr>
      <w:r>
        <w:rPr>
          <w:rFonts w:ascii="Times New Roman" w:hAnsi="Times New Roman"/>
          <w:b w:val="0"/>
          <w:sz w:val="24"/>
          <w:rFonts w:eastAsia="宋体" w:ascii="Times New Roman" w:hAnsi="Times New Roman"/>
        </w:rPr>
        <w:t>这次我想重点汇报两件事。</w:t>
      </w:r>
    </w:p>
    <w:p>
      <w:pPr>
        <w:spacing w:line="360" w:lineRule="auto"/>
        <w:ind w:firstLine="420"/>
        <w:jc w:val="both"/>
      </w:pPr>
      <w:r>
        <w:rPr>
          <w:rFonts w:ascii="Times New Roman" w:hAnsi="Times New Roman"/>
          <w:b w:val="0"/>
          <w:sz w:val="24"/>
          <w:rFonts w:eastAsia="宋体" w:ascii="Times New Roman" w:hAnsi="Times New Roman"/>
        </w:rPr>
        <w:t>第一，针对非结构化网格梯度计算中原加权最小二乘法与 VTK 结果偏差较大的问题，我已经把当前论文主线调整为与 vtkGradientFilter 更一致的基于形函数导数的梯度计算方法，并且只保留 OpenGL 侧计算路径，不再以 CPU 版本作为主实现。</w:t>
      </w:r>
    </w:p>
    <w:p>
      <w:pPr>
        <w:spacing w:line="360" w:lineRule="auto"/>
        <w:ind w:firstLine="420"/>
        <w:jc w:val="both"/>
      </w:pPr>
      <w:r>
        <w:rPr>
          <w:rFonts w:ascii="Times New Roman" w:hAnsi="Times New Roman"/>
          <w:b w:val="0"/>
          <w:sz w:val="24"/>
          <w:rFonts w:eastAsia="宋体" w:ascii="Times New Roman" w:hAnsi="Times New Roman"/>
        </w:rPr>
        <w:t>第二，针对数据优化模块“实验中加的是人为噪声，但真实 CAE 数据中的扰动来源并没有说明清楚”的问题，我准备把模块表述从“解决仿真噪声问题”收缩为“面向一类局部随机高频数值扰动的抑制与边缘保持处理”，使研究对象、实验方式和结论边界保持一致。</w:t>
      </w:r>
    </w:p>
    <w:p>
      <w:pPr>
        <w:pStyle w:val="Heading2"/>
        <w:spacing w:line="360" w:lineRule="auto"/>
      </w:pPr>
      <w:r>
        <w:rPr>
          <w:rFonts w:ascii="黑体" w:hAnsi="黑体"/>
          <w:b/>
          <w:sz w:val="28"/>
          <w:rFonts w:eastAsia="宋体" w:ascii="黑体" w:hAnsi="黑体"/>
        </w:rPr>
        <w:t>2. 非结构化网格梯度计算方法的调整</w:t>
      </w:r>
    </w:p>
    <w:p>
      <w:pPr>
        <w:pStyle w:val="Heading3"/>
        <w:spacing w:line="360" w:lineRule="auto"/>
      </w:pPr>
      <w:r>
        <w:rPr>
          <w:rFonts w:ascii="黑体" w:hAnsi="黑体"/>
          <w:b/>
          <w:sz w:val="24"/>
          <w:rFonts w:eastAsia="宋体" w:ascii="黑体" w:hAnsi="黑体"/>
        </w:rPr>
        <w:t>2.1 为什么要调整</w:t>
      </w:r>
    </w:p>
    <w:p>
      <w:pPr>
        <w:spacing w:line="360" w:lineRule="auto"/>
        <w:ind w:firstLine="420"/>
        <w:jc w:val="both"/>
      </w:pPr>
      <w:r>
        <w:rPr>
          <w:rFonts w:ascii="Times New Roman" w:hAnsi="Times New Roman"/>
          <w:b w:val="0"/>
          <w:sz w:val="24"/>
          <w:rFonts w:eastAsia="宋体" w:ascii="Times New Roman" w:hAnsi="Times New Roman"/>
        </w:rPr>
        <w:t>此前非结构化网格部分采用的是基于加权最小二乘法的梯度计算方法。这个方法本身可以作为一种工程近似方法，但它与 vtkGradientFilter 的数学路线并不一致，因此在直接拿系统结果与 VTK 结果比较时，会同时混入“算法原理不同”和“实现误差不同”两类因素，导致对比不够严谨。</w:t>
      </w:r>
    </w:p>
    <w:p>
      <w:pPr>
        <w:spacing w:line="360" w:lineRule="auto"/>
        <w:ind w:firstLine="420"/>
        <w:jc w:val="both"/>
      </w:pPr>
      <w:r>
        <w:rPr>
          <w:rFonts w:ascii="Times New Roman" w:hAnsi="Times New Roman"/>
          <w:b w:val="0"/>
          <w:sz w:val="24"/>
          <w:rFonts w:eastAsia="宋体" w:ascii="Times New Roman" w:hAnsi="Times New Roman"/>
        </w:rPr>
        <w:t>因此，我现在将非结构化网格的主方法调整为参考 vtkGradientFilter 的基于单元形函数导数的梯度计算方法。这样做的目的不是简单“追 VTK 数值”，而是先保证算法路线一致，再在此基础上讨论实现正确性、工程一致性和 GPU 计算效率。</w:t>
      </w:r>
    </w:p>
    <w:p>
      <w:pPr>
        <w:pStyle w:val="Heading3"/>
        <w:spacing w:line="360" w:lineRule="auto"/>
      </w:pPr>
      <w:r>
        <w:rPr>
          <w:rFonts w:ascii="黑体" w:hAnsi="黑体"/>
          <w:b/>
          <w:sz w:val="24"/>
          <w:rFonts w:eastAsia="宋体" w:ascii="黑体" w:hAnsi="黑体"/>
        </w:rPr>
        <w:t>2.2 当前系统状态</w:t>
      </w:r>
    </w:p>
    <w:p>
      <w:pPr>
        <w:pStyle w:val="ListBullet"/>
        <w:spacing w:line="360" w:lineRule="auto"/>
      </w:pPr>
      <w:r>
        <w:rPr>
          <w:rFonts w:ascii="Times New Roman" w:hAnsi="Times New Roman"/>
          <w:b w:val="0"/>
          <w:sz w:val="24"/>
          <w:rFonts w:eastAsia="宋体" w:ascii="Times New Roman" w:hAnsi="Times New Roman"/>
        </w:rPr>
        <w:t>规则网格：继续采用有限差分法。</w:t>
      </w:r>
    </w:p>
    <w:p>
      <w:pPr>
        <w:pStyle w:val="ListBullet"/>
        <w:spacing w:line="360" w:lineRule="auto"/>
      </w:pPr>
      <w:r>
        <w:rPr>
          <w:rFonts w:ascii="Times New Roman" w:hAnsi="Times New Roman"/>
          <w:b w:val="0"/>
          <w:sz w:val="24"/>
          <w:rFonts w:eastAsia="宋体" w:ascii="Times New Roman" w:hAnsi="Times New Roman"/>
        </w:rPr>
        <w:t>非结构化网格：默认采用基于形函数导数的方法。</w:t>
      </w:r>
    </w:p>
    <w:p>
      <w:pPr>
        <w:pStyle w:val="ListBullet"/>
        <w:spacing w:line="360" w:lineRule="auto"/>
      </w:pPr>
      <w:r>
        <w:rPr>
          <w:rFonts w:ascii="Times New Roman" w:hAnsi="Times New Roman"/>
          <w:b w:val="0"/>
          <w:sz w:val="24"/>
          <w:rFonts w:eastAsia="宋体" w:ascii="Times New Roman" w:hAnsi="Times New Roman"/>
        </w:rPr>
        <w:t>计算位置：梯度计算在 OpenGL 侧完成，作为当前系统主实现。</w:t>
      </w:r>
    </w:p>
    <w:p>
      <w:pPr>
        <w:pStyle w:val="ListBullet"/>
        <w:spacing w:line="360" w:lineRule="auto"/>
      </w:pPr>
      <w:r>
        <w:rPr>
          <w:rFonts w:ascii="Times New Roman" w:hAnsi="Times New Roman"/>
          <w:b w:val="0"/>
          <w:sz w:val="24"/>
          <w:rFonts w:eastAsia="宋体" w:ascii="Times New Roman" w:hAnsi="Times New Roman"/>
        </w:rPr>
        <w:t>对比口径：与 VTK 的结果对比和时间对比都以当前这条方法路线为准。</w:t>
      </w:r>
    </w:p>
    <w:p>
      <w:pPr>
        <w:pStyle w:val="Heading3"/>
        <w:spacing w:line="360" w:lineRule="auto"/>
      </w:pPr>
      <w:r>
        <w:rPr>
          <w:rFonts w:ascii="黑体" w:hAnsi="黑体"/>
          <w:b/>
          <w:sz w:val="24"/>
          <w:rFonts w:eastAsia="宋体" w:ascii="黑体" w:hAnsi="黑体"/>
        </w:rPr>
        <w:t>2.3 当前支持的非结构化单元类型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单元类型</w:t>
            </w:r>
          </w:p>
        </w:tc>
        <w:tc>
          <w:tcPr>
            <w:tcW w:type="dxa" w:w="2268"/>
            <w:vAlign w:val="center"/>
          </w:tcPr>
          <w:p>
            <w:pPr>
              <w:jc w:val="center"/>
            </w:pPr>
            <w:r>
              <w:rPr>
                <w:rFonts w:ascii="Times New Roman" w:hAnsi="Times New Roman"/>
                <w:b/>
                <w:sz w:val="21"/>
                <w:rFonts w:eastAsia="宋体" w:ascii="Times New Roman" w:hAnsi="Times New Roman"/>
              </w:rPr>
              <w:t>阶次</w:t>
            </w:r>
          </w:p>
        </w:tc>
        <w:tc>
          <w:tcPr>
            <w:tcW w:type="dxa" w:w="2268"/>
            <w:vAlign w:val="center"/>
          </w:tcPr>
          <w:p>
            <w:pPr>
              <w:jc w:val="center"/>
            </w:pPr>
            <w:r>
              <w:rPr>
                <w:rFonts w:ascii="Times New Roman" w:hAnsi="Times New Roman"/>
                <w:b/>
                <w:sz w:val="21"/>
                <w:rFonts w:eastAsia="宋体" w:ascii="Times New Roman" w:hAnsi="Times New Roman"/>
              </w:rPr>
              <w:t>节点数</w:t>
            </w:r>
          </w:p>
        </w:tc>
        <w:tc>
          <w:tcPr>
            <w:tcW w:type="dxa" w:w="2268"/>
            <w:vAlign w:val="center"/>
          </w:tcPr>
          <w:p>
            <w:pPr>
              <w:jc w:val="center"/>
            </w:pPr>
            <w:r>
              <w:rPr>
                <w:rFonts w:ascii="Times New Roman" w:hAnsi="Times New Roman"/>
                <w:b/>
                <w:sz w:val="21"/>
                <w:rFonts w:eastAsia="宋体" w:ascii="Times New Roman" w:hAnsi="Times New Roman"/>
              </w:rPr>
              <w:t>当前状态</w:t>
            </w:r>
          </w:p>
        </w:tc>
      </w:tr>
      <w:tr>
        <w:tc>
          <w:tcPr>
            <w:tcW w:type="dxa" w:w="2268"/>
            <w:vAlign w:val="center"/>
          </w:tcPr>
          <w:p>
            <w:pPr>
              <w:jc w:val="center"/>
            </w:pPr>
            <w:r>
              <w:rPr>
                <w:rFonts w:ascii="Times New Roman" w:hAnsi="Times New Roman"/>
                <w:b w:val="0"/>
                <w:sz w:val="21"/>
                <w:rFonts w:eastAsia="宋体" w:ascii="Times New Roman" w:hAnsi="Times New Roman"/>
              </w:rPr>
              <w:t>Triangle</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3</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r>
        <w:tc>
          <w:tcPr>
            <w:tcW w:type="dxa" w:w="2268"/>
            <w:vAlign w:val="center"/>
          </w:tcPr>
          <w:p>
            <w:pPr>
              <w:jc w:val="center"/>
            </w:pPr>
            <w:r>
              <w:rPr>
                <w:rFonts w:ascii="Times New Roman" w:hAnsi="Times New Roman"/>
                <w:b w:val="0"/>
                <w:sz w:val="21"/>
                <w:rFonts w:eastAsia="宋体" w:ascii="Times New Roman" w:hAnsi="Times New Roman"/>
              </w:rPr>
              <w:t>Quad</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4</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r>
        <w:tc>
          <w:tcPr>
            <w:tcW w:type="dxa" w:w="2268"/>
            <w:vAlign w:val="center"/>
          </w:tcPr>
          <w:p>
            <w:pPr>
              <w:jc w:val="center"/>
            </w:pPr>
            <w:r>
              <w:rPr>
                <w:rFonts w:ascii="Times New Roman" w:hAnsi="Times New Roman"/>
                <w:b w:val="0"/>
                <w:sz w:val="21"/>
                <w:rFonts w:eastAsia="宋体" w:ascii="Times New Roman" w:hAnsi="Times New Roman"/>
              </w:rPr>
              <w:t>Tetra</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4</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r>
        <w:tc>
          <w:tcPr>
            <w:tcW w:type="dxa" w:w="2268"/>
            <w:vAlign w:val="center"/>
          </w:tcPr>
          <w:p>
            <w:pPr>
              <w:jc w:val="center"/>
            </w:pPr>
            <w:r>
              <w:rPr>
                <w:rFonts w:ascii="Times New Roman" w:hAnsi="Times New Roman"/>
                <w:b w:val="0"/>
                <w:sz w:val="21"/>
                <w:rFonts w:eastAsia="宋体" w:ascii="Times New Roman" w:hAnsi="Times New Roman"/>
              </w:rPr>
              <w:t>Hexahedron</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8</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bl>
    <w:p>
      <w:pPr>
        <w:spacing w:line="360" w:lineRule="auto"/>
        <w:ind w:firstLine="420"/>
        <w:jc w:val="both"/>
      </w:pPr>
      <w:r>
        <w:rPr>
          <w:rFonts w:ascii="Times New Roman" w:hAnsi="Times New Roman"/>
          <w:b w:val="0"/>
          <w:sz w:val="24"/>
          <w:rFonts w:eastAsia="宋体" w:ascii="Times New Roman" w:hAnsi="Times New Roman"/>
        </w:rPr>
        <w:t>也就是说，当前论文中我准备把非结构化网格梯度计算功能明确表述为：支持一阶三角形、四边形、四面体和六面体单元的基于形函数导数的梯度计算。</w:t>
      </w:r>
    </w:p>
    <w:p>
      <w:pPr>
        <w:pStyle w:val="Heading2"/>
        <w:spacing w:line="360" w:lineRule="auto"/>
      </w:pPr>
      <w:r>
        <w:rPr>
          <w:rFonts w:ascii="黑体" w:hAnsi="黑体"/>
          <w:b/>
          <w:sz w:val="28"/>
          <w:rFonts w:eastAsia="宋体" w:ascii="黑体" w:hAnsi="黑体"/>
        </w:rPr>
        <w:t>3. 梯度计算模块的三组实验方案与当前数据</w:t>
      </w:r>
    </w:p>
    <w:p>
      <w:pPr>
        <w:pStyle w:val="Heading3"/>
        <w:spacing w:line="360" w:lineRule="auto"/>
      </w:pPr>
      <w:r>
        <w:rPr>
          <w:rFonts w:ascii="黑体" w:hAnsi="黑体"/>
          <w:b/>
          <w:sz w:val="24"/>
          <w:rFonts w:eastAsia="宋体" w:ascii="黑体" w:hAnsi="黑体"/>
        </w:rPr>
        <w:t>3.1 三组实验的组织逻辑</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b/>
                <w:sz w:val="21"/>
                <w:rFonts w:eastAsia="宋体" w:ascii="Times New Roman" w:hAnsi="Times New Roman"/>
              </w:rPr>
              <w:t>实验组</w:t>
            </w:r>
          </w:p>
        </w:tc>
        <w:tc>
          <w:tcPr>
            <w:tcW w:type="dxa" w:w="1814"/>
            <w:vAlign w:val="center"/>
          </w:tcPr>
          <w:p>
            <w:pPr>
              <w:jc w:val="center"/>
            </w:pPr>
            <w:r>
              <w:rPr>
                <w:rFonts w:ascii="Times New Roman" w:hAnsi="Times New Roman"/>
                <w:b/>
                <w:sz w:val="21"/>
                <w:rFonts w:eastAsia="宋体" w:ascii="Times New Roman" w:hAnsi="Times New Roman"/>
              </w:rPr>
              <w:t>主要回答的问题</w:t>
            </w:r>
          </w:p>
        </w:tc>
        <w:tc>
          <w:tcPr>
            <w:tcW w:type="dxa" w:w="1814"/>
            <w:vAlign w:val="center"/>
          </w:tcPr>
          <w:p>
            <w:pPr>
              <w:jc w:val="center"/>
            </w:pPr>
            <w:r>
              <w:rPr>
                <w:rFonts w:ascii="Times New Roman" w:hAnsi="Times New Roman"/>
                <w:b/>
                <w:sz w:val="21"/>
                <w:rFonts w:eastAsia="宋体" w:ascii="Times New Roman" w:hAnsi="Times New Roman"/>
              </w:rPr>
              <w:t>自变量</w:t>
            </w:r>
          </w:p>
        </w:tc>
        <w:tc>
          <w:tcPr>
            <w:tcW w:type="dxa" w:w="1814"/>
            <w:vAlign w:val="center"/>
          </w:tcPr>
          <w:p>
            <w:pPr>
              <w:jc w:val="center"/>
            </w:pPr>
            <w:r>
              <w:rPr>
                <w:rFonts w:ascii="Times New Roman" w:hAnsi="Times New Roman"/>
                <w:b/>
                <w:sz w:val="21"/>
                <w:rFonts w:eastAsia="宋体" w:ascii="Times New Roman" w:hAnsi="Times New Roman"/>
              </w:rPr>
              <w:t>控制变量</w:t>
            </w:r>
          </w:p>
        </w:tc>
        <w:tc>
          <w:tcPr>
            <w:tcW w:type="dxa" w:w="1814"/>
            <w:vAlign w:val="center"/>
          </w:tcPr>
          <w:p>
            <w:pPr>
              <w:jc w:val="center"/>
            </w:pPr>
            <w:r>
              <w:rPr>
                <w:rFonts w:ascii="Times New Roman" w:hAnsi="Times New Roman"/>
                <w:b/>
                <w:sz w:val="21"/>
                <w:rFonts w:eastAsia="宋体" w:ascii="Times New Roman" w:hAnsi="Times New Roman"/>
              </w:rPr>
              <w:t>主要指标</w:t>
            </w:r>
          </w:p>
        </w:tc>
      </w:tr>
      <w:tr>
        <w:tc>
          <w:tcPr>
            <w:tcW w:type="dxa" w:w="1814"/>
            <w:vAlign w:val="center"/>
          </w:tcPr>
          <w:p>
            <w:pPr>
              <w:jc w:val="center"/>
            </w:pPr>
            <w:r>
              <w:rPr>
                <w:rFonts w:ascii="Times New Roman" w:hAnsi="Times New Roman"/>
                <w:b w:val="0"/>
                <w:sz w:val="21"/>
                <w:rFonts w:eastAsia="宋体" w:ascii="Times New Roman" w:hAnsi="Times New Roman"/>
              </w:rPr>
              <w:t>解析场验证</w:t>
            </w:r>
          </w:p>
        </w:tc>
        <w:tc>
          <w:tcPr>
            <w:tcW w:type="dxa" w:w="1814"/>
            <w:vAlign w:val="center"/>
          </w:tcPr>
          <w:p>
            <w:pPr>
              <w:jc w:val="center"/>
            </w:pPr>
            <w:r>
              <w:rPr>
                <w:rFonts w:ascii="Times New Roman" w:hAnsi="Times New Roman"/>
                <w:b w:val="0"/>
                <w:sz w:val="21"/>
                <w:rFonts w:eastAsia="宋体" w:ascii="Times New Roman" w:hAnsi="Times New Roman"/>
              </w:rPr>
              <w:t>算法本身算得对不对</w:t>
            </w:r>
          </w:p>
        </w:tc>
        <w:tc>
          <w:tcPr>
            <w:tcW w:type="dxa" w:w="1814"/>
            <w:vAlign w:val="center"/>
          </w:tcPr>
          <w:p>
            <w:pPr>
              <w:jc w:val="center"/>
            </w:pPr>
            <w:r>
              <w:rPr>
                <w:rFonts w:ascii="Times New Roman" w:hAnsi="Times New Roman"/>
                <w:b w:val="0"/>
                <w:sz w:val="21"/>
                <w:rFonts w:eastAsia="宋体" w:ascii="Times New Roman" w:hAnsi="Times New Roman"/>
              </w:rPr>
              <w:t>网格类型、场函数类型</w:t>
            </w:r>
          </w:p>
        </w:tc>
        <w:tc>
          <w:tcPr>
            <w:tcW w:type="dxa" w:w="1814"/>
            <w:vAlign w:val="center"/>
          </w:tcPr>
          <w:p>
            <w:pPr>
              <w:jc w:val="center"/>
            </w:pPr>
            <w:r>
              <w:rPr>
                <w:rFonts w:ascii="Times New Roman" w:hAnsi="Times New Roman"/>
                <w:b w:val="0"/>
                <w:sz w:val="21"/>
                <w:rFonts w:eastAsia="宋体" w:ascii="Times New Roman" w:hAnsi="Times New Roman"/>
              </w:rPr>
              <w:t>解析真值生成方式、评价指标口径</w:t>
            </w:r>
          </w:p>
        </w:tc>
        <w:tc>
          <w:tcPr>
            <w:tcW w:type="dxa" w:w="1814"/>
            <w:vAlign w:val="center"/>
          </w:tcPr>
          <w:p>
            <w:pPr>
              <w:jc w:val="center"/>
            </w:pPr>
            <w:r>
              <w:rPr>
                <w:rFonts w:ascii="Times New Roman" w:hAnsi="Times New Roman"/>
                <w:b w:val="0"/>
                <w:sz w:val="21"/>
                <w:rFonts w:eastAsia="宋体" w:ascii="Times New Roman" w:hAnsi="Times New Roman"/>
              </w:rPr>
              <w:t>NRMSE</w:t>
            </w:r>
          </w:p>
        </w:tc>
      </w:tr>
      <w:tr>
        <w:tc>
          <w:tcPr>
            <w:tcW w:type="dxa" w:w="1814"/>
            <w:vAlign w:val="center"/>
          </w:tcPr>
          <w:p>
            <w:pPr>
              <w:jc w:val="center"/>
            </w:pPr>
            <w:r>
              <w:rPr>
                <w:rFonts w:ascii="Times New Roman" w:hAnsi="Times New Roman"/>
                <w:b w:val="0"/>
                <w:sz w:val="21"/>
                <w:rFonts w:eastAsia="宋体" w:ascii="Times New Roman" w:hAnsi="Times New Roman"/>
              </w:rPr>
              <w:t>与 VTK 结果一致性对比</w:t>
            </w:r>
          </w:p>
        </w:tc>
        <w:tc>
          <w:tcPr>
            <w:tcW w:type="dxa" w:w="1814"/>
            <w:vAlign w:val="center"/>
          </w:tcPr>
          <w:p>
            <w:pPr>
              <w:jc w:val="center"/>
            </w:pPr>
            <w:r>
              <w:rPr>
                <w:rFonts w:ascii="Times New Roman" w:hAnsi="Times New Roman"/>
                <w:b w:val="0"/>
                <w:sz w:val="21"/>
                <w:rFonts w:eastAsia="宋体" w:ascii="Times New Roman" w:hAnsi="Times New Roman"/>
              </w:rPr>
              <w:t>工程输出与 VTK 是否一致</w:t>
            </w:r>
          </w:p>
        </w:tc>
        <w:tc>
          <w:tcPr>
            <w:tcW w:type="dxa" w:w="1814"/>
            <w:vAlign w:val="center"/>
          </w:tcPr>
          <w:p>
            <w:pPr>
              <w:jc w:val="center"/>
            </w:pPr>
            <w:r>
              <w:rPr>
                <w:rFonts w:ascii="Times New Roman" w:hAnsi="Times New Roman"/>
                <w:b w:val="0"/>
                <w:sz w:val="21"/>
                <w:rFonts w:eastAsia="宋体" w:ascii="Times New Roman" w:hAnsi="Times New Roman"/>
              </w:rPr>
              <w:t>数据集、数据关联方式</w:t>
            </w:r>
          </w:p>
        </w:tc>
        <w:tc>
          <w:tcPr>
            <w:tcW w:type="dxa" w:w="1814"/>
            <w:vAlign w:val="center"/>
          </w:tcPr>
          <w:p>
            <w:pPr>
              <w:jc w:val="center"/>
            </w:pPr>
            <w:r>
              <w:rPr>
                <w:rFonts w:ascii="Times New Roman" w:hAnsi="Times New Roman"/>
                <w:b w:val="0"/>
                <w:sz w:val="21"/>
                <w:rFonts w:eastAsia="宋体" w:ascii="Times New Roman" w:hAnsi="Times New Roman"/>
              </w:rPr>
              <w:t>同一输入数据、同一字段、同一关联方式</w:t>
            </w:r>
          </w:p>
        </w:tc>
        <w:tc>
          <w:tcPr>
            <w:tcW w:type="dxa" w:w="1814"/>
            <w:vAlign w:val="center"/>
          </w:tcPr>
          <w:p>
            <w:pPr>
              <w:jc w:val="center"/>
            </w:pPr>
            <w:r>
              <w:rPr>
                <w:rFonts w:ascii="Times New Roman" w:hAnsi="Times New Roman"/>
                <w:b w:val="0"/>
                <w:sz w:val="21"/>
                <w:rFonts w:eastAsia="宋体" w:ascii="Times New Roman" w:hAnsi="Times New Roman"/>
              </w:rPr>
              <w:t>NRMSE</w:t>
            </w:r>
          </w:p>
        </w:tc>
      </w:tr>
      <w:tr>
        <w:tc>
          <w:tcPr>
            <w:tcW w:type="dxa" w:w="1814"/>
            <w:vAlign w:val="center"/>
          </w:tcPr>
          <w:p>
            <w:pPr>
              <w:jc w:val="center"/>
            </w:pPr>
            <w:r>
              <w:rPr>
                <w:rFonts w:ascii="Times New Roman" w:hAnsi="Times New Roman"/>
                <w:b w:val="0"/>
                <w:sz w:val="21"/>
                <w:rFonts w:eastAsia="宋体" w:ascii="Times New Roman" w:hAnsi="Times New Roman"/>
              </w:rPr>
              <w:t>与 VTK 时间对比</w:t>
            </w:r>
          </w:p>
        </w:tc>
        <w:tc>
          <w:tcPr>
            <w:tcW w:type="dxa" w:w="1814"/>
            <w:vAlign w:val="center"/>
          </w:tcPr>
          <w:p>
            <w:pPr>
              <w:jc w:val="center"/>
            </w:pPr>
            <w:r>
              <w:rPr>
                <w:rFonts w:ascii="Times New Roman" w:hAnsi="Times New Roman"/>
                <w:b w:val="0"/>
                <w:sz w:val="21"/>
                <w:rFonts w:eastAsia="宋体" w:ascii="Times New Roman" w:hAnsi="Times New Roman"/>
              </w:rPr>
              <w:t>在可比条件下 GPU 计算效率如何</w:t>
            </w:r>
          </w:p>
        </w:tc>
        <w:tc>
          <w:tcPr>
            <w:tcW w:type="dxa" w:w="1814"/>
            <w:vAlign w:val="center"/>
          </w:tcPr>
          <w:p>
            <w:pPr>
              <w:jc w:val="center"/>
            </w:pPr>
            <w:r>
              <w:rPr>
                <w:rFonts w:ascii="Times New Roman" w:hAnsi="Times New Roman"/>
                <w:b w:val="0"/>
                <w:sz w:val="21"/>
                <w:rFonts w:eastAsia="宋体" w:ascii="Times New Roman" w:hAnsi="Times New Roman"/>
              </w:rPr>
              <w:t>网格类型、规模</w:t>
            </w:r>
          </w:p>
        </w:tc>
        <w:tc>
          <w:tcPr>
            <w:tcW w:type="dxa" w:w="1814"/>
            <w:vAlign w:val="center"/>
          </w:tcPr>
          <w:p>
            <w:pPr>
              <w:jc w:val="center"/>
            </w:pPr>
            <w:r>
              <w:rPr>
                <w:rFonts w:ascii="Times New Roman" w:hAnsi="Times New Roman"/>
                <w:b w:val="0"/>
                <w:sz w:val="21"/>
                <w:rFonts w:eastAsia="宋体" w:ascii="Times New Roman" w:hAnsi="Times New Roman"/>
              </w:rPr>
              <w:t>几何域、输入场、线程设置、程序环境</w:t>
            </w:r>
          </w:p>
        </w:tc>
        <w:tc>
          <w:tcPr>
            <w:tcW w:type="dxa" w:w="1814"/>
            <w:vAlign w:val="center"/>
          </w:tcPr>
          <w:p>
            <w:pPr>
              <w:jc w:val="center"/>
            </w:pPr>
            <w:r>
              <w:rPr>
                <w:rFonts w:ascii="Times New Roman" w:hAnsi="Times New Roman"/>
                <w:b w:val="0"/>
                <w:sz w:val="21"/>
                <w:rFonts w:eastAsia="宋体" w:ascii="Times New Roman" w:hAnsi="Times New Roman"/>
              </w:rPr>
              <w:t>VTK 单线程时间、VTK 并行时间、系统总时间、GPU 时间</w:t>
            </w:r>
          </w:p>
        </w:tc>
      </w:tr>
    </w:tbl>
    <w:p>
      <w:pPr>
        <w:spacing w:line="360" w:lineRule="auto"/>
        <w:ind w:firstLine="420"/>
        <w:jc w:val="both"/>
      </w:pPr>
      <w:r>
        <w:rPr>
          <w:rFonts w:ascii="Times New Roman" w:hAnsi="Times New Roman"/>
          <w:b w:val="0"/>
          <w:sz w:val="24"/>
          <w:rFonts w:eastAsia="宋体" w:ascii="Times New Roman" w:hAnsi="Times New Roman"/>
        </w:rPr>
        <w:t>我现在把这三组实验拆开汇报，是为了把“数学正确性”“工程一致性”“计算性能”三件事分开说明，避免一个实验同时承担过多结论。</w:t>
      </w:r>
    </w:p>
    <w:p>
      <w:pPr>
        <w:pStyle w:val="Heading3"/>
        <w:spacing w:line="360" w:lineRule="auto"/>
      </w:pPr>
      <w:r>
        <w:rPr>
          <w:rFonts w:ascii="黑体" w:hAnsi="黑体"/>
          <w:b/>
          <w:sz w:val="24"/>
          <w:rFonts w:eastAsia="宋体" w:ascii="黑体" w:hAnsi="黑体"/>
        </w:rPr>
        <w:t>3.2 实验一：解析场验证</w:t>
      </w:r>
    </w:p>
    <w:p>
      <w:pPr>
        <w:spacing w:line="360" w:lineRule="auto"/>
        <w:ind w:firstLine="420"/>
        <w:jc w:val="both"/>
      </w:pPr>
      <w:r>
        <w:rPr>
          <w:rFonts w:ascii="Times New Roman" w:hAnsi="Times New Roman"/>
          <w:b w:val="0"/>
          <w:sz w:val="24"/>
          <w:rFonts w:eastAsia="宋体" w:ascii="Times New Roman" w:hAnsi="Times New Roman"/>
        </w:rPr>
        <w:t>这组实验的目标是证明算法本身是正确的，因此只看“系统结果与解析真值”的误差，不和 VTK 做直接比较。</w:t>
      </w:r>
    </w:p>
    <w:p>
      <w:pPr>
        <w:spacing w:line="360" w:lineRule="auto"/>
        <w:ind w:firstLine="420"/>
        <w:jc w:val="both"/>
      </w:pPr>
      <w:r>
        <w:rPr>
          <w:rFonts w:ascii="Times New Roman" w:hAnsi="Times New Roman"/>
          <w:b w:val="0"/>
          <w:sz w:val="24"/>
          <w:rFonts w:eastAsia="宋体" w:ascii="Times New Roman" w:hAnsi="Times New Roman"/>
        </w:rPr>
        <w:t>对于曲面数据 1_0，我采用的是曲面切向解析场，并以 intrinsic 指标作为主口径；这样可以避免把法向分量带来的额外误差混入主结论中。</w:t>
      </w:r>
    </w:p>
    <w:p>
      <w:pPr>
        <w:pStyle w:val="Heading3"/>
        <w:spacing w:line="360" w:lineRule="auto"/>
      </w:pPr>
      <w:r>
        <w:rPr>
          <w:rFonts w:ascii="黑体" w:hAnsi="黑体"/>
          <w:b/>
          <w:sz w:val="24"/>
          <w:rFonts w:eastAsia="宋体" w:ascii="黑体" w:hAnsi="黑体"/>
        </w:rPr>
        <w:t>3.2.1 线性标量场</w:t>
      </w:r>
    </w:p>
    <w:p>
      <w:pPr>
        <w:spacing w:line="360" w:lineRule="auto"/>
        <w:ind w:firstLine="420"/>
        <w:jc w:val="both"/>
      </w:pPr>
      <w:r>
        <w:rPr>
          <w:rFonts w:ascii="Times New Roman" w:hAnsi="Times New Roman"/>
          <w:b w:val="0"/>
          <w:sz w:val="24"/>
          <w:rFonts w:eastAsia="宋体" w:ascii="Times New Roman" w:hAnsi="Times New Roman"/>
        </w:rPr>
        <w:t>说明：</w:t>
      </w:r>
    </w:p>
    <w:p>
      <w:pPr>
        <w:pStyle w:val="ListBullet"/>
        <w:spacing w:line="360" w:lineRule="auto"/>
      </w:pPr>
      <w:r>
        <w:rPr>
          <w:rFonts w:ascii="Times New Roman" w:hAnsi="Times New Roman"/>
          <w:b w:val="0"/>
          <w:sz w:val="24"/>
          <w:rFonts w:eastAsia="宋体" w:ascii="Times New Roman" w:hAnsi="Times New Roman"/>
        </w:rPr>
        <w:t>三维数据的线性标量场是在归一化局部坐标 (x_r, y_r, z_r) 上构造的一次函数。</w:t>
      </w:r>
    </w:p>
    <w:p>
      <w:pPr>
        <w:pStyle w:val="ListBullet"/>
        <w:spacing w:line="360" w:lineRule="auto"/>
      </w:pPr>
      <w:r>
        <w:rPr>
          <w:rFonts w:ascii="Times New Roman" w:hAnsi="Times New Roman"/>
          <w:b w:val="0"/>
          <w:sz w:val="24"/>
          <w:rFonts w:eastAsia="宋体" w:ascii="Times New Roman" w:hAnsi="Times New Roman"/>
        </w:rPr>
        <w:t>1_0 的曲面标量场是在局部切向坐标 (u, v) 上构造的一次函数。</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数据集</w:t>
            </w:r>
          </w:p>
        </w:tc>
        <w:tc>
          <w:tcPr>
            <w:tcW w:type="dxa" w:w="2268"/>
            <w:vAlign w:val="center"/>
          </w:tcPr>
          <w:p>
            <w:pPr>
              <w:jc w:val="center"/>
            </w:pPr>
            <w:r>
              <w:rPr>
                <w:rFonts w:ascii="Times New Roman" w:hAnsi="Times New Roman"/>
                <w:b/>
                <w:sz w:val="21"/>
                <w:rFonts w:eastAsia="宋体" w:ascii="Times New Roman" w:hAnsi="Times New Roman"/>
              </w:rPr>
              <w:t>场函数说明</w:t>
            </w:r>
          </w:p>
        </w:tc>
        <w:tc>
          <w:tcPr>
            <w:tcW w:type="dxa" w:w="2268"/>
            <w:vAlign w:val="center"/>
          </w:tcPr>
          <w:p>
            <w:pPr>
              <w:jc w:val="center"/>
            </w:pPr>
            <w:r>
              <w:rPr>
                <w:rFonts w:ascii="Times New Roman" w:hAnsi="Times New Roman"/>
                <w:b/>
                <w:sz w:val="21"/>
                <w:rFonts w:eastAsia="宋体" w:ascii="Times New Roman" w:hAnsi="Times New Roman"/>
              </w:rPr>
              <w:t>指标口径</w:t>
            </w:r>
          </w:p>
        </w:tc>
        <w:tc>
          <w:tcPr>
            <w:tcW w:type="dxa" w:w="2268"/>
            <w:vAlign w:val="center"/>
          </w:tcPr>
          <w:p>
            <w:pPr>
              <w:jc w:val="center"/>
            </w:pPr>
            <w:r>
              <w:rPr>
                <w:rFonts w:ascii="Times New Roman" w:hAnsi="Times New Roman"/>
                <w:b/>
                <w:sz w:val="21"/>
                <w:rFonts w:eastAsia="宋体" w:ascii="Times New Roman" w:hAnsi="Times New Roman"/>
              </w:rPr>
              <w:t>NRMSE</w:t>
            </w:r>
          </w:p>
        </w:tc>
      </w:tr>
      <w:tr>
        <w:tc>
          <w:tcPr>
            <w:tcW w:type="dxa" w:w="2268"/>
            <w:vAlign w:val="center"/>
          </w:tcPr>
          <w:p>
            <w:pPr>
              <w:jc w:val="center"/>
            </w:pPr>
            <w:r>
              <w:rPr>
                <w:rFonts w:ascii="Times New Roman" w:hAnsi="Times New Roman"/>
                <w:b w:val="0"/>
                <w:sz w:val="21"/>
                <w:rFonts w:eastAsia="宋体" w:ascii="Times New Roman" w:hAnsi="Times New Roman"/>
              </w:rPr>
              <w:t>SampleStructGrid</w:t>
            </w:r>
          </w:p>
        </w:tc>
        <w:tc>
          <w:tcPr>
            <w:tcW w:type="dxa" w:w="2268"/>
            <w:vAlign w:val="center"/>
          </w:tcPr>
          <w:p>
            <w:pPr>
              <w:jc w:val="center"/>
            </w:pPr>
            <w:r>
              <w:rPr>
                <w:rFonts w:ascii="Times New Roman" w:hAnsi="Times New Roman"/>
                <w:b w:val="0"/>
                <w:sz w:val="21"/>
                <w:rFonts w:eastAsia="宋体" w:ascii="Times New Roman" w:hAnsi="Times New Roman"/>
              </w:rPr>
              <w:t>三维线性标量场 benchmark_linear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2.82038e-07</w:t>
            </w:r>
          </w:p>
        </w:tc>
      </w:tr>
      <w:tr>
        <w:tc>
          <w:tcPr>
            <w:tcW w:type="dxa" w:w="2268"/>
            <w:vAlign w:val="center"/>
          </w:tcPr>
          <w:p>
            <w:pPr>
              <w:jc w:val="center"/>
            </w:pPr>
            <w:r>
              <w:rPr>
                <w:rFonts w:ascii="Times New Roman" w:hAnsi="Times New Roman"/>
                <w:b w:val="0"/>
                <w:sz w:val="21"/>
                <w:rFonts w:eastAsia="宋体" w:ascii="Times New Roman" w:hAnsi="Times New Roman"/>
              </w:rPr>
              <w:t>hexa</w:t>
            </w:r>
          </w:p>
        </w:tc>
        <w:tc>
          <w:tcPr>
            <w:tcW w:type="dxa" w:w="2268"/>
            <w:vAlign w:val="center"/>
          </w:tcPr>
          <w:p>
            <w:pPr>
              <w:jc w:val="center"/>
            </w:pPr>
            <w:r>
              <w:rPr>
                <w:rFonts w:ascii="Times New Roman" w:hAnsi="Times New Roman"/>
                <w:b w:val="0"/>
                <w:sz w:val="21"/>
                <w:rFonts w:eastAsia="宋体" w:ascii="Times New Roman" w:hAnsi="Times New Roman"/>
              </w:rPr>
              <w:t>三维线性标量场 benchmark_linear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1.57998e-07</w:t>
            </w:r>
          </w:p>
        </w:tc>
      </w:tr>
      <w:tr>
        <w:tc>
          <w:tcPr>
            <w:tcW w:type="dxa" w:w="2268"/>
            <w:vAlign w:val="center"/>
          </w:tcPr>
          <w:p>
            <w:pPr>
              <w:jc w:val="center"/>
            </w:pPr>
            <w:r>
              <w:rPr>
                <w:rFonts w:ascii="Times New Roman" w:hAnsi="Times New Roman"/>
                <w:b w:val="0"/>
                <w:sz w:val="21"/>
                <w:rFonts w:eastAsia="宋体" w:ascii="Times New Roman" w:hAnsi="Times New Roman"/>
              </w:rPr>
              <w:t>1_0</w:t>
            </w:r>
          </w:p>
        </w:tc>
        <w:tc>
          <w:tcPr>
            <w:tcW w:type="dxa" w:w="2268"/>
            <w:vAlign w:val="center"/>
          </w:tcPr>
          <w:p>
            <w:pPr>
              <w:jc w:val="center"/>
            </w:pPr>
            <w:r>
              <w:rPr>
                <w:rFonts w:ascii="Times New Roman" w:hAnsi="Times New Roman"/>
                <w:b w:val="0"/>
                <w:sz w:val="21"/>
                <w:rFonts w:eastAsia="宋体" w:ascii="Times New Roman" w:hAnsi="Times New Roman"/>
              </w:rPr>
              <w:t>曲面切向线性标量场 benchmark_surface_linear</w:t>
            </w:r>
          </w:p>
        </w:tc>
        <w:tc>
          <w:tcPr>
            <w:tcW w:type="dxa" w:w="2268"/>
            <w:vAlign w:val="center"/>
          </w:tcPr>
          <w:p>
            <w:pPr>
              <w:jc w:val="center"/>
            </w:pPr>
            <w:r>
              <w:rPr>
                <w:rFonts w:ascii="Times New Roman" w:hAnsi="Times New Roman"/>
                <w:b w:val="0"/>
                <w:sz w:val="21"/>
                <w:rFonts w:eastAsia="宋体" w:ascii="Times New Roman" w:hAnsi="Times New Roman"/>
              </w:rPr>
              <w:t>intrinsic</w:t>
            </w:r>
          </w:p>
        </w:tc>
        <w:tc>
          <w:tcPr>
            <w:tcW w:type="dxa" w:w="2268"/>
            <w:vAlign w:val="center"/>
          </w:tcPr>
          <w:p>
            <w:pPr>
              <w:jc w:val="center"/>
            </w:pPr>
            <w:r>
              <w:rPr>
                <w:rFonts w:ascii="Times New Roman" w:hAnsi="Times New Roman"/>
                <w:b w:val="0"/>
                <w:sz w:val="21"/>
                <w:rFonts w:eastAsia="宋体" w:ascii="Times New Roman" w:hAnsi="Times New Roman"/>
              </w:rPr>
              <w:t>1.68088e-07</w:t>
            </w:r>
          </w:p>
        </w:tc>
      </w:tr>
    </w:tbl>
    <w:p>
      <w:pPr>
        <w:pStyle w:val="Heading3"/>
        <w:spacing w:line="360" w:lineRule="auto"/>
      </w:pPr>
      <w:r>
        <w:rPr>
          <w:rFonts w:ascii="黑体" w:hAnsi="黑体"/>
          <w:b/>
          <w:sz w:val="24"/>
          <w:rFonts w:eastAsia="宋体" w:ascii="黑体" w:hAnsi="黑体"/>
        </w:rPr>
        <w:t>3.2.2 线性向量场</w:t>
      </w:r>
    </w:p>
    <w:p>
      <w:pPr>
        <w:spacing w:line="360" w:lineRule="auto"/>
        <w:ind w:firstLine="420"/>
        <w:jc w:val="both"/>
      </w:pPr>
      <w:r>
        <w:rPr>
          <w:rFonts w:ascii="Times New Roman" w:hAnsi="Times New Roman"/>
          <w:b w:val="0"/>
          <w:sz w:val="24"/>
          <w:rFonts w:eastAsia="宋体" w:ascii="Times New Roman" w:hAnsi="Times New Roman"/>
        </w:rPr>
        <w:t>说明：</w:t>
      </w:r>
    </w:p>
    <w:p>
      <w:pPr>
        <w:pStyle w:val="ListBullet"/>
        <w:spacing w:line="360" w:lineRule="auto"/>
      </w:pPr>
      <w:r>
        <w:rPr>
          <w:rFonts w:ascii="Times New Roman" w:hAnsi="Times New Roman"/>
          <w:b w:val="0"/>
          <w:sz w:val="24"/>
          <w:rFonts w:eastAsia="宋体" w:ascii="Times New Roman" w:hAnsi="Times New Roman"/>
        </w:rPr>
        <w:t>三维数据的线性向量场是在归一化局部坐标上分别为三个分量构造一次函数。</w:t>
      </w:r>
    </w:p>
    <w:p>
      <w:pPr>
        <w:pStyle w:val="ListBullet"/>
        <w:spacing w:line="360" w:lineRule="auto"/>
      </w:pPr>
      <w:r>
        <w:rPr>
          <w:rFonts w:ascii="Times New Roman" w:hAnsi="Times New Roman"/>
          <w:b w:val="0"/>
          <w:sz w:val="24"/>
          <w:rFonts w:eastAsia="宋体" w:ascii="Times New Roman" w:hAnsi="Times New Roman"/>
        </w:rPr>
        <w:t>1_0 的曲面向量场是在局部切向坐标上分别构造各分量后，再投影到曲面局部支撑空间。</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数据集</w:t>
            </w:r>
          </w:p>
        </w:tc>
        <w:tc>
          <w:tcPr>
            <w:tcW w:type="dxa" w:w="2268"/>
            <w:vAlign w:val="center"/>
          </w:tcPr>
          <w:p>
            <w:pPr>
              <w:jc w:val="center"/>
            </w:pPr>
            <w:r>
              <w:rPr>
                <w:rFonts w:ascii="Times New Roman" w:hAnsi="Times New Roman"/>
                <w:b/>
                <w:sz w:val="21"/>
                <w:rFonts w:eastAsia="宋体" w:ascii="Times New Roman" w:hAnsi="Times New Roman"/>
              </w:rPr>
              <w:t>场函数说明</w:t>
            </w:r>
          </w:p>
        </w:tc>
        <w:tc>
          <w:tcPr>
            <w:tcW w:type="dxa" w:w="2268"/>
            <w:vAlign w:val="center"/>
          </w:tcPr>
          <w:p>
            <w:pPr>
              <w:jc w:val="center"/>
            </w:pPr>
            <w:r>
              <w:rPr>
                <w:rFonts w:ascii="Times New Roman" w:hAnsi="Times New Roman"/>
                <w:b/>
                <w:sz w:val="21"/>
                <w:rFonts w:eastAsia="宋体" w:ascii="Times New Roman" w:hAnsi="Times New Roman"/>
              </w:rPr>
              <w:t>指标口径</w:t>
            </w:r>
          </w:p>
        </w:tc>
        <w:tc>
          <w:tcPr>
            <w:tcW w:type="dxa" w:w="2268"/>
            <w:vAlign w:val="center"/>
          </w:tcPr>
          <w:p>
            <w:pPr>
              <w:jc w:val="center"/>
            </w:pPr>
            <w:r>
              <w:rPr>
                <w:rFonts w:ascii="Times New Roman" w:hAnsi="Times New Roman"/>
                <w:b/>
                <w:sz w:val="21"/>
                <w:rFonts w:eastAsia="宋体" w:ascii="Times New Roman" w:hAnsi="Times New Roman"/>
              </w:rPr>
              <w:t>NRMSE</w:t>
            </w:r>
          </w:p>
        </w:tc>
      </w:tr>
      <w:tr>
        <w:tc>
          <w:tcPr>
            <w:tcW w:type="dxa" w:w="2268"/>
            <w:vAlign w:val="center"/>
          </w:tcPr>
          <w:p>
            <w:pPr>
              <w:jc w:val="center"/>
            </w:pPr>
            <w:r>
              <w:rPr>
                <w:rFonts w:ascii="Times New Roman" w:hAnsi="Times New Roman"/>
                <w:b w:val="0"/>
                <w:sz w:val="21"/>
                <w:rFonts w:eastAsia="宋体" w:ascii="Times New Roman" w:hAnsi="Times New Roman"/>
              </w:rPr>
              <w:t>SampleStructGrid</w:t>
            </w:r>
          </w:p>
        </w:tc>
        <w:tc>
          <w:tcPr>
            <w:tcW w:type="dxa" w:w="2268"/>
            <w:vAlign w:val="center"/>
          </w:tcPr>
          <w:p>
            <w:pPr>
              <w:jc w:val="center"/>
            </w:pPr>
            <w:r>
              <w:rPr>
                <w:rFonts w:ascii="Times New Roman" w:hAnsi="Times New Roman"/>
                <w:b w:val="0"/>
                <w:sz w:val="21"/>
                <w:rFonts w:eastAsia="宋体" w:ascii="Times New Roman" w:hAnsi="Times New Roman"/>
              </w:rPr>
              <w:t>三维线性向量场 benchmark_vec_linear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3.30256e-07</w:t>
            </w:r>
          </w:p>
        </w:tc>
      </w:tr>
      <w:tr>
        <w:tc>
          <w:tcPr>
            <w:tcW w:type="dxa" w:w="2268"/>
            <w:vAlign w:val="center"/>
          </w:tcPr>
          <w:p>
            <w:pPr>
              <w:jc w:val="center"/>
            </w:pPr>
            <w:r>
              <w:rPr>
                <w:rFonts w:ascii="Times New Roman" w:hAnsi="Times New Roman"/>
                <w:b w:val="0"/>
                <w:sz w:val="21"/>
                <w:rFonts w:eastAsia="宋体" w:ascii="Times New Roman" w:hAnsi="Times New Roman"/>
              </w:rPr>
              <w:t>hexa</w:t>
            </w:r>
          </w:p>
        </w:tc>
        <w:tc>
          <w:tcPr>
            <w:tcW w:type="dxa" w:w="2268"/>
            <w:vAlign w:val="center"/>
          </w:tcPr>
          <w:p>
            <w:pPr>
              <w:jc w:val="center"/>
            </w:pPr>
            <w:r>
              <w:rPr>
                <w:rFonts w:ascii="Times New Roman" w:hAnsi="Times New Roman"/>
                <w:b w:val="0"/>
                <w:sz w:val="21"/>
                <w:rFonts w:eastAsia="宋体" w:ascii="Times New Roman" w:hAnsi="Times New Roman"/>
              </w:rPr>
              <w:t>三维线性向量场 benchmark_vec_linear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2.36149e-07</w:t>
            </w:r>
          </w:p>
        </w:tc>
      </w:tr>
      <w:tr>
        <w:tc>
          <w:tcPr>
            <w:tcW w:type="dxa" w:w="2268"/>
            <w:vAlign w:val="center"/>
          </w:tcPr>
          <w:p>
            <w:pPr>
              <w:jc w:val="center"/>
            </w:pPr>
            <w:r>
              <w:rPr>
                <w:rFonts w:ascii="Times New Roman" w:hAnsi="Times New Roman"/>
                <w:b w:val="0"/>
                <w:sz w:val="21"/>
                <w:rFonts w:eastAsia="宋体" w:ascii="Times New Roman" w:hAnsi="Times New Roman"/>
              </w:rPr>
              <w:t>1_0</w:t>
            </w:r>
          </w:p>
        </w:tc>
        <w:tc>
          <w:tcPr>
            <w:tcW w:type="dxa" w:w="2268"/>
            <w:vAlign w:val="center"/>
          </w:tcPr>
          <w:p>
            <w:pPr>
              <w:jc w:val="center"/>
            </w:pPr>
            <w:r>
              <w:rPr>
                <w:rFonts w:ascii="Times New Roman" w:hAnsi="Times New Roman"/>
                <w:b w:val="0"/>
                <w:sz w:val="21"/>
                <w:rFonts w:eastAsia="宋体" w:ascii="Times New Roman" w:hAnsi="Times New Roman"/>
              </w:rPr>
              <w:t>曲面切向线性向量场 benchmark_surface_vec_linear</w:t>
            </w:r>
          </w:p>
        </w:tc>
        <w:tc>
          <w:tcPr>
            <w:tcW w:type="dxa" w:w="2268"/>
            <w:vAlign w:val="center"/>
          </w:tcPr>
          <w:p>
            <w:pPr>
              <w:jc w:val="center"/>
            </w:pPr>
            <w:r>
              <w:rPr>
                <w:rFonts w:ascii="Times New Roman" w:hAnsi="Times New Roman"/>
                <w:b w:val="0"/>
                <w:sz w:val="21"/>
                <w:rFonts w:eastAsia="宋体" w:ascii="Times New Roman" w:hAnsi="Times New Roman"/>
              </w:rPr>
              <w:t>intrinsic</w:t>
            </w:r>
          </w:p>
        </w:tc>
        <w:tc>
          <w:tcPr>
            <w:tcW w:type="dxa" w:w="2268"/>
            <w:vAlign w:val="center"/>
          </w:tcPr>
          <w:p>
            <w:pPr>
              <w:jc w:val="center"/>
            </w:pPr>
            <w:r>
              <w:rPr>
                <w:rFonts w:ascii="Times New Roman" w:hAnsi="Times New Roman"/>
                <w:b w:val="0"/>
                <w:sz w:val="21"/>
                <w:rFonts w:eastAsia="宋体" w:ascii="Times New Roman" w:hAnsi="Times New Roman"/>
              </w:rPr>
              <w:t>1.32859e-07</w:t>
            </w:r>
          </w:p>
        </w:tc>
      </w:tr>
    </w:tbl>
    <w:p>
      <w:pPr>
        <w:spacing w:line="360" w:lineRule="auto"/>
        <w:ind w:firstLine="420"/>
        <w:jc w:val="both"/>
      </w:pPr>
      <w:r>
        <w:rPr>
          <w:rFonts w:ascii="Times New Roman" w:hAnsi="Times New Roman"/>
          <w:b w:val="0"/>
          <w:sz w:val="24"/>
          <w:rFonts w:eastAsia="宋体" w:ascii="Times New Roman" w:hAnsi="Times New Roman"/>
        </w:rPr>
        <w:t>这组结果说明，当前系统在规则网格、三维六面体非结构化网格和二维曲面四边形网格上的点数据解析场验证结果都已经达到 1e-7 量级，可以作为算法正确性的直接证据。</w:t>
      </w:r>
    </w:p>
    <w:p>
      <w:pPr>
        <w:pStyle w:val="Heading3"/>
        <w:spacing w:line="360" w:lineRule="auto"/>
      </w:pPr>
      <w:r>
        <w:rPr>
          <w:rFonts w:ascii="黑体" w:hAnsi="黑体"/>
          <w:b/>
          <w:sz w:val="24"/>
          <w:rFonts w:eastAsia="宋体" w:ascii="黑体" w:hAnsi="黑体"/>
        </w:rPr>
        <w:t>3.3 实验二：与 VTK 结果一致性对比</w:t>
      </w:r>
    </w:p>
    <w:p>
      <w:pPr>
        <w:spacing w:line="360" w:lineRule="auto"/>
        <w:ind w:firstLine="420"/>
        <w:jc w:val="both"/>
      </w:pPr>
      <w:r>
        <w:rPr>
          <w:rFonts w:ascii="Times New Roman" w:hAnsi="Times New Roman"/>
          <w:b w:val="0"/>
          <w:sz w:val="24"/>
          <w:rFonts w:eastAsia="宋体" w:ascii="Times New Roman" w:hAnsi="Times New Roman"/>
        </w:rPr>
        <w:t>这组实验的目标是证明：在真实数据字段上，当前系统与 vtkGradientFilter 的工程输出是一致的。</w:t>
      </w:r>
    </w:p>
    <w:p>
      <w:pPr>
        <w:pStyle w:val="Heading3"/>
        <w:spacing w:line="360" w:lineRule="auto"/>
      </w:pPr>
      <w:r>
        <w:rPr>
          <w:rFonts w:ascii="黑体" w:hAnsi="黑体"/>
          <w:b/>
          <w:sz w:val="24"/>
          <w:rFonts w:eastAsia="宋体" w:ascii="黑体" w:hAnsi="黑体"/>
        </w:rPr>
        <w:t>3.3.1 Point 数据</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8.22437e-08</w:t>
            </w:r>
          </w:p>
        </w:tc>
      </w:tr>
      <w:tr>
        <w:tc>
          <w:tcPr>
            <w:tcW w:type="dxa" w:w="3024"/>
            <w:vAlign w:val="center"/>
          </w:tcPr>
          <w:p>
            <w:pPr>
              <w:jc w:val="center"/>
            </w:pPr>
            <w:r>
              <w:rPr>
                <w:rFonts w:ascii="Times New Roman" w:hAnsi="Times New Roman"/>
                <w:b w:val="0"/>
                <w:sz w:val="21"/>
                <w:rFonts w:eastAsia="宋体" w:ascii="Times New Roman" w:hAnsi="Times New Roman"/>
              </w:rPr>
              <w:t>hexa</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6.27285e-08</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RF</w:t>
            </w:r>
          </w:p>
        </w:tc>
        <w:tc>
          <w:tcPr>
            <w:tcW w:type="dxa" w:w="3024"/>
            <w:vAlign w:val="center"/>
          </w:tcPr>
          <w:p>
            <w:pPr>
              <w:jc w:val="center"/>
            </w:pPr>
            <w:r>
              <w:rPr>
                <w:rFonts w:ascii="Times New Roman" w:hAnsi="Times New Roman"/>
                <w:b w:val="0"/>
                <w:sz w:val="21"/>
                <w:rFonts w:eastAsia="宋体" w:ascii="Times New Roman" w:hAnsi="Times New Roman"/>
              </w:rPr>
              <w:t>5.63477e-08</w:t>
            </w:r>
          </w:p>
        </w:tc>
      </w:tr>
    </w:tbl>
    <w:p>
      <w:pPr>
        <w:pStyle w:val="Heading3"/>
        <w:spacing w:line="360" w:lineRule="auto"/>
      </w:pPr>
      <w:r>
        <w:rPr>
          <w:rFonts w:ascii="黑体" w:hAnsi="黑体"/>
          <w:b/>
          <w:sz w:val="24"/>
          <w:rFonts w:eastAsia="宋体" w:ascii="黑体" w:hAnsi="黑体"/>
        </w:rPr>
        <w:t>3.3.2 Cell 数据</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7.62786e-07</w:t>
            </w:r>
          </w:p>
        </w:tc>
      </w:tr>
      <w:tr>
        <w:tc>
          <w:tcPr>
            <w:tcW w:type="dxa" w:w="3024"/>
            <w:vAlign w:val="center"/>
          </w:tcPr>
          <w:p>
            <w:pPr>
              <w:jc w:val="center"/>
            </w:pPr>
            <w:r>
              <w:rPr>
                <w:rFonts w:ascii="Times New Roman" w:hAnsi="Times New Roman"/>
                <w:b w:val="0"/>
                <w:sz w:val="21"/>
                <w:rFonts w:eastAsia="宋体" w:ascii="Times New Roman" w:hAnsi="Times New Roman"/>
              </w:rPr>
              <w:t>limb</w:t>
            </w:r>
          </w:p>
        </w:tc>
        <w:tc>
          <w:tcPr>
            <w:tcW w:type="dxa" w:w="3024"/>
            <w:vAlign w:val="center"/>
          </w:tcPr>
          <w:p>
            <w:pPr>
              <w:jc w:val="center"/>
            </w:pPr>
            <w:r>
              <w:rPr>
                <w:rFonts w:ascii="Times New Roman" w:hAnsi="Times New Roman"/>
                <w:b w:val="0"/>
                <w:sz w:val="21"/>
                <w:rFonts w:eastAsia="宋体" w:ascii="Times New Roman" w:hAnsi="Times New Roman"/>
              </w:rPr>
              <w:t>chem_0</w:t>
            </w:r>
          </w:p>
        </w:tc>
        <w:tc>
          <w:tcPr>
            <w:tcW w:type="dxa" w:w="3024"/>
            <w:vAlign w:val="center"/>
          </w:tcPr>
          <w:p>
            <w:pPr>
              <w:jc w:val="center"/>
            </w:pPr>
            <w:r>
              <w:rPr>
                <w:rFonts w:ascii="Times New Roman" w:hAnsi="Times New Roman"/>
                <w:b w:val="0"/>
                <w:sz w:val="21"/>
                <w:rFonts w:eastAsia="宋体" w:ascii="Times New Roman" w:hAnsi="Times New Roman"/>
              </w:rPr>
              <w:t>3.89516e-07</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S_Mises</w:t>
            </w:r>
          </w:p>
        </w:tc>
        <w:tc>
          <w:tcPr>
            <w:tcW w:type="dxa" w:w="3024"/>
            <w:vAlign w:val="center"/>
          </w:tcPr>
          <w:p>
            <w:pPr>
              <w:jc w:val="center"/>
            </w:pPr>
            <w:r>
              <w:rPr>
                <w:rFonts w:ascii="Times New Roman" w:hAnsi="Times New Roman"/>
                <w:b w:val="0"/>
                <w:sz w:val="21"/>
                <w:rFonts w:eastAsia="宋体" w:ascii="Times New Roman" w:hAnsi="Times New Roman"/>
              </w:rPr>
              <w:t>7.77806e-08</w:t>
            </w:r>
          </w:p>
        </w:tc>
      </w:tr>
    </w:tbl>
    <w:p>
      <w:pPr>
        <w:spacing w:line="360" w:lineRule="auto"/>
        <w:ind w:firstLine="420"/>
        <w:jc w:val="both"/>
      </w:pPr>
      <w:r>
        <w:rPr>
          <w:rFonts w:ascii="Times New Roman" w:hAnsi="Times New Roman"/>
          <w:b w:val="0"/>
          <w:sz w:val="24"/>
          <w:rFonts w:eastAsia="宋体" w:ascii="Times New Roman" w:hAnsi="Times New Roman"/>
        </w:rPr>
        <w:t>这组结果说明，在当前展示的规则网格、平面/曲面四边形网格和三维六面体网格案例上，系统结果与 vtkGradientFilter 已经能够保持较高一致性，主表中的误差基本处于 1e-7 到 1e-6 量级。</w:t>
      </w:r>
    </w:p>
    <w:p>
      <w:pPr>
        <w:pStyle w:val="Heading3"/>
        <w:spacing w:line="360" w:lineRule="auto"/>
      </w:pPr>
      <w:r>
        <w:rPr>
          <w:rFonts w:ascii="黑体" w:hAnsi="黑体"/>
          <w:b/>
          <w:sz w:val="24"/>
          <w:rFonts w:eastAsia="宋体" w:ascii="黑体" w:hAnsi="黑体"/>
        </w:rPr>
        <w:t>3.4 实验三：与 VTK 的时间对比</w:t>
      </w:r>
    </w:p>
    <w:p>
      <w:pPr>
        <w:spacing w:line="360" w:lineRule="auto"/>
        <w:ind w:firstLine="420"/>
        <w:jc w:val="both"/>
      </w:pPr>
      <w:r>
        <w:rPr>
          <w:rFonts w:ascii="Times New Roman" w:hAnsi="Times New Roman"/>
          <w:b w:val="0"/>
          <w:sz w:val="24"/>
          <w:rFonts w:eastAsia="宋体" w:ascii="Times New Roman" w:hAnsi="Times New Roman"/>
        </w:rPr>
        <w:t>这组实验的目标是说明：在控制变量成立的前提下，当前 OpenGL 实现具备稳定的 GPU 计算性能。</w:t>
      </w:r>
    </w:p>
    <w:p>
      <w:pPr>
        <w:spacing w:line="360" w:lineRule="auto"/>
        <w:ind w:firstLine="420"/>
        <w:jc w:val="both"/>
      </w:pPr>
      <w:r>
        <w:rPr>
          <w:rFonts w:ascii="Times New Roman" w:hAnsi="Times New Roman"/>
          <w:b w:val="0"/>
          <w:sz w:val="24"/>
          <w:rFonts w:eastAsia="宋体" w:ascii="Times New Roman" w:hAnsi="Times New Roman"/>
        </w:rPr>
        <w:t>这组实验不再直接拿几个异构真实模型混在一起比较，而是改为使用统一生成的两组网格族：</w:t>
      </w:r>
    </w:p>
    <w:p>
      <w:pPr>
        <w:pStyle w:val="ListBullet"/>
        <w:spacing w:line="360" w:lineRule="auto"/>
      </w:pPr>
      <w:r>
        <w:rPr>
          <w:rFonts w:ascii="Times New Roman" w:hAnsi="Times New Roman"/>
          <w:b w:val="0"/>
          <w:sz w:val="24"/>
          <w:rFonts w:eastAsia="宋体" w:ascii="Times New Roman" w:hAnsi="Times New Roman"/>
        </w:rPr>
        <w:t>规则网格族 timing_struct_*</w:t>
      </w:r>
    </w:p>
    <w:p>
      <w:pPr>
        <w:pStyle w:val="ListBullet"/>
        <w:spacing w:line="360" w:lineRule="auto"/>
      </w:pPr>
      <w:r>
        <w:rPr>
          <w:rFonts w:ascii="Times New Roman" w:hAnsi="Times New Roman"/>
          <w:b w:val="0"/>
          <w:sz w:val="24"/>
          <w:rFonts w:eastAsia="宋体" w:ascii="Times New Roman" w:hAnsi="Times New Roman"/>
        </w:rPr>
        <w:t>代表性非结构化六面体网格族 timing_uhex_*</w:t>
      </w:r>
    </w:p>
    <w:p>
      <w:pPr>
        <w:spacing w:line="360" w:lineRule="auto"/>
        <w:ind w:firstLine="420"/>
        <w:jc w:val="both"/>
      </w:pPr>
      <w:r>
        <w:rPr>
          <w:rFonts w:ascii="Times New Roman" w:hAnsi="Times New Roman"/>
          <w:b w:val="0"/>
          <w:sz w:val="24"/>
          <w:rFonts w:eastAsia="宋体" w:ascii="Times New Roman" w:hAnsi="Times New Roman"/>
        </w:rPr>
        <w:t>统一控制条件如下：</w:t>
      </w:r>
    </w:p>
    <w:p>
      <w:pPr>
        <w:pStyle w:val="ListBullet"/>
        <w:spacing w:line="360" w:lineRule="auto"/>
      </w:pPr>
      <w:r>
        <w:rPr>
          <w:rFonts w:ascii="Times New Roman" w:hAnsi="Times New Roman"/>
          <w:b w:val="0"/>
          <w:sz w:val="24"/>
          <w:rFonts w:eastAsia="宋体" w:ascii="Times New Roman" w:hAnsi="Times New Roman"/>
        </w:rPr>
        <w:t>统一几何域为 [0,1]^3</w:t>
      </w:r>
    </w:p>
    <w:p>
      <w:pPr>
        <w:pStyle w:val="ListBullet"/>
        <w:spacing w:line="360" w:lineRule="auto"/>
      </w:pPr>
      <w:r>
        <w:rPr>
          <w:rFonts w:ascii="Times New Roman" w:hAnsi="Times New Roman"/>
          <w:b w:val="0"/>
          <w:sz w:val="24"/>
          <w:rFonts w:eastAsia="宋体" w:ascii="Times New Roman" w:hAnsi="Times New Roman"/>
        </w:rPr>
        <w:t>统一标量场为线性标量场</w:t>
      </w:r>
    </w:p>
    <w:p>
      <w:pPr>
        <w:pStyle w:val="ListBullet"/>
        <w:spacing w:line="360" w:lineRule="auto"/>
      </w:pPr>
      <w:r>
        <w:rPr>
          <w:rFonts w:ascii="Times New Roman" w:hAnsi="Times New Roman"/>
          <w:b w:val="0"/>
          <w:sz w:val="24"/>
          <w:rFonts w:eastAsia="宋体" w:ascii="Times New Roman" w:hAnsi="Times New Roman"/>
        </w:rPr>
        <w:t>统一字段名为 scalars</w:t>
      </w:r>
    </w:p>
    <w:p>
      <w:pPr>
        <w:pStyle w:val="ListBullet"/>
        <w:spacing w:line="360" w:lineRule="auto"/>
      </w:pPr>
      <w:r>
        <w:rPr>
          <w:rFonts w:ascii="Times New Roman" w:hAnsi="Times New Roman"/>
          <w:b w:val="0"/>
          <w:sz w:val="24"/>
          <w:rFonts w:eastAsia="宋体" w:ascii="Times New Roman" w:hAnsi="Times New Roman"/>
        </w:rPr>
        <w:t>统一比较 POINT 路径</w:t>
      </w:r>
    </w:p>
    <w:p>
      <w:pPr>
        <w:pStyle w:val="ListBullet"/>
        <w:spacing w:line="360" w:lineRule="auto"/>
      </w:pPr>
      <w:r>
        <w:rPr>
          <w:rFonts w:ascii="Times New Roman" w:hAnsi="Times New Roman"/>
          <w:b w:val="0"/>
          <w:sz w:val="24"/>
          <w:rFonts w:eastAsia="宋体" w:ascii="Times New Roman" w:hAnsi="Times New Roman"/>
        </w:rPr>
        <w:t>VTK 并行 backend 为 STDThread</w:t>
      </w:r>
    </w:p>
    <w:p>
      <w:pPr>
        <w:pStyle w:val="ListBullet"/>
        <w:spacing w:line="360" w:lineRule="auto"/>
      </w:pPr>
      <w:r>
        <w:rPr>
          <w:rFonts w:ascii="Times New Roman" w:hAnsi="Times New Roman"/>
          <w:b w:val="0"/>
          <w:sz w:val="24"/>
          <w:rFonts w:eastAsia="宋体" w:ascii="Times New Roman" w:hAnsi="Times New Roman"/>
        </w:rPr>
        <w:t>VTK 并行线程数为 16</w:t>
      </w:r>
    </w:p>
    <w:p>
      <w:pPr>
        <w:pStyle w:val="Heading3"/>
        <w:spacing w:line="360" w:lineRule="auto"/>
      </w:pPr>
      <w:r>
        <w:rPr>
          <w:rFonts w:ascii="黑体" w:hAnsi="黑体"/>
          <w:b/>
          <w:sz w:val="24"/>
          <w:rFonts w:eastAsia="宋体" w:ascii="黑体" w:hAnsi="黑体"/>
        </w:rPr>
        <w:t>3.4.1 规则网格时间对比</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jc w:val="center"/>
            </w:pPr>
            <w:r>
              <w:rPr>
                <w:rFonts w:ascii="Times New Roman" w:hAnsi="Times New Roman"/>
                <w:b/>
                <w:sz w:val="21"/>
                <w:rFonts w:eastAsia="宋体" w:ascii="Times New Roman" w:hAnsi="Times New Roman"/>
              </w:rPr>
              <w:t>数据集</w:t>
            </w:r>
          </w:p>
        </w:tc>
        <w:tc>
          <w:tcPr>
            <w:tcW w:type="dxa" w:w="1512"/>
            <w:vAlign w:val="center"/>
          </w:tcPr>
          <w:p>
            <w:pPr>
              <w:jc w:val="center"/>
            </w:pPr>
            <w:r>
              <w:rPr>
                <w:rFonts w:ascii="Times New Roman" w:hAnsi="Times New Roman"/>
                <w:b/>
                <w:sz w:val="21"/>
                <w:rFonts w:eastAsia="宋体" w:ascii="Times New Roman" w:hAnsi="Times New Roman"/>
              </w:rPr>
              <w:t>点数/单元数</w:t>
            </w:r>
          </w:p>
        </w:tc>
        <w:tc>
          <w:tcPr>
            <w:tcW w:type="dxa" w:w="1512"/>
            <w:vAlign w:val="center"/>
          </w:tcPr>
          <w:p>
            <w:pPr>
              <w:jc w:val="center"/>
            </w:pPr>
            <w:r>
              <w:rPr>
                <w:rFonts w:ascii="Times New Roman" w:hAnsi="Times New Roman"/>
                <w:b/>
                <w:sz w:val="21"/>
                <w:rFonts w:eastAsia="宋体" w:ascii="Times New Roman" w:hAnsi="Times New Roman"/>
              </w:rPr>
              <w:t>VTK 并行线程数</w:t>
            </w:r>
          </w:p>
        </w:tc>
        <w:tc>
          <w:tcPr>
            <w:tcW w:type="dxa" w:w="1512"/>
            <w:vAlign w:val="center"/>
          </w:tcPr>
          <w:p>
            <w:pPr>
              <w:jc w:val="center"/>
            </w:pPr>
            <w:r>
              <w:rPr>
                <w:rFonts w:ascii="Times New Roman" w:hAnsi="Times New Roman"/>
                <w:b/>
                <w:sz w:val="21"/>
                <w:rFonts w:eastAsia="宋体" w:ascii="Times New Roman" w:hAnsi="Times New Roman"/>
              </w:rPr>
              <w:t>VTK 并行时间/ms</w:t>
            </w:r>
          </w:p>
        </w:tc>
        <w:tc>
          <w:tcPr>
            <w:tcW w:type="dxa" w:w="1512"/>
            <w:vAlign w:val="center"/>
          </w:tcPr>
          <w:p>
            <w:pPr>
              <w:jc w:val="center"/>
            </w:pPr>
            <w:r>
              <w:rPr>
                <w:rFonts w:ascii="Times New Roman" w:hAnsi="Times New Roman"/>
                <w:b/>
                <w:sz w:val="21"/>
                <w:rFonts w:eastAsia="宋体" w:ascii="Times New Roman" w:hAnsi="Times New Roman"/>
              </w:rPr>
              <w:t>系统总时间/ms</w:t>
            </w:r>
          </w:p>
        </w:tc>
        <w:tc>
          <w:tcPr>
            <w:tcW w:type="dxa" w:w="1512"/>
            <w:vAlign w:val="center"/>
          </w:tcPr>
          <w:p>
            <w:pPr>
              <w:jc w:val="center"/>
            </w:pPr>
            <w:r>
              <w:rPr>
                <w:rFonts w:ascii="Times New Roman" w:hAnsi="Times New Roman"/>
                <w:b/>
                <w:sz w:val="21"/>
                <w:rFonts w:eastAsia="宋体" w:ascii="Times New Roman" w:hAnsi="Times New Roman"/>
              </w:rPr>
              <w:t>GPU 时间/ms</w:t>
            </w:r>
          </w:p>
        </w:tc>
      </w:tr>
      <w:tr>
        <w:tc>
          <w:tcPr>
            <w:tcW w:type="dxa" w:w="1512"/>
            <w:vAlign w:val="center"/>
          </w:tcPr>
          <w:p>
            <w:pPr>
              <w:jc w:val="center"/>
            </w:pPr>
            <w:r>
              <w:rPr>
                <w:rFonts w:ascii="Times New Roman" w:hAnsi="Times New Roman"/>
                <w:b w:val="0"/>
                <w:sz w:val="21"/>
                <w:rFonts w:eastAsia="宋体" w:ascii="Times New Roman" w:hAnsi="Times New Roman"/>
              </w:rPr>
              <w:t>timing_struct_20x20x20</w:t>
            </w:r>
          </w:p>
        </w:tc>
        <w:tc>
          <w:tcPr>
            <w:tcW w:type="dxa" w:w="1512"/>
            <w:vAlign w:val="center"/>
          </w:tcPr>
          <w:p>
            <w:pPr>
              <w:jc w:val="center"/>
            </w:pPr>
            <w:r>
              <w:rPr>
                <w:rFonts w:ascii="Times New Roman" w:hAnsi="Times New Roman"/>
                <w:b w:val="0"/>
                <w:sz w:val="21"/>
                <w:rFonts w:eastAsia="宋体" w:ascii="Times New Roman" w:hAnsi="Times New Roman"/>
              </w:rPr>
              <w:t>8000 / 6859</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2.7573</w:t>
            </w:r>
          </w:p>
        </w:tc>
        <w:tc>
          <w:tcPr>
            <w:tcW w:type="dxa" w:w="1512"/>
            <w:vAlign w:val="center"/>
          </w:tcPr>
          <w:p>
            <w:pPr>
              <w:jc w:val="center"/>
            </w:pPr>
            <w:r>
              <w:rPr>
                <w:rFonts w:ascii="Times New Roman" w:hAnsi="Times New Roman"/>
                <w:b w:val="0"/>
                <w:sz w:val="21"/>
                <w:rFonts w:eastAsia="宋体" w:ascii="Times New Roman" w:hAnsi="Times New Roman"/>
              </w:rPr>
              <w:t>0.9036</w:t>
            </w:r>
          </w:p>
        </w:tc>
        <w:tc>
          <w:tcPr>
            <w:tcW w:type="dxa" w:w="1512"/>
            <w:vAlign w:val="center"/>
          </w:tcPr>
          <w:p>
            <w:pPr>
              <w:jc w:val="center"/>
            </w:pPr>
            <w:r>
              <w:rPr>
                <w:rFonts w:ascii="Times New Roman" w:hAnsi="Times New Roman"/>
                <w:b w:val="0"/>
                <w:sz w:val="21"/>
                <w:rFonts w:eastAsia="宋体" w:ascii="Times New Roman" w:hAnsi="Times New Roman"/>
              </w:rPr>
              <w:t>0.025272</w:t>
            </w:r>
          </w:p>
        </w:tc>
      </w:tr>
      <w:tr>
        <w:tc>
          <w:tcPr>
            <w:tcW w:type="dxa" w:w="1512"/>
            <w:vAlign w:val="center"/>
          </w:tcPr>
          <w:p>
            <w:pPr>
              <w:jc w:val="center"/>
            </w:pPr>
            <w:r>
              <w:rPr>
                <w:rFonts w:ascii="Times New Roman" w:hAnsi="Times New Roman"/>
                <w:b w:val="0"/>
                <w:sz w:val="21"/>
                <w:rFonts w:eastAsia="宋体" w:ascii="Times New Roman" w:hAnsi="Times New Roman"/>
              </w:rPr>
              <w:t>timing_struct_32x32x32</w:t>
            </w:r>
          </w:p>
        </w:tc>
        <w:tc>
          <w:tcPr>
            <w:tcW w:type="dxa" w:w="1512"/>
            <w:vAlign w:val="center"/>
          </w:tcPr>
          <w:p>
            <w:pPr>
              <w:jc w:val="center"/>
            </w:pPr>
            <w:r>
              <w:rPr>
                <w:rFonts w:ascii="Times New Roman" w:hAnsi="Times New Roman"/>
                <w:b w:val="0"/>
                <w:sz w:val="21"/>
                <w:rFonts w:eastAsia="宋体" w:ascii="Times New Roman" w:hAnsi="Times New Roman"/>
              </w:rPr>
              <w:t>32768 / 29791</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3.5564</w:t>
            </w:r>
          </w:p>
        </w:tc>
        <w:tc>
          <w:tcPr>
            <w:tcW w:type="dxa" w:w="1512"/>
            <w:vAlign w:val="center"/>
          </w:tcPr>
          <w:p>
            <w:pPr>
              <w:jc w:val="center"/>
            </w:pPr>
            <w:r>
              <w:rPr>
                <w:rFonts w:ascii="Times New Roman" w:hAnsi="Times New Roman"/>
                <w:b w:val="0"/>
                <w:sz w:val="21"/>
                <w:rFonts w:eastAsia="宋体" w:ascii="Times New Roman" w:hAnsi="Times New Roman"/>
              </w:rPr>
              <w:t>1.4336</w:t>
            </w:r>
          </w:p>
        </w:tc>
        <w:tc>
          <w:tcPr>
            <w:tcW w:type="dxa" w:w="1512"/>
            <w:vAlign w:val="center"/>
          </w:tcPr>
          <w:p>
            <w:pPr>
              <w:jc w:val="center"/>
            </w:pPr>
            <w:r>
              <w:rPr>
                <w:rFonts w:ascii="Times New Roman" w:hAnsi="Times New Roman"/>
                <w:b w:val="0"/>
                <w:sz w:val="21"/>
                <w:rFonts w:eastAsia="宋体" w:ascii="Times New Roman" w:hAnsi="Times New Roman"/>
              </w:rPr>
              <w:t>0.043732</w:t>
            </w:r>
          </w:p>
        </w:tc>
      </w:tr>
      <w:tr>
        <w:tc>
          <w:tcPr>
            <w:tcW w:type="dxa" w:w="1512"/>
            <w:vAlign w:val="center"/>
          </w:tcPr>
          <w:p>
            <w:pPr>
              <w:jc w:val="center"/>
            </w:pPr>
            <w:r>
              <w:rPr>
                <w:rFonts w:ascii="Times New Roman" w:hAnsi="Times New Roman"/>
                <w:b w:val="0"/>
                <w:sz w:val="21"/>
                <w:rFonts w:eastAsia="宋体" w:ascii="Times New Roman" w:hAnsi="Times New Roman"/>
              </w:rPr>
              <w:t>timing_struct_48x48x48</w:t>
            </w:r>
          </w:p>
        </w:tc>
        <w:tc>
          <w:tcPr>
            <w:tcW w:type="dxa" w:w="1512"/>
            <w:vAlign w:val="center"/>
          </w:tcPr>
          <w:p>
            <w:pPr>
              <w:jc w:val="center"/>
            </w:pPr>
            <w:r>
              <w:rPr>
                <w:rFonts w:ascii="Times New Roman" w:hAnsi="Times New Roman"/>
                <w:b w:val="0"/>
                <w:sz w:val="21"/>
                <w:rFonts w:eastAsia="宋体" w:ascii="Times New Roman" w:hAnsi="Times New Roman"/>
              </w:rPr>
              <w:t>110592 / 103823</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8.2716</w:t>
            </w:r>
          </w:p>
        </w:tc>
        <w:tc>
          <w:tcPr>
            <w:tcW w:type="dxa" w:w="1512"/>
            <w:vAlign w:val="center"/>
          </w:tcPr>
          <w:p>
            <w:pPr>
              <w:jc w:val="center"/>
            </w:pPr>
            <w:r>
              <w:rPr>
                <w:rFonts w:ascii="Times New Roman" w:hAnsi="Times New Roman"/>
                <w:b w:val="0"/>
                <w:sz w:val="21"/>
                <w:rFonts w:eastAsia="宋体" w:ascii="Times New Roman" w:hAnsi="Times New Roman"/>
              </w:rPr>
              <w:t>4.0996</w:t>
            </w:r>
          </w:p>
        </w:tc>
        <w:tc>
          <w:tcPr>
            <w:tcW w:type="dxa" w:w="1512"/>
            <w:vAlign w:val="center"/>
          </w:tcPr>
          <w:p>
            <w:pPr>
              <w:jc w:val="center"/>
            </w:pPr>
            <w:r>
              <w:rPr>
                <w:rFonts w:ascii="Times New Roman" w:hAnsi="Times New Roman"/>
                <w:b w:val="0"/>
                <w:sz w:val="21"/>
                <w:rFonts w:eastAsia="宋体" w:ascii="Times New Roman" w:hAnsi="Times New Roman"/>
              </w:rPr>
              <w:t>0.107692</w:t>
            </w:r>
          </w:p>
        </w:tc>
      </w:tr>
    </w:tbl>
    <w:p>
      <w:pPr>
        <w:pStyle w:val="Heading3"/>
        <w:spacing w:line="360" w:lineRule="auto"/>
      </w:pPr>
      <w:r>
        <w:rPr>
          <w:rFonts w:ascii="黑体" w:hAnsi="黑体"/>
          <w:b/>
          <w:sz w:val="24"/>
          <w:rFonts w:eastAsia="宋体" w:ascii="黑体" w:hAnsi="黑体"/>
        </w:rPr>
        <w:t>3.4.2 非结构化六面体网格时间对比</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jc w:val="center"/>
            </w:pPr>
            <w:r>
              <w:rPr>
                <w:rFonts w:ascii="Times New Roman" w:hAnsi="Times New Roman"/>
                <w:b/>
                <w:sz w:val="21"/>
                <w:rFonts w:eastAsia="宋体" w:ascii="Times New Roman" w:hAnsi="Times New Roman"/>
              </w:rPr>
              <w:t>数据集</w:t>
            </w:r>
          </w:p>
        </w:tc>
        <w:tc>
          <w:tcPr>
            <w:tcW w:type="dxa" w:w="1512"/>
            <w:vAlign w:val="center"/>
          </w:tcPr>
          <w:p>
            <w:pPr>
              <w:jc w:val="center"/>
            </w:pPr>
            <w:r>
              <w:rPr>
                <w:rFonts w:ascii="Times New Roman" w:hAnsi="Times New Roman"/>
                <w:b/>
                <w:sz w:val="21"/>
                <w:rFonts w:eastAsia="宋体" w:ascii="Times New Roman" w:hAnsi="Times New Roman"/>
              </w:rPr>
              <w:t>点数/单元数</w:t>
            </w:r>
          </w:p>
        </w:tc>
        <w:tc>
          <w:tcPr>
            <w:tcW w:type="dxa" w:w="1512"/>
            <w:vAlign w:val="center"/>
          </w:tcPr>
          <w:p>
            <w:pPr>
              <w:jc w:val="center"/>
            </w:pPr>
            <w:r>
              <w:rPr>
                <w:rFonts w:ascii="Times New Roman" w:hAnsi="Times New Roman"/>
                <w:b/>
                <w:sz w:val="21"/>
                <w:rFonts w:eastAsia="宋体" w:ascii="Times New Roman" w:hAnsi="Times New Roman"/>
              </w:rPr>
              <w:t>VTK 并行线程数</w:t>
            </w:r>
          </w:p>
        </w:tc>
        <w:tc>
          <w:tcPr>
            <w:tcW w:type="dxa" w:w="1512"/>
            <w:vAlign w:val="center"/>
          </w:tcPr>
          <w:p>
            <w:pPr>
              <w:jc w:val="center"/>
            </w:pPr>
            <w:r>
              <w:rPr>
                <w:rFonts w:ascii="Times New Roman" w:hAnsi="Times New Roman"/>
                <w:b/>
                <w:sz w:val="21"/>
                <w:rFonts w:eastAsia="宋体" w:ascii="Times New Roman" w:hAnsi="Times New Roman"/>
              </w:rPr>
              <w:t>VTK 并行时间/ms</w:t>
            </w:r>
          </w:p>
        </w:tc>
        <w:tc>
          <w:tcPr>
            <w:tcW w:type="dxa" w:w="1512"/>
            <w:vAlign w:val="center"/>
          </w:tcPr>
          <w:p>
            <w:pPr>
              <w:jc w:val="center"/>
            </w:pPr>
            <w:r>
              <w:rPr>
                <w:rFonts w:ascii="Times New Roman" w:hAnsi="Times New Roman"/>
                <w:b/>
                <w:sz w:val="21"/>
                <w:rFonts w:eastAsia="宋体" w:ascii="Times New Roman" w:hAnsi="Times New Roman"/>
              </w:rPr>
              <w:t>系统总时间/ms</w:t>
            </w:r>
          </w:p>
        </w:tc>
        <w:tc>
          <w:tcPr>
            <w:tcW w:type="dxa" w:w="1512"/>
            <w:vAlign w:val="center"/>
          </w:tcPr>
          <w:p>
            <w:pPr>
              <w:jc w:val="center"/>
            </w:pPr>
            <w:r>
              <w:rPr>
                <w:rFonts w:ascii="Times New Roman" w:hAnsi="Times New Roman"/>
                <w:b/>
                <w:sz w:val="21"/>
                <w:rFonts w:eastAsia="宋体" w:ascii="Times New Roman" w:hAnsi="Times New Roman"/>
              </w:rPr>
              <w:t>GPU 时间/ms</w:t>
            </w:r>
          </w:p>
        </w:tc>
      </w:tr>
      <w:tr>
        <w:tc>
          <w:tcPr>
            <w:tcW w:type="dxa" w:w="1512"/>
            <w:vAlign w:val="center"/>
          </w:tcPr>
          <w:p>
            <w:pPr>
              <w:jc w:val="center"/>
            </w:pPr>
            <w:r>
              <w:rPr>
                <w:rFonts w:ascii="Times New Roman" w:hAnsi="Times New Roman"/>
                <w:b w:val="0"/>
                <w:sz w:val="21"/>
                <w:rFonts w:eastAsia="宋体" w:ascii="Times New Roman" w:hAnsi="Times New Roman"/>
              </w:rPr>
              <w:t>timing_uhex_20x20x20</w:t>
            </w:r>
          </w:p>
        </w:tc>
        <w:tc>
          <w:tcPr>
            <w:tcW w:type="dxa" w:w="1512"/>
            <w:vAlign w:val="center"/>
          </w:tcPr>
          <w:p>
            <w:pPr>
              <w:jc w:val="center"/>
            </w:pPr>
            <w:r>
              <w:rPr>
                <w:rFonts w:ascii="Times New Roman" w:hAnsi="Times New Roman"/>
                <w:b w:val="0"/>
                <w:sz w:val="21"/>
                <w:rFonts w:eastAsia="宋体" w:ascii="Times New Roman" w:hAnsi="Times New Roman"/>
              </w:rPr>
              <w:t>8000 / 6859</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163.799</w:t>
            </w:r>
          </w:p>
        </w:tc>
        <w:tc>
          <w:tcPr>
            <w:tcW w:type="dxa" w:w="1512"/>
            <w:vAlign w:val="center"/>
          </w:tcPr>
          <w:p>
            <w:pPr>
              <w:jc w:val="center"/>
            </w:pPr>
            <w:r>
              <w:rPr>
                <w:rFonts w:ascii="Times New Roman" w:hAnsi="Times New Roman"/>
                <w:b w:val="0"/>
                <w:sz w:val="21"/>
                <w:rFonts w:eastAsia="宋体" w:ascii="Times New Roman" w:hAnsi="Times New Roman"/>
              </w:rPr>
              <w:t>2.8527</w:t>
            </w:r>
          </w:p>
        </w:tc>
        <w:tc>
          <w:tcPr>
            <w:tcW w:type="dxa" w:w="1512"/>
            <w:vAlign w:val="center"/>
          </w:tcPr>
          <w:p>
            <w:pPr>
              <w:jc w:val="center"/>
            </w:pPr>
            <w:r>
              <w:rPr>
                <w:rFonts w:ascii="Times New Roman" w:hAnsi="Times New Roman"/>
                <w:b w:val="0"/>
                <w:sz w:val="21"/>
                <w:rFonts w:eastAsia="宋体" w:ascii="Times New Roman" w:hAnsi="Times New Roman"/>
              </w:rPr>
              <w:t>0.623896</w:t>
            </w:r>
          </w:p>
        </w:tc>
      </w:tr>
      <w:tr>
        <w:tc>
          <w:tcPr>
            <w:tcW w:type="dxa" w:w="1512"/>
            <w:vAlign w:val="center"/>
          </w:tcPr>
          <w:p>
            <w:pPr>
              <w:jc w:val="center"/>
            </w:pPr>
            <w:r>
              <w:rPr>
                <w:rFonts w:ascii="Times New Roman" w:hAnsi="Times New Roman"/>
                <w:b w:val="0"/>
                <w:sz w:val="21"/>
                <w:rFonts w:eastAsia="宋体" w:ascii="Times New Roman" w:hAnsi="Times New Roman"/>
              </w:rPr>
              <w:t>timing_uhex_32x32x32</w:t>
            </w:r>
          </w:p>
        </w:tc>
        <w:tc>
          <w:tcPr>
            <w:tcW w:type="dxa" w:w="1512"/>
            <w:vAlign w:val="center"/>
          </w:tcPr>
          <w:p>
            <w:pPr>
              <w:jc w:val="center"/>
            </w:pPr>
            <w:r>
              <w:rPr>
                <w:rFonts w:ascii="Times New Roman" w:hAnsi="Times New Roman"/>
                <w:b w:val="0"/>
                <w:sz w:val="21"/>
                <w:rFonts w:eastAsia="宋体" w:ascii="Times New Roman" w:hAnsi="Times New Roman"/>
              </w:rPr>
              <w:t>32768 / 29791</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708.650</w:t>
            </w:r>
          </w:p>
        </w:tc>
        <w:tc>
          <w:tcPr>
            <w:tcW w:type="dxa" w:w="1512"/>
            <w:vAlign w:val="center"/>
          </w:tcPr>
          <w:p>
            <w:pPr>
              <w:jc w:val="center"/>
            </w:pPr>
            <w:r>
              <w:rPr>
                <w:rFonts w:ascii="Times New Roman" w:hAnsi="Times New Roman"/>
                <w:b w:val="0"/>
                <w:sz w:val="21"/>
                <w:rFonts w:eastAsia="宋体" w:ascii="Times New Roman" w:hAnsi="Times New Roman"/>
              </w:rPr>
              <w:t>5.3835</w:t>
            </w:r>
          </w:p>
        </w:tc>
        <w:tc>
          <w:tcPr>
            <w:tcW w:type="dxa" w:w="1512"/>
            <w:vAlign w:val="center"/>
          </w:tcPr>
          <w:p>
            <w:pPr>
              <w:jc w:val="center"/>
            </w:pPr>
            <w:r>
              <w:rPr>
                <w:rFonts w:ascii="Times New Roman" w:hAnsi="Times New Roman"/>
                <w:b w:val="0"/>
                <w:sz w:val="21"/>
                <w:rFonts w:eastAsia="宋体" w:ascii="Times New Roman" w:hAnsi="Times New Roman"/>
              </w:rPr>
              <w:t>2.53781</w:t>
            </w:r>
          </w:p>
        </w:tc>
      </w:tr>
      <w:tr>
        <w:tc>
          <w:tcPr>
            <w:tcW w:type="dxa" w:w="1512"/>
            <w:vAlign w:val="center"/>
          </w:tcPr>
          <w:p>
            <w:pPr>
              <w:jc w:val="center"/>
            </w:pPr>
            <w:r>
              <w:rPr>
                <w:rFonts w:ascii="Times New Roman" w:hAnsi="Times New Roman"/>
                <w:b w:val="0"/>
                <w:sz w:val="21"/>
                <w:rFonts w:eastAsia="宋体" w:ascii="Times New Roman" w:hAnsi="Times New Roman"/>
              </w:rPr>
              <w:t>timing_uhex_48x48x48</w:t>
            </w:r>
          </w:p>
        </w:tc>
        <w:tc>
          <w:tcPr>
            <w:tcW w:type="dxa" w:w="1512"/>
            <w:vAlign w:val="center"/>
          </w:tcPr>
          <w:p>
            <w:pPr>
              <w:jc w:val="center"/>
            </w:pPr>
            <w:r>
              <w:rPr>
                <w:rFonts w:ascii="Times New Roman" w:hAnsi="Times New Roman"/>
                <w:b w:val="0"/>
                <w:sz w:val="21"/>
                <w:rFonts w:eastAsia="宋体" w:ascii="Times New Roman" w:hAnsi="Times New Roman"/>
              </w:rPr>
              <w:t>110592 / 103823</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3349.36</w:t>
            </w:r>
          </w:p>
        </w:tc>
        <w:tc>
          <w:tcPr>
            <w:tcW w:type="dxa" w:w="1512"/>
            <w:vAlign w:val="center"/>
          </w:tcPr>
          <w:p>
            <w:pPr>
              <w:jc w:val="center"/>
            </w:pPr>
            <w:r>
              <w:rPr>
                <w:rFonts w:ascii="Times New Roman" w:hAnsi="Times New Roman"/>
                <w:b w:val="0"/>
                <w:sz w:val="21"/>
                <w:rFonts w:eastAsia="宋体" w:ascii="Times New Roman" w:hAnsi="Times New Roman"/>
              </w:rPr>
              <w:t>44.8039</w:t>
            </w:r>
          </w:p>
        </w:tc>
        <w:tc>
          <w:tcPr>
            <w:tcW w:type="dxa" w:w="1512"/>
            <w:vAlign w:val="center"/>
          </w:tcPr>
          <w:p>
            <w:pPr>
              <w:jc w:val="center"/>
            </w:pPr>
            <w:r>
              <w:rPr>
                <w:rFonts w:ascii="Times New Roman" w:hAnsi="Times New Roman"/>
                <w:b w:val="0"/>
                <w:sz w:val="21"/>
                <w:rFonts w:eastAsia="宋体" w:ascii="Times New Roman" w:hAnsi="Times New Roman"/>
              </w:rPr>
              <w:t>7.91991</w:t>
            </w:r>
          </w:p>
        </w:tc>
      </w:tr>
    </w:tbl>
    <w:p>
      <w:pPr>
        <w:spacing w:line="360" w:lineRule="auto"/>
        <w:ind w:firstLine="420"/>
        <w:jc w:val="both"/>
      </w:pPr>
      <w:r>
        <w:rPr>
          <w:rFonts w:ascii="Times New Roman" w:hAnsi="Times New Roman"/>
          <w:b w:val="0"/>
          <w:sz w:val="24"/>
          <w:rFonts w:eastAsia="宋体" w:ascii="Times New Roman" w:hAnsi="Times New Roman"/>
        </w:rPr>
        <w:t>这组结果准备这样解释：</w:t>
      </w:r>
    </w:p>
    <w:p>
      <w:pPr>
        <w:pStyle w:val="ListBullet"/>
        <w:spacing w:line="360" w:lineRule="auto"/>
      </w:pPr>
      <w:r>
        <w:rPr>
          <w:rFonts w:ascii="Times New Roman" w:hAnsi="Times New Roman"/>
          <w:b w:val="0"/>
          <w:sz w:val="24"/>
          <w:rFonts w:eastAsia="宋体" w:ascii="Times New Roman" w:hAnsi="Times New Roman"/>
        </w:rPr>
        <w:t>规则网格和非结构化六面体网格都采用了同构数据集族，控制变量成立。</w:t>
      </w:r>
    </w:p>
    <w:p>
      <w:pPr>
        <w:pStyle w:val="ListBullet"/>
        <w:spacing w:line="360" w:lineRule="auto"/>
      </w:pPr>
      <w:r>
        <w:rPr>
          <w:rFonts w:ascii="Times New Roman" w:hAnsi="Times New Roman"/>
          <w:b w:val="0"/>
          <w:sz w:val="24"/>
          <w:rFonts w:eastAsia="宋体" w:ascii="Times New Roman" w:hAnsi="Times New Roman"/>
        </w:rPr>
        <w:t>系统侧同时给出 系统总时间 和 GPU 时间，其中 GPU 时间 更接近 OpenGL 纯计算代价。</w:t>
      </w:r>
    </w:p>
    <w:p>
      <w:pPr>
        <w:pStyle w:val="ListBullet"/>
        <w:spacing w:line="360" w:lineRule="auto"/>
      </w:pPr>
      <w:r>
        <w:rPr>
          <w:rFonts w:ascii="Times New Roman" w:hAnsi="Times New Roman"/>
          <w:b w:val="0"/>
          <w:sz w:val="24"/>
          <w:rFonts w:eastAsia="宋体" w:ascii="Times New Roman" w:hAnsi="Times New Roman"/>
        </w:rPr>
        <w:t>VTK 侧主表只保留并行时间，并显式记录并行线程数，使比较口径更聚焦，也更接近实际工程使用方式。</w:t>
      </w:r>
    </w:p>
    <w:p>
      <w:pPr>
        <w:pStyle w:val="ListBullet"/>
        <w:spacing w:line="360" w:lineRule="auto"/>
      </w:pPr>
      <w:r>
        <w:rPr>
          <w:rFonts w:ascii="Times New Roman" w:hAnsi="Times New Roman"/>
          <w:b w:val="0"/>
          <w:sz w:val="24"/>
          <w:rFonts w:eastAsia="宋体" w:ascii="Times New Roman" w:hAnsi="Times New Roman"/>
        </w:rPr>
        <w:t>在非结构化网格上，VTK 并行时间随规模增大总体上升；如果老师追问单线程对照，我再补充展示备份数据即可。</w:t>
      </w:r>
    </w:p>
    <w:p>
      <w:pPr>
        <w:pStyle w:val="Heading2"/>
        <w:spacing w:line="360" w:lineRule="auto"/>
      </w:pPr>
      <w:r>
        <w:rPr>
          <w:rFonts w:ascii="黑体" w:hAnsi="黑体"/>
          <w:b/>
          <w:sz w:val="28"/>
          <w:rFonts w:eastAsia="宋体" w:ascii="黑体" w:hAnsi="黑体"/>
        </w:rPr>
        <w:t>4. 数据优化模块的表述修订与实验数据</w:t>
      </w:r>
    </w:p>
    <w:p>
      <w:pPr>
        <w:pStyle w:val="Heading3"/>
        <w:spacing w:line="360" w:lineRule="auto"/>
      </w:pPr>
      <w:r>
        <w:rPr>
          <w:rFonts w:ascii="黑体" w:hAnsi="黑体"/>
          <w:b/>
          <w:sz w:val="24"/>
          <w:rFonts w:eastAsia="宋体" w:ascii="黑体" w:hAnsi="黑体"/>
        </w:rPr>
        <w:t>4.1 我准备修改后的模块表述</w:t>
      </w:r>
    </w:p>
    <w:p>
      <w:pPr>
        <w:spacing w:line="360" w:lineRule="auto"/>
        <w:ind w:firstLine="420"/>
        <w:jc w:val="both"/>
      </w:pPr>
      <w:r>
        <w:rPr>
          <w:rFonts w:ascii="Times New Roman" w:hAnsi="Times New Roman"/>
          <w:b w:val="0"/>
          <w:sz w:val="24"/>
          <w:rFonts w:eastAsia="宋体" w:ascii="Times New Roman" w:hAnsi="Times New Roman"/>
        </w:rPr>
        <w:t>我准备把原来较宽泛的“噪声去除”表述，修改为下面这段更收敛的描述：</w:t>
      </w:r>
    </w:p>
    <w:p>
      <w:pPr>
        <w:spacing w:line="360" w:lineRule="auto"/>
        <w:ind w:firstLine="420"/>
        <w:jc w:val="both"/>
      </w:pPr>
      <w:r>
        <w:rPr>
          <w:rFonts w:ascii="Times New Roman" w:hAnsi="Times New Roman"/>
          <w:b w:val="0"/>
          <w:sz w:val="24"/>
          <w:rFonts w:eastAsia="宋体" w:ascii="Times New Roman" w:hAnsi="Times New Roman"/>
        </w:rPr>
        <w:t>&gt; CAE 仿真数据会因离散化误差、迭代收敛误差与舍入误差等因素产生局部数值扰动。对于其中一类表现为局部随机高频波动的扰动，可采用高斯扰动作为代理模型进行近似描述。因此，本模块面向这类局部数值扰动，实验上通过在干净场上叠加高斯扰动并比较优化前后的误差与粗糙度指标，验证模块对局部随机高频扰动的抑制能力及其边缘保持特性。</w:t>
      </w:r>
    </w:p>
    <w:p>
      <w:pPr>
        <w:spacing w:line="360" w:lineRule="auto"/>
        <w:ind w:firstLine="420"/>
        <w:jc w:val="both"/>
      </w:pPr>
      <w:r>
        <w:rPr>
          <w:rFonts w:ascii="Times New Roman" w:hAnsi="Times New Roman"/>
          <w:b w:val="0"/>
          <w:sz w:val="24"/>
          <w:rFonts w:eastAsia="宋体" w:ascii="Times New Roman" w:hAnsi="Times New Roman"/>
        </w:rPr>
        <w:t>这样修改后，模块目标、实验方式和最后能得出的结论是一致的：研究对象被明确收缩到了“一类局部随机高频数值扰动”。</w:t>
      </w:r>
    </w:p>
    <w:p>
      <w:pPr>
        <w:pStyle w:val="Heading3"/>
        <w:spacing w:line="360" w:lineRule="auto"/>
      </w:pPr>
      <w:r>
        <w:rPr>
          <w:rFonts w:ascii="黑体" w:hAnsi="黑体"/>
          <w:b/>
          <w:sz w:val="24"/>
          <w:rFonts w:eastAsia="宋体" w:ascii="黑体" w:hAnsi="黑体"/>
        </w:rPr>
        <w:t>4.2 高斯扰动的生成方式</w:t>
      </w:r>
    </w:p>
    <w:p>
      <w:pPr>
        <w:spacing w:line="360" w:lineRule="auto"/>
        <w:ind w:firstLine="420"/>
        <w:jc w:val="both"/>
      </w:pPr>
      <w:r>
        <w:rPr>
          <w:rFonts w:ascii="Times New Roman" w:hAnsi="Times New Roman"/>
          <w:b w:val="0"/>
          <w:sz w:val="24"/>
          <w:rFonts w:eastAsia="宋体" w:ascii="Times New Roman" w:hAnsi="Times New Roman"/>
        </w:rPr>
        <w:t>本实验中的高斯扰动按以下方式生成：</w:t>
      </w:r>
    </w:p>
    <w:p>
      <w:pPr>
        <w:pStyle w:val="ListNumber"/>
        <w:spacing w:line="360" w:lineRule="auto"/>
      </w:pPr>
      <w:r>
        <w:rPr>
          <w:rFonts w:ascii="Times New Roman" w:hAnsi="Times New Roman"/>
          <w:b w:val="0"/>
          <w:sz w:val="24"/>
          <w:rFonts w:eastAsia="宋体" w:ascii="Times New Roman" w:hAnsi="Times New Roman"/>
        </w:rPr>
        <w:t>先选取干净场 clean 作为参考场。</w:t>
      </w:r>
    </w:p>
    <w:p>
      <w:pPr>
        <w:pStyle w:val="ListNumber"/>
        <w:spacing w:line="360" w:lineRule="auto"/>
      </w:pPr>
      <w:r>
        <w:rPr>
          <w:rFonts w:ascii="Times New Roman" w:hAnsi="Times New Roman"/>
          <w:b w:val="0"/>
          <w:sz w:val="24"/>
          <w:rFonts w:eastAsia="宋体" w:ascii="Times New Roman" w:hAnsi="Times New Roman"/>
        </w:rPr>
        <w:t>计算干净场标准差 signalStd。</w:t>
      </w:r>
    </w:p>
    <w:p>
      <w:pPr>
        <w:pStyle w:val="ListNumber"/>
        <w:spacing w:line="360" w:lineRule="auto"/>
      </w:pPr>
      <w:r>
        <w:rPr>
          <w:rFonts w:ascii="Times New Roman" w:hAnsi="Times New Roman"/>
          <w:b w:val="0"/>
          <w:sz w:val="24"/>
          <w:rFonts w:eastAsia="宋体" w:ascii="Times New Roman" w:hAnsi="Times New Roman"/>
        </w:rPr>
        <w:t>令 sigma = sigmaFactor × signalStd，当前实验中 sigmaFactor = 0.35。</w:t>
      </w:r>
    </w:p>
    <w:p>
      <w:pPr>
        <w:pStyle w:val="ListNumber"/>
        <w:spacing w:line="360" w:lineRule="auto"/>
      </w:pPr>
      <w:r>
        <w:rPr>
          <w:rFonts w:ascii="Times New Roman" w:hAnsi="Times New Roman"/>
          <w:b w:val="0"/>
          <w:sz w:val="24"/>
          <w:rFonts w:eastAsia="宋体" w:ascii="Times New Roman" w:hAnsi="Times New Roman"/>
        </w:rPr>
        <w:t>生成高斯扰动 noise ~ N(0, sigma^2)。</w:t>
      </w:r>
    </w:p>
    <w:p>
      <w:pPr>
        <w:pStyle w:val="ListNumber"/>
        <w:spacing w:line="360" w:lineRule="auto"/>
      </w:pPr>
      <w:r>
        <w:rPr>
          <w:rFonts w:ascii="Times New Roman" w:hAnsi="Times New Roman"/>
          <w:b w:val="0"/>
          <w:sz w:val="24"/>
          <w:rFonts w:eastAsia="宋体" w:ascii="Times New Roman" w:hAnsi="Times New Roman"/>
        </w:rPr>
        <w:t>构造含扰动输入场 noisy = clean + noise。</w:t>
      </w:r>
    </w:p>
    <w:p>
      <w:pPr>
        <w:pStyle w:val="ListNumber"/>
        <w:spacing w:line="360" w:lineRule="auto"/>
      </w:pPr>
      <w:r>
        <w:rPr>
          <w:rFonts w:ascii="Times New Roman" w:hAnsi="Times New Roman"/>
          <w:b w:val="0"/>
          <w:sz w:val="24"/>
          <w:rFonts w:eastAsia="宋体" w:ascii="Times New Roman" w:hAnsi="Times New Roman"/>
        </w:rPr>
        <w:t>比较优化前后结果与干净场之间的误差和粗糙度变化。</w:t>
      </w:r>
    </w:p>
    <w:p>
      <w:pPr>
        <w:spacing w:line="360" w:lineRule="auto"/>
        <w:ind w:firstLine="420"/>
        <w:jc w:val="both"/>
      </w:pPr>
      <w:r>
        <w:rPr>
          <w:rFonts w:ascii="Times New Roman" w:hAnsi="Times New Roman"/>
          <w:b w:val="0"/>
          <w:sz w:val="24"/>
          <w:rFonts w:eastAsia="宋体" w:ascii="Times New Roman" w:hAnsi="Times New Roman"/>
        </w:rPr>
        <w:t>当前点数据与单元数据实验都在 ShipHull_0 上构造了四类干净场：trig、gaussian、poly、edge，下面汇报的是四类干净场上的平均结果。</w:t>
      </w:r>
    </w:p>
    <w:p>
      <w:pPr>
        <w:pStyle w:val="Heading3"/>
        <w:spacing w:line="360" w:lineRule="auto"/>
      </w:pPr>
      <w:r>
        <w:rPr>
          <w:rFonts w:ascii="黑体" w:hAnsi="黑体"/>
          <w:b/>
          <w:sz w:val="24"/>
          <w:rFonts w:eastAsia="宋体" w:ascii="黑体" w:hAnsi="黑体"/>
        </w:rPr>
        <w:t>4.3 数据优化模块实验结果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jc w:val="center"/>
            </w:pPr>
            <w:r>
              <w:rPr>
                <w:rFonts w:ascii="Times New Roman" w:hAnsi="Times New Roman"/>
                <w:b/>
                <w:sz w:val="21"/>
                <w:rFonts w:eastAsia="宋体" w:ascii="Times New Roman" w:hAnsi="Times New Roman"/>
              </w:rPr>
              <w:t>关联方式</w:t>
            </w:r>
          </w:p>
        </w:tc>
        <w:tc>
          <w:tcPr>
            <w:tcW w:type="dxa" w:w="1296"/>
            <w:vAlign w:val="center"/>
          </w:tcPr>
          <w:p>
            <w:pPr>
              <w:jc w:val="center"/>
            </w:pPr>
            <w:r>
              <w:rPr>
                <w:rFonts w:ascii="Times New Roman" w:hAnsi="Times New Roman"/>
                <w:b/>
                <w:sz w:val="21"/>
                <w:rFonts w:eastAsia="宋体" w:ascii="Times New Roman" w:hAnsi="Times New Roman"/>
              </w:rPr>
              <w:t>干净场数量</w:t>
            </w:r>
          </w:p>
        </w:tc>
        <w:tc>
          <w:tcPr>
            <w:tcW w:type="dxa" w:w="1296"/>
            <w:vAlign w:val="center"/>
          </w:tcPr>
          <w:p>
            <w:pPr>
              <w:jc w:val="center"/>
            </w:pPr>
            <w:r>
              <w:rPr>
                <w:rFonts w:ascii="Times New Roman" w:hAnsi="Times New Roman"/>
                <w:b/>
                <w:sz w:val="21"/>
                <w:rFonts w:eastAsia="宋体" w:ascii="Times New Roman" w:hAnsi="Times New Roman"/>
              </w:rPr>
              <w:t>输入 NRMSE</w:t>
            </w:r>
          </w:p>
        </w:tc>
        <w:tc>
          <w:tcPr>
            <w:tcW w:type="dxa" w:w="1296"/>
            <w:vAlign w:val="center"/>
          </w:tcPr>
          <w:p>
            <w:pPr>
              <w:jc w:val="center"/>
            </w:pPr>
            <w:r>
              <w:rPr>
                <w:rFonts w:ascii="Times New Roman" w:hAnsi="Times New Roman"/>
                <w:b/>
                <w:sz w:val="21"/>
                <w:rFonts w:eastAsia="宋体" w:ascii="Times New Roman" w:hAnsi="Times New Roman"/>
              </w:rPr>
              <w:t>输出 NRMSE</w:t>
            </w:r>
          </w:p>
        </w:tc>
        <w:tc>
          <w:tcPr>
            <w:tcW w:type="dxa" w:w="1296"/>
            <w:vAlign w:val="center"/>
          </w:tcPr>
          <w:p>
            <w:pPr>
              <w:jc w:val="center"/>
            </w:pPr>
            <w:r>
              <w:rPr>
                <w:rFonts w:ascii="Times New Roman" w:hAnsi="Times New Roman"/>
                <w:b/>
                <w:sz w:val="21"/>
                <w:rFonts w:eastAsia="宋体" w:ascii="Times New Roman" w:hAnsi="Times New Roman"/>
              </w:rPr>
              <w:t>RMSE 改进比</w:t>
            </w:r>
          </w:p>
        </w:tc>
        <w:tc>
          <w:tcPr>
            <w:tcW w:type="dxa" w:w="1296"/>
            <w:vAlign w:val="center"/>
          </w:tcPr>
          <w:p>
            <w:pPr>
              <w:jc w:val="center"/>
            </w:pPr>
            <w:r>
              <w:rPr>
                <w:rFonts w:ascii="Times New Roman" w:hAnsi="Times New Roman"/>
                <w:b/>
                <w:sz w:val="21"/>
                <w:rFonts w:eastAsia="宋体" w:ascii="Times New Roman" w:hAnsi="Times New Roman"/>
              </w:rPr>
              <w:t>粗糙度比</w:t>
            </w:r>
          </w:p>
        </w:tc>
        <w:tc>
          <w:tcPr>
            <w:tcW w:type="dxa" w:w="1296"/>
            <w:vAlign w:val="center"/>
          </w:tcPr>
          <w:p>
            <w:pPr>
              <w:jc w:val="center"/>
            </w:pPr>
            <w:r>
              <w:rPr>
                <w:rFonts w:ascii="Times New Roman" w:hAnsi="Times New Roman"/>
                <w:b/>
                <w:sz w:val="21"/>
                <w:rFonts w:eastAsia="宋体" w:ascii="Times New Roman" w:hAnsi="Times New Roman"/>
              </w:rPr>
              <w:t>GPU 时间/ms</w:t>
            </w:r>
          </w:p>
        </w:tc>
      </w:tr>
      <w:tr>
        <w:tc>
          <w:tcPr>
            <w:tcW w:type="dxa" w:w="1296"/>
            <w:vAlign w:val="center"/>
          </w:tcPr>
          <w:p>
            <w:pPr>
              <w:jc w:val="center"/>
            </w:pPr>
            <w:r>
              <w:rPr>
                <w:rFonts w:ascii="Times New Roman" w:hAnsi="Times New Roman"/>
                <w:b w:val="0"/>
                <w:sz w:val="21"/>
                <w:rFonts w:eastAsia="宋体" w:ascii="Times New Roman" w:hAnsi="Times New Roman"/>
              </w:rPr>
              <w:t>POINT</w:t>
            </w:r>
          </w:p>
        </w:tc>
        <w:tc>
          <w:tcPr>
            <w:tcW w:type="dxa" w:w="1296"/>
            <w:vAlign w:val="center"/>
          </w:tcPr>
          <w:p>
            <w:pPr>
              <w:jc w:val="center"/>
            </w:pPr>
            <w:r>
              <w:rPr>
                <w:rFonts w:ascii="Times New Roman" w:hAnsi="Times New Roman"/>
                <w:b w:val="0"/>
                <w:sz w:val="21"/>
                <w:rFonts w:eastAsia="宋体" w:ascii="Times New Roman" w:hAnsi="Times New Roman"/>
              </w:rPr>
              <w:t>4</w:t>
            </w:r>
          </w:p>
        </w:tc>
        <w:tc>
          <w:tcPr>
            <w:tcW w:type="dxa" w:w="1296"/>
            <w:vAlign w:val="center"/>
          </w:tcPr>
          <w:p>
            <w:pPr>
              <w:jc w:val="center"/>
            </w:pPr>
            <w:r>
              <w:rPr>
                <w:rFonts w:ascii="Times New Roman" w:hAnsi="Times New Roman"/>
                <w:b w:val="0"/>
                <w:sz w:val="21"/>
                <w:rFonts w:eastAsia="宋体" w:ascii="Times New Roman" w:hAnsi="Times New Roman"/>
              </w:rPr>
              <w:t>0.296642</w:t>
            </w:r>
          </w:p>
        </w:tc>
        <w:tc>
          <w:tcPr>
            <w:tcW w:type="dxa" w:w="1296"/>
            <w:vAlign w:val="center"/>
          </w:tcPr>
          <w:p>
            <w:pPr>
              <w:jc w:val="center"/>
            </w:pPr>
            <w:r>
              <w:rPr>
                <w:rFonts w:ascii="Times New Roman" w:hAnsi="Times New Roman"/>
                <w:b w:val="0"/>
                <w:sz w:val="21"/>
                <w:rFonts w:eastAsia="宋体" w:ascii="Times New Roman" w:hAnsi="Times New Roman"/>
              </w:rPr>
              <w:t>0.180858</w:t>
            </w:r>
          </w:p>
        </w:tc>
        <w:tc>
          <w:tcPr>
            <w:tcW w:type="dxa" w:w="1296"/>
            <w:vAlign w:val="center"/>
          </w:tcPr>
          <w:p>
            <w:pPr>
              <w:jc w:val="center"/>
            </w:pPr>
            <w:r>
              <w:rPr>
                <w:rFonts w:ascii="Times New Roman" w:hAnsi="Times New Roman"/>
                <w:b w:val="0"/>
                <w:sz w:val="21"/>
                <w:rFonts w:eastAsia="宋体" w:ascii="Times New Roman" w:hAnsi="Times New Roman"/>
              </w:rPr>
              <w:t>0.610772</w:t>
            </w:r>
          </w:p>
        </w:tc>
        <w:tc>
          <w:tcPr>
            <w:tcW w:type="dxa" w:w="1296"/>
            <w:vAlign w:val="center"/>
          </w:tcPr>
          <w:p>
            <w:pPr>
              <w:jc w:val="center"/>
            </w:pPr>
            <w:r>
              <w:rPr>
                <w:rFonts w:ascii="Times New Roman" w:hAnsi="Times New Roman"/>
                <w:b w:val="0"/>
                <w:sz w:val="21"/>
                <w:rFonts w:eastAsia="宋体" w:ascii="Times New Roman" w:hAnsi="Times New Roman"/>
              </w:rPr>
              <w:t>0.406530</w:t>
            </w:r>
          </w:p>
        </w:tc>
        <w:tc>
          <w:tcPr>
            <w:tcW w:type="dxa" w:w="1296"/>
            <w:vAlign w:val="center"/>
          </w:tcPr>
          <w:p>
            <w:pPr>
              <w:jc w:val="center"/>
            </w:pPr>
            <w:r>
              <w:rPr>
                <w:rFonts w:ascii="Times New Roman" w:hAnsi="Times New Roman"/>
                <w:b w:val="0"/>
                <w:sz w:val="21"/>
                <w:rFonts w:eastAsia="宋体" w:ascii="Times New Roman" w:hAnsi="Times New Roman"/>
              </w:rPr>
              <w:t>0.069962</w:t>
            </w:r>
          </w:p>
        </w:tc>
      </w:tr>
      <w:tr>
        <w:tc>
          <w:tcPr>
            <w:tcW w:type="dxa" w:w="1296"/>
            <w:vAlign w:val="center"/>
          </w:tcPr>
          <w:p>
            <w:pPr>
              <w:jc w:val="center"/>
            </w:pPr>
            <w:r>
              <w:rPr>
                <w:rFonts w:ascii="Times New Roman" w:hAnsi="Times New Roman"/>
                <w:b w:val="0"/>
                <w:sz w:val="21"/>
                <w:rFonts w:eastAsia="宋体" w:ascii="Times New Roman" w:hAnsi="Times New Roman"/>
              </w:rPr>
              <w:t>CELL</w:t>
            </w:r>
          </w:p>
        </w:tc>
        <w:tc>
          <w:tcPr>
            <w:tcW w:type="dxa" w:w="1296"/>
            <w:vAlign w:val="center"/>
          </w:tcPr>
          <w:p>
            <w:pPr>
              <w:jc w:val="center"/>
            </w:pPr>
            <w:r>
              <w:rPr>
                <w:rFonts w:ascii="Times New Roman" w:hAnsi="Times New Roman"/>
                <w:b w:val="0"/>
                <w:sz w:val="21"/>
                <w:rFonts w:eastAsia="宋体" w:ascii="Times New Roman" w:hAnsi="Times New Roman"/>
              </w:rPr>
              <w:t>4</w:t>
            </w:r>
          </w:p>
        </w:tc>
        <w:tc>
          <w:tcPr>
            <w:tcW w:type="dxa" w:w="1296"/>
            <w:vAlign w:val="center"/>
          </w:tcPr>
          <w:p>
            <w:pPr>
              <w:jc w:val="center"/>
            </w:pPr>
            <w:r>
              <w:rPr>
                <w:rFonts w:ascii="Times New Roman" w:hAnsi="Times New Roman"/>
                <w:b w:val="0"/>
                <w:sz w:val="21"/>
                <w:rFonts w:eastAsia="宋体" w:ascii="Times New Roman" w:hAnsi="Times New Roman"/>
              </w:rPr>
              <w:t>0.294558</w:t>
            </w:r>
          </w:p>
        </w:tc>
        <w:tc>
          <w:tcPr>
            <w:tcW w:type="dxa" w:w="1296"/>
            <w:vAlign w:val="center"/>
          </w:tcPr>
          <w:p>
            <w:pPr>
              <w:jc w:val="center"/>
            </w:pPr>
            <w:r>
              <w:rPr>
                <w:rFonts w:ascii="Times New Roman" w:hAnsi="Times New Roman"/>
                <w:b w:val="0"/>
                <w:sz w:val="21"/>
                <w:rFonts w:eastAsia="宋体" w:ascii="Times New Roman" w:hAnsi="Times New Roman"/>
              </w:rPr>
              <w:t>0.121921</w:t>
            </w:r>
          </w:p>
        </w:tc>
        <w:tc>
          <w:tcPr>
            <w:tcW w:type="dxa" w:w="1296"/>
            <w:vAlign w:val="center"/>
          </w:tcPr>
          <w:p>
            <w:pPr>
              <w:jc w:val="center"/>
            </w:pPr>
            <w:r>
              <w:rPr>
                <w:rFonts w:ascii="Times New Roman" w:hAnsi="Times New Roman"/>
                <w:b w:val="0"/>
                <w:sz w:val="21"/>
                <w:rFonts w:eastAsia="宋体" w:ascii="Times New Roman" w:hAnsi="Times New Roman"/>
              </w:rPr>
              <w:t>0.414806</w:t>
            </w:r>
          </w:p>
        </w:tc>
        <w:tc>
          <w:tcPr>
            <w:tcW w:type="dxa" w:w="1296"/>
            <w:vAlign w:val="center"/>
          </w:tcPr>
          <w:p>
            <w:pPr>
              <w:jc w:val="center"/>
            </w:pPr>
            <w:r>
              <w:rPr>
                <w:rFonts w:ascii="Times New Roman" w:hAnsi="Times New Roman"/>
                <w:b w:val="0"/>
                <w:sz w:val="21"/>
                <w:rFonts w:eastAsia="宋体" w:ascii="Times New Roman" w:hAnsi="Times New Roman"/>
              </w:rPr>
              <w:t>0.387052</w:t>
            </w:r>
          </w:p>
        </w:tc>
        <w:tc>
          <w:tcPr>
            <w:tcW w:type="dxa" w:w="1296"/>
            <w:vAlign w:val="center"/>
          </w:tcPr>
          <w:p>
            <w:pPr>
              <w:jc w:val="center"/>
            </w:pPr>
            <w:r>
              <w:rPr>
                <w:rFonts w:ascii="Times New Roman" w:hAnsi="Times New Roman"/>
                <w:b w:val="0"/>
                <w:sz w:val="21"/>
                <w:rFonts w:eastAsia="宋体" w:ascii="Times New Roman" w:hAnsi="Times New Roman"/>
              </w:rPr>
              <w:t>0.048429</w:t>
            </w:r>
          </w:p>
        </w:tc>
      </w:tr>
    </w:tbl>
    <w:p>
      <w:pPr>
        <w:spacing w:line="360" w:lineRule="auto"/>
        <w:ind w:firstLine="420"/>
        <w:jc w:val="both"/>
      </w:pPr>
      <w:r>
        <w:rPr>
          <w:rFonts w:ascii="Times New Roman" w:hAnsi="Times New Roman"/>
          <w:b w:val="0"/>
          <w:sz w:val="24"/>
          <w:rFonts w:eastAsia="宋体" w:ascii="Times New Roman" w:hAnsi="Times New Roman"/>
        </w:rPr>
        <w:t>这里我准备这样解释：</w:t>
      </w:r>
    </w:p>
    <w:p>
      <w:pPr>
        <w:pStyle w:val="ListBullet"/>
        <w:spacing w:line="360" w:lineRule="auto"/>
      </w:pPr>
      <w:r>
        <w:rPr>
          <w:rFonts w:ascii="Times New Roman" w:hAnsi="Times New Roman"/>
          <w:b w:val="0"/>
          <w:sz w:val="24"/>
          <w:rFonts w:eastAsia="宋体" w:ascii="Times New Roman" w:hAnsi="Times New Roman"/>
        </w:rPr>
        <w:t>输入 NRMSE 到 输出 NRMSE 明显下降，说明模块能够降低这类局部随机高频扰动带来的整体误差。</w:t>
      </w:r>
    </w:p>
    <w:p>
      <w:pPr>
        <w:pStyle w:val="ListBullet"/>
        <w:spacing w:line="360" w:lineRule="auto"/>
      </w:pPr>
      <w:r>
        <w:rPr>
          <w:rFonts w:ascii="Times New Roman" w:hAnsi="Times New Roman"/>
          <w:b w:val="0"/>
          <w:sz w:val="24"/>
          <w:rFonts w:eastAsia="宋体" w:ascii="Times New Roman" w:hAnsi="Times New Roman"/>
        </w:rPr>
        <w:t>RMSE 改进比 小于 1，说明优化后结果优于输入场。</w:t>
      </w:r>
    </w:p>
    <w:p>
      <w:pPr>
        <w:pStyle w:val="ListBullet"/>
        <w:spacing w:line="360" w:lineRule="auto"/>
      </w:pPr>
      <w:r>
        <w:rPr>
          <w:rFonts w:ascii="Times New Roman" w:hAnsi="Times New Roman"/>
          <w:b w:val="0"/>
          <w:sz w:val="24"/>
          <w:rFonts w:eastAsia="宋体" w:ascii="Times New Roman" w:hAnsi="Times New Roman"/>
        </w:rPr>
        <w:t>粗糙度比 明显小于 1，说明局部高频波动得到了有效抑制。</w:t>
      </w:r>
    </w:p>
    <w:p>
      <w:pPr>
        <w:pStyle w:val="ListBullet"/>
        <w:spacing w:line="360" w:lineRule="auto"/>
      </w:pPr>
      <w:r>
        <w:rPr>
          <w:rFonts w:ascii="Times New Roman" w:hAnsi="Times New Roman"/>
          <w:b w:val="0"/>
          <w:sz w:val="24"/>
          <w:rFonts w:eastAsia="宋体" w:ascii="Times New Roman" w:hAnsi="Times New Roman"/>
        </w:rPr>
        <w:t>POINT 与 CELL 两条路径都给出了正向结果，说明当前多尺度平滑与融合策略对这类扰动具有稳定抑制能力。</w:t>
      </w:r>
    </w:p>
    <w:p>
      <w:pPr>
        <w:pStyle w:val="Heading2"/>
        <w:spacing w:line="360" w:lineRule="auto"/>
      </w:pPr>
      <w:r>
        <w:rPr>
          <w:rFonts w:ascii="黑体" w:hAnsi="黑体"/>
          <w:b/>
          <w:sz w:val="28"/>
          <w:rFonts w:eastAsia="宋体" w:ascii="黑体" w:hAnsi="黑体"/>
        </w:rPr>
        <w:t>5. 我想向老师确认的两个问题</w:t>
      </w:r>
    </w:p>
    <w:p>
      <w:pPr>
        <w:pStyle w:val="Heading3"/>
        <w:spacing w:line="360" w:lineRule="auto"/>
      </w:pPr>
      <w:r>
        <w:rPr>
          <w:rFonts w:ascii="黑体" w:hAnsi="黑体"/>
          <w:b/>
          <w:sz w:val="24"/>
          <w:rFonts w:eastAsia="宋体" w:ascii="黑体" w:hAnsi="黑体"/>
        </w:rPr>
        <w:t>5.1 梯度计算模块</w:t>
      </w:r>
    </w:p>
    <w:p>
      <w:pPr>
        <w:spacing w:line="360" w:lineRule="auto"/>
        <w:ind w:firstLine="420"/>
        <w:jc w:val="both"/>
      </w:pPr>
      <w:r>
        <w:rPr>
          <w:rFonts w:ascii="Times New Roman" w:hAnsi="Times New Roman"/>
          <w:b w:val="0"/>
          <w:sz w:val="24"/>
          <w:rFonts w:eastAsia="宋体" w:ascii="Times New Roman" w:hAnsi="Times New Roman"/>
        </w:rPr>
        <w:t>我准备在论文里把非结构化网格梯度计算模块收敛为：</w:t>
      </w:r>
    </w:p>
    <w:p>
      <w:pPr>
        <w:pStyle w:val="ListBullet"/>
        <w:spacing w:line="360" w:lineRule="auto"/>
      </w:pPr>
      <w:r>
        <w:rPr>
          <w:rFonts w:ascii="Times New Roman" w:hAnsi="Times New Roman"/>
          <w:b w:val="0"/>
          <w:sz w:val="24"/>
          <w:rFonts w:eastAsia="宋体" w:ascii="Times New Roman" w:hAnsi="Times New Roman"/>
        </w:rPr>
        <w:t>方法路线：基于形函数导数</w:t>
      </w:r>
    </w:p>
    <w:p>
      <w:pPr>
        <w:pStyle w:val="ListBullet"/>
        <w:spacing w:line="360" w:lineRule="auto"/>
      </w:pPr>
      <w:r>
        <w:rPr>
          <w:rFonts w:ascii="Times New Roman" w:hAnsi="Times New Roman"/>
          <w:b w:val="0"/>
          <w:sz w:val="24"/>
          <w:rFonts w:eastAsia="宋体" w:ascii="Times New Roman" w:hAnsi="Times New Roman"/>
        </w:rPr>
        <w:t>计算位置：OpenGL</w:t>
      </w:r>
    </w:p>
    <w:p>
      <w:pPr>
        <w:pStyle w:val="ListBullet"/>
        <w:spacing w:line="360" w:lineRule="auto"/>
      </w:pPr>
      <w:r>
        <w:rPr>
          <w:rFonts w:ascii="Times New Roman" w:hAnsi="Times New Roman"/>
          <w:b w:val="0"/>
          <w:sz w:val="24"/>
          <w:rFonts w:eastAsia="宋体" w:ascii="Times New Roman" w:hAnsi="Times New Roman"/>
        </w:rPr>
        <w:t>支持范围：一阶三角形、四边形、四面体、六面体</w:t>
      </w:r>
    </w:p>
    <w:p>
      <w:pPr>
        <w:pStyle w:val="ListBullet"/>
        <w:spacing w:line="360" w:lineRule="auto"/>
      </w:pPr>
      <w:r>
        <w:rPr>
          <w:rFonts w:ascii="Times New Roman" w:hAnsi="Times New Roman"/>
          <w:b w:val="0"/>
          <w:sz w:val="24"/>
          <w:rFonts w:eastAsia="宋体" w:ascii="Times New Roman" w:hAnsi="Times New Roman"/>
        </w:rPr>
        <w:t>实验组织：解析场验证、与 VTK 结果一致性对比、与 VTK 时间对比</w:t>
      </w:r>
    </w:p>
    <w:p>
      <w:pPr>
        <w:spacing w:line="360" w:lineRule="auto"/>
        <w:ind w:firstLine="420"/>
        <w:jc w:val="both"/>
      </w:pPr>
      <w:r>
        <w:rPr>
          <w:rFonts w:ascii="Times New Roman" w:hAnsi="Times New Roman"/>
          <w:b w:val="0"/>
          <w:sz w:val="24"/>
          <w:rFonts w:eastAsia="宋体" w:ascii="Times New Roman" w:hAnsi="Times New Roman"/>
        </w:rPr>
        <w:t>想请老师确认，这样的范围和实验组织是否可以作为最终定稿口径。</w:t>
      </w:r>
    </w:p>
    <w:p>
      <w:pPr>
        <w:pStyle w:val="Heading3"/>
        <w:spacing w:line="360" w:lineRule="auto"/>
      </w:pPr>
      <w:r>
        <w:rPr>
          <w:rFonts w:ascii="黑体" w:hAnsi="黑体"/>
          <w:b/>
          <w:sz w:val="24"/>
          <w:rFonts w:eastAsia="宋体" w:ascii="黑体" w:hAnsi="黑体"/>
        </w:rPr>
        <w:t>5.2 数据优化模块</w:t>
      </w:r>
    </w:p>
    <w:p>
      <w:pPr>
        <w:spacing w:line="360" w:lineRule="auto"/>
        <w:ind w:firstLine="420"/>
        <w:jc w:val="both"/>
      </w:pPr>
      <w:r>
        <w:rPr>
          <w:rFonts w:ascii="Times New Roman" w:hAnsi="Times New Roman"/>
          <w:b w:val="0"/>
          <w:sz w:val="24"/>
          <w:rFonts w:eastAsia="宋体" w:ascii="Times New Roman" w:hAnsi="Times New Roman"/>
        </w:rPr>
        <w:t>我准备把数据优化模块的研究对象收敛为“一类局部随机高频数值扰动”，并以高斯扰动作为代理模型开展实验验证，不再把结论泛化为“解决仿真噪声问题”。</w:t>
      </w:r>
    </w:p>
    <w:p>
      <w:pPr>
        <w:spacing w:line="360" w:lineRule="auto"/>
        <w:ind w:firstLine="420"/>
        <w:jc w:val="both"/>
      </w:pPr>
      <w:r>
        <w:rPr>
          <w:rFonts w:ascii="Times New Roman" w:hAnsi="Times New Roman"/>
          <w:b w:val="0"/>
          <w:sz w:val="24"/>
          <w:rFonts w:eastAsia="宋体" w:ascii="Times New Roman" w:hAnsi="Times New Roman"/>
        </w:rPr>
        <w:t>想请老师确认，这样的模块表述是否更符合课题的科学性和严谨性要求。</w:t>
      </w:r>
    </w:p>
    <w:sectPr w:rsidR="00FC693F" w:rsidRPr="0006063C" w:rsidSect="00034616">
      <w:footerReference w:type="default" r:id="rId9"/>
      <w:pgSz w:w="11906" w:h="16838"/>
      <w:pgMar w:top="1474"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