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jc w:val="center"/>
      </w:pPr>
      <w:r>
        <w:rPr>
          <w:rFonts w:ascii="黑体" w:hAnsi="黑体" w:eastAsia="黑体"/>
          <w:b/>
          <w:sz w:val="36"/>
        </w:rPr>
        <w:t>基于OpenGL的CAE软件数据预处理方法研究与实践</w:t>
      </w:r>
    </w:p>
    <w:p>
      <w:pPr>
        <w:spacing w:line="360" w:lineRule="auto"/>
        <w:jc w:val="center"/>
      </w:pPr>
      <w:r>
        <w:rPr>
          <w:rFonts w:ascii="宋体" w:hAnsi="宋体" w:eastAsia="宋体"/>
          <w:b w:val="0"/>
          <w:sz w:val="21"/>
        </w:rPr>
        <w:t>本科毕业论文</w:t>
      </w:r>
    </w:p>
    <w:p>
      <w:r>
        <w:br w:type="page"/>
      </w:r>
    </w:p>
    <w:p>
      <w:pPr>
        <w:pStyle w:val="Heading1"/>
        <w:spacing w:line="360" w:lineRule="auto"/>
        <w:jc w:val="center"/>
      </w:pPr>
      <w:r>
        <w:rPr>
          <w:rFonts w:ascii="黑体" w:hAnsi="黑体" w:eastAsia="黑体"/>
          <w:b/>
          <w:sz w:val="32"/>
        </w:rPr>
        <w:t>摘要</w:t>
      </w:r>
    </w:p>
    <w:p>
      <w:pPr>
        <w:spacing w:line="360" w:lineRule="auto"/>
        <w:ind w:firstLine="420"/>
      </w:pPr>
      <w:r>
        <w:rPr>
          <w:rFonts w:ascii="宋体" w:hAnsi="宋体" w:eastAsia="宋体"/>
          <w:b w:val="0"/>
          <w:sz w:val="21"/>
        </w:rPr>
        <w:t>计算机辅助工程（CAE）后处理阶段需要将求解器输出的网格模型、节点场、单元场和派生物理量转换为可分析、可比较、可视化的数据结果。梯度计算、局部数值扰动抑制和结果导出是后处理数据准备中的基础环节，直接影响应力集中识别、物理场变化趋势分析以及后续可视化观察。随着仿真数据规模增大，传统 CPU 侧过滤器在交互式分析和批量处理中的时间开销逐渐突出。本文围绕这一问题，设计并实现了一套基于 OpenGL 的 CAE 数据预处理原型系统。</w:t>
      </w:r>
    </w:p>
    <w:p>
      <w:pPr>
        <w:spacing w:line="360" w:lineRule="auto"/>
        <w:ind w:firstLine="420"/>
      </w:pPr>
      <w:r>
        <w:rPr>
          <w:rFonts w:ascii="宋体" w:hAnsi="宋体" w:eastAsia="宋体"/>
          <w:b w:val="0"/>
          <w:sz w:val="21"/>
        </w:rPr>
        <w:t>系统采用 C++17、VTK、Qt 和 OpenGL Compute Shader 开发。VTK 用于数据读写、工程参考对照和结果导出，Qt 用于基础图形界面，OpenGL 计算着色器用于执行核心预处理计算。系统首先将 VTK 数据转换为统一内部数据对象，保存点坐标、单元连接、单元类型、点数据、单元数据和邻域关系；随后由门面层根据网格类型和字段关联方式调度不同算法；最后将计算结果写回内部字段数组，并支持导出为 VTK 文件供 ParaView 观察。</w:t>
      </w:r>
    </w:p>
    <w:p>
      <w:pPr>
        <w:spacing w:line="360" w:lineRule="auto"/>
        <w:ind w:firstLine="420"/>
      </w:pPr>
      <w:r>
        <w:rPr>
          <w:rFonts w:ascii="宋体" w:hAnsi="宋体" w:eastAsia="宋体"/>
          <w:b w:val="0"/>
          <w:sz w:val="21"/>
        </w:rPr>
        <w:t>在梯度计算方面，本文将技术路线收敛为两条主线：规则网格采用有限差分法，并通过 Jacobian 与链式法则将参数空间导数映射到物理空间；非结构化网格采用基于形函数导数的方法。非结构化网格路径支持一阶三角形、四边形、四面体和六面体四类单元。实验按照解析场验证、与 VTK 结果一致性对比和与 VTK 时间对比三类组织。解析场验证表明，系统在 SampleStructGrid、hexa 和 1_0 数据集上的线性标量场与线性向量场平均相对误差均达到 \(10^{-7}\) 量级；真实字段对比表明，系统结果与 vtkGradientFilter 保持较高一致性；时间实验表明，在统一生成的规则网格族和非结构化六面体网格族上，系统总时间和 GPU 计算时间均明显低于当前测试条件下的 VTK 并行时间。</w:t>
      </w:r>
    </w:p>
    <w:p>
      <w:pPr>
        <w:spacing w:line="360" w:lineRule="auto"/>
        <w:ind w:firstLine="420"/>
      </w:pPr>
      <w:r>
        <w:rPr>
          <w:rFonts w:ascii="宋体" w:hAnsi="宋体" w:eastAsia="宋体"/>
          <w:b w:val="0"/>
          <w:sz w:val="21"/>
        </w:rPr>
        <w:t>在数据优化方面，本文不将其表述为通用降噪模块，而是收敛为“面向一类局部随机高频数值扰动的抑制与边缘保持处理”。CAE 仿真数据可能受到离散化误差、迭代收敛误差与舍入误差影响，其中一类扰动表现为局部随机高频波动。本文采用高斯扰动作为代理模型，在 ShipHull_0 数据集上构造干净场并叠加扰动，通过优化前后误差对比验证模块效果。实验结果显示，点数据平均相对误差由 0.296642 降至 0.180858，单元数据平均相对误差由 0.294558 降至 0.121921，说明该模块对目标扰动具有稳定抑制作用。</w:t>
      </w:r>
    </w:p>
    <w:p>
      <w:pPr>
        <w:spacing w:line="360" w:lineRule="auto"/>
        <w:ind w:firstLine="420"/>
      </w:pPr>
      <w:r>
        <w:rPr>
          <w:rFonts w:ascii="宋体" w:hAnsi="宋体" w:eastAsia="宋体"/>
          <w:b w:val="0"/>
          <w:sz w:val="21"/>
        </w:rPr>
        <w:t>本文的主要贡献在于：构建了规则网格与非结构化网格统一的数据预处理流程；实现了基于 OpenGL Compute Shader 的梯度计算与数据优化模块；建立了与解析真值、VTK 输出和 VTK 时间对照相结合的实验体系；形成了可运行、可导出、可复现的本科毕业设计原型系统。本文工作不以替代完整 CAE 后处理软件为目标，而是为后处理中的数据准备与 GPU 并行计算提供了一个边界清晰的研究与实践案例。</w:t>
      </w:r>
    </w:p>
    <w:p>
      <w:pPr>
        <w:spacing w:line="360" w:lineRule="auto"/>
        <w:ind w:firstLine="420"/>
      </w:pPr>
      <w:r>
        <w:rPr>
          <w:rFonts w:ascii="宋体" w:hAnsi="宋体" w:eastAsia="宋体"/>
          <w:b w:val="0"/>
          <w:sz w:val="21"/>
        </w:rPr>
        <w:t>**关键词**：CAE 后处理；OpenGL；Compute Shader；梯度计算；形函数导数；数据优化</w:t>
      </w:r>
    </w:p>
    <w:p>
      <w:r>
        <w:br w:type="page"/>
      </w:r>
    </w:p>
    <w:p>
      <w:pPr>
        <w:pStyle w:val="Heading1"/>
        <w:spacing w:line="360" w:lineRule="auto"/>
        <w:jc w:val="center"/>
      </w:pPr>
      <w:r>
        <w:rPr>
          <w:rFonts w:ascii="黑体" w:hAnsi="黑体" w:eastAsia="黑体"/>
          <w:b/>
          <w:sz w:val="32"/>
        </w:rPr>
        <w:t>第一章 绪论</w:t>
      </w:r>
    </w:p>
    <w:p>
      <w:pPr>
        <w:pStyle w:val="Heading2"/>
        <w:spacing w:line="360" w:lineRule="auto"/>
      </w:pPr>
      <w:r>
        <w:rPr>
          <w:rFonts w:ascii="黑体" w:hAnsi="黑体" w:eastAsia="黑体"/>
          <w:b/>
          <w:sz w:val="28"/>
        </w:rPr>
        <w:t>1.1 研究背景</w:t>
      </w:r>
    </w:p>
    <w:p>
      <w:pPr>
        <w:spacing w:line="360" w:lineRule="auto"/>
        <w:ind w:firstLine="420"/>
      </w:pPr>
      <w:r>
        <w:rPr>
          <w:rFonts w:ascii="宋体" w:hAnsi="宋体" w:eastAsia="宋体"/>
          <w:b w:val="0"/>
          <w:sz w:val="21"/>
        </w:rPr>
        <w:t>CAE 技术通过数值方法对结构、热、流体和多物理场问题进行求解，是现代工程设计的重要支撑。求解器输出的结果通常由网格几何、单元拓扑、节点场、单元场和派生变量组成。工程人员无法仅凭原始离散数据直接进行判断，必须借助后处理工具完成字段派生、局部分析和可视化展示。后处理并不只是“把数据画出来”，其前端往往包含梯度计算、字段转换、局部平滑、异常观察和结果导出等数据预处理任务。</w:t>
      </w:r>
    </w:p>
    <w:p>
      <w:pPr>
        <w:spacing w:line="360" w:lineRule="auto"/>
        <w:ind w:firstLine="420"/>
      </w:pPr>
      <w:r>
        <w:rPr>
          <w:rFonts w:ascii="宋体" w:hAnsi="宋体" w:eastAsia="宋体"/>
          <w:b w:val="0"/>
          <w:sz w:val="21"/>
        </w:rPr>
        <w:t>科学可视化工具链中，VTK 和 ParaView 已经形成成熟生态。ParaView 文档将 VTK 数据模型概括为 mesh 和 attributes，其中 mesh 由 points 和 cells 组成，attributes 则以点数据或单元数据等形式附着在数据集上[4]。这种数据模型与 CAE 网格结果天然对应，因此本文选择 VTK 作为数据读写、工程对照和结果导出的基础。但本文的研究重点不是封装现有过滤器，而是围绕 OpenGL 计算管线实现一条自有的预处理主流程。</w:t>
      </w:r>
    </w:p>
    <w:p>
      <w:pPr>
        <w:spacing w:line="360" w:lineRule="auto"/>
        <w:ind w:firstLine="420"/>
      </w:pPr>
      <w:r>
        <w:rPr>
          <w:rFonts w:ascii="宋体" w:hAnsi="宋体" w:eastAsia="宋体"/>
          <w:b w:val="0"/>
          <w:sz w:val="21"/>
        </w:rPr>
        <w:t>随着 GPU 可编程能力增强，图形处理器已不再只服务于图像渲染。GPGPU 综述指出，图形硬件在可编程性和吞吐能力上的提升使其成为通用计算的重要平台[8]。OpenGL Compute Shader 提供了在 OpenGL 环境内执行通用并行计算的能力，SSBO 又允许着色器读写较大规模结构化数据[1][2]。这使得 CAE 后处理中的一部分局部并行计算可以迁移到 GPU 端完成。</w:t>
      </w:r>
    </w:p>
    <w:p>
      <w:pPr>
        <w:jc w:val="center"/>
      </w:pPr>
      <w:r>
        <w:drawing>
          <wp:inline xmlns:a="http://schemas.openxmlformats.org/drawingml/2006/main" xmlns:pic="http://schemas.openxmlformats.org/drawingml/2006/picture">
            <wp:extent cx="5472000" cy="2052000"/>
            <wp:docPr id="1" name="Picture 1"/>
            <wp:cNvGraphicFramePr>
              <a:graphicFrameLocks noChangeAspect="1"/>
            </wp:cNvGraphicFramePr>
            <a:graphic>
              <a:graphicData uri="http://schemas.openxmlformats.org/drawingml/2006/picture">
                <pic:pic>
                  <pic:nvPicPr>
                    <pic:cNvPr id="0" name="fig_1_1_data_flow.png"/>
                    <pic:cNvPicPr/>
                  </pic:nvPicPr>
                  <pic:blipFill>
                    <a:blip r:embed="rId9"/>
                    <a:stretch>
                      <a:fillRect/>
                    </a:stretch>
                  </pic:blipFill>
                  <pic:spPr>
                    <a:xfrm>
                      <a:off x="0" y="0"/>
                      <a:ext cx="5472000" cy="2052000"/>
                    </a:xfrm>
                    <a:prstGeom prst="rect"/>
                  </pic:spPr>
                </pic:pic>
              </a:graphicData>
            </a:graphic>
          </wp:inline>
        </w:drawing>
      </w:r>
    </w:p>
    <w:p>
      <w:pPr>
        <w:spacing w:line="360" w:lineRule="auto"/>
        <w:ind w:firstLine="420"/>
      </w:pPr>
      <w:r>
        <w:rPr>
          <w:rFonts w:ascii="宋体" w:hAnsi="宋体" w:eastAsia="宋体"/>
          <w:b w:val="0"/>
          <w:sz w:val="21"/>
        </w:rPr>
        <w:t>图 1-1 给出了本文课题的总体数据流。与一般软件系统类本科论文相似，本文也需要说明需求、设计、实现和测试；但由于课题包含数值计算和科学可视化背景，论文还必须补充算法公式、实验指标和工程对照。</w:t>
      </w:r>
    </w:p>
    <w:p>
      <w:pPr>
        <w:pStyle w:val="Heading2"/>
        <w:spacing w:line="360" w:lineRule="auto"/>
      </w:pPr>
      <w:r>
        <w:rPr>
          <w:rFonts w:ascii="黑体" w:hAnsi="黑体" w:eastAsia="黑体"/>
          <w:b/>
          <w:sz w:val="28"/>
        </w:rPr>
        <w:t>1.2 国内外研究现状</w:t>
      </w:r>
    </w:p>
    <w:p>
      <w:pPr>
        <w:spacing w:line="360" w:lineRule="auto"/>
        <w:ind w:firstLine="420"/>
      </w:pPr>
      <w:r>
        <w:rPr>
          <w:rFonts w:ascii="宋体" w:hAnsi="宋体" w:eastAsia="宋体"/>
          <w:b w:val="0"/>
          <w:sz w:val="21"/>
        </w:rPr>
        <w:t>CAE 后处理和科学可视化领域已经形成了较成熟的软件生态。VTK 提供网格、属性、过滤器和读写接口，ParaView 在 VTK 基础上提供交互式分析环境[3][4][6]。这些工具适合承担数据读写、参考对照和结果观察任务，但如果课题只调用现有过滤器，难以体现对数据组织、并行计算和算法实现的理解。因此，本文选择保留 VTK/ParaView 的工程生态价值，同时在 OpenGL 计算管线中实现自有的数据预处理流程。</w:t>
      </w:r>
    </w:p>
    <w:p>
      <w:pPr>
        <w:spacing w:line="360" w:lineRule="auto"/>
        <w:ind w:firstLine="420"/>
      </w:pPr>
      <w:r>
        <w:rPr>
          <w:rFonts w:ascii="宋体" w:hAnsi="宋体" w:eastAsia="宋体"/>
          <w:b w:val="0"/>
          <w:sz w:val="21"/>
        </w:rPr>
        <w:t>在并行计算方面，GPU 通用计算已经被广泛用于科学可视化和数值处理任务。GPGPU 综述指出，图形硬件在吞吐能力和可编程性方面的发展，使其逐渐成为通用并行计算平台[8]。VTK-m 等研究进一步说明，科学可视化框架也在面向多核 CPU 和 GPU 等大规模线程架构演进[7]。OpenGL Compute Shader 和 SSBO 为本文提供了在图形 API 内部组织通用计算任务的技术基础[1][2]。</w:t>
      </w:r>
    </w:p>
    <w:p>
      <w:pPr>
        <w:spacing w:line="360" w:lineRule="auto"/>
        <w:ind w:firstLine="420"/>
      </w:pPr>
      <w:r>
        <w:rPr>
          <w:rFonts w:ascii="宋体" w:hAnsi="宋体" w:eastAsia="宋体"/>
          <w:b w:val="0"/>
          <w:sz w:val="21"/>
        </w:rPr>
        <w:t>在算法层面，规则网格、曲线网格和非结构化网格通常采用不同的梯度计算路径。规则网格具有逻辑索引，可在参数方向上进行有限差分，并通过坐标映射和 Jacobian 关系恢复物理空间梯度[25][26]；非结构化网格则更适合使用单元形函数导数和有限元几何映射描述梯度[9][10]。对于数据优化问题，双边滤波和网格双边去噪研究表明，结合空间邻近性与字段相似性可以在平滑局部扰动的同时保留主要边缘结构[11][12]。这些研究共同构成本文系统设计和实验验证的理论背景。</w:t>
      </w:r>
    </w:p>
    <w:p>
      <w:pPr>
        <w:pStyle w:val="Heading2"/>
        <w:spacing w:line="360" w:lineRule="auto"/>
      </w:pPr>
      <w:r>
        <w:rPr>
          <w:rFonts w:ascii="黑体" w:hAnsi="黑体" w:eastAsia="黑体"/>
          <w:b/>
          <w:sz w:val="28"/>
        </w:rPr>
        <w:t>1.3 问题提出</w:t>
      </w:r>
    </w:p>
    <w:p>
      <w:pPr>
        <w:spacing w:line="360" w:lineRule="auto"/>
        <w:ind w:firstLine="420"/>
      </w:pPr>
      <w:r>
        <w:rPr>
          <w:rFonts w:ascii="宋体" w:hAnsi="宋体" w:eastAsia="宋体"/>
          <w:b w:val="0"/>
          <w:sz w:val="21"/>
        </w:rPr>
        <w:t>本文研究的问题可以概括为：如何在 CAE 后处理数据预处理场景中，构建一条从 VTK 数据输入到 GPU 计算再到结果导出的完整原型流程。该问题有三个关键点。</w:t>
      </w:r>
    </w:p>
    <w:p>
      <w:pPr>
        <w:spacing w:line="360" w:lineRule="auto"/>
        <w:ind w:firstLine="420"/>
      </w:pPr>
      <w:r>
        <w:rPr>
          <w:rFonts w:ascii="宋体" w:hAnsi="宋体" w:eastAsia="宋体"/>
          <w:b w:val="0"/>
          <w:sz w:val="21"/>
        </w:rPr>
        <w:t>第一，网格类型不同导致计算方式不同。规则网格具有明确逻辑维度，可以先在逻辑/参数方向上使用有限差分，再通过 Jacobian 和链式法则映射到物理空间梯度[25][26]；非结构化网格通过单元连接描述拓扑，更适合从单元形函数导数和几何映射角度计算梯度。若论文不区分两类网格，算法说明会不严谨。</w:t>
      </w:r>
    </w:p>
    <w:p>
      <w:pPr>
        <w:spacing w:line="360" w:lineRule="auto"/>
        <w:ind w:firstLine="420"/>
      </w:pPr>
      <w:r>
        <w:rPr>
          <w:rFonts w:ascii="宋体" w:hAnsi="宋体" w:eastAsia="宋体"/>
          <w:b w:val="0"/>
          <w:sz w:val="21"/>
        </w:rPr>
        <w:t>第二，正确性和工程一致性不是同一件事。解析场实验能够提供真值，用于验证算法本身；真实字段与 vtkGradientFilter 的对比能够说明系统结果与成熟工具是否一致。VTK 文档说明 vtkGradientFilter 是用于估计数据集字段梯度的一般过滤器，输出数组与输入字段关联方式一致，并按输入分量输出三方向导数[3]。因此本文把它作为工程基线，但不把它当作解析真值。</w:t>
      </w:r>
    </w:p>
    <w:p>
      <w:pPr>
        <w:spacing w:line="360" w:lineRule="auto"/>
        <w:ind w:firstLine="420"/>
      </w:pPr>
      <w:r>
        <w:rPr>
          <w:rFonts w:ascii="宋体" w:hAnsi="宋体" w:eastAsia="宋体"/>
          <w:b w:val="0"/>
          <w:sz w:val="21"/>
        </w:rPr>
        <w:t>第三，数据优化必须收敛适用范围。CAE 仿真数据中的扰动来源复杂，本文只讨论一类表现为局部随机高频波动的数值扰动，并使用高斯扰动作为代理模型。双边滤波的经典思想是根据空间接近性和数值相似性进行局部平滑，同时保留边缘[11]；网格双边去噪研究也表明，该类思想可从图像扩展到网格局部邻域处理[12]。本文的数据优化模块正是在这一思想下进行工程化实现。</w:t>
      </w:r>
    </w:p>
    <w:p>
      <w:pPr>
        <w:pStyle w:val="Heading2"/>
        <w:spacing w:line="360" w:lineRule="auto"/>
      </w:pPr>
      <w:r>
        <w:rPr>
          <w:rFonts w:ascii="黑体" w:hAnsi="黑体" w:eastAsia="黑体"/>
          <w:b/>
          <w:sz w:val="28"/>
        </w:rPr>
        <w:t>1.4 研究目标与边界</w:t>
      </w:r>
    </w:p>
    <w:p>
      <w:pPr>
        <w:spacing w:line="360" w:lineRule="auto"/>
        <w:ind w:firstLine="420"/>
      </w:pPr>
      <w:r>
        <w:rPr>
          <w:rFonts w:ascii="宋体" w:hAnsi="宋体" w:eastAsia="宋体"/>
          <w:b w:val="0"/>
          <w:sz w:val="21"/>
        </w:rPr>
        <w:t>本文目标包括四项：设计统一内部数据表示；实现规则网格有限差分梯度和非结构化网格形函数导数梯度；实现面向局部随机高频扰动的数据优化模块；建立解析场、VTK 一致性、时间性能和优化效果四类实验。</w:t>
      </w:r>
    </w:p>
    <w:p>
      <w:pPr>
        <w:spacing w:line="360" w:lineRule="auto"/>
        <w:ind w:firstLine="420"/>
      </w:pPr>
      <w:r>
        <w:rPr>
          <w:rFonts w:ascii="宋体" w:hAnsi="宋体" w:eastAsia="宋体"/>
          <w:b w:val="0"/>
          <w:sz w:val="21"/>
        </w:rPr>
        <w:t>课题边界也必须明确。本文不是求解器，不负责生成仿真结果；不是完整 ParaView 替代品，不覆盖完整可视分析功能；也不是通用数据清洗框架，只讨论当前定义的一类局部随机高频扰动。边界收敛并不会削弱论文价值，反而能让研究目标、实现内容和实验数据保持一致。</w:t>
      </w:r>
    </w:p>
    <w:p>
      <w:pPr>
        <w:pStyle w:val="Heading2"/>
        <w:spacing w:line="360" w:lineRule="auto"/>
      </w:pPr>
      <w:r>
        <w:rPr>
          <w:rFonts w:ascii="黑体" w:hAnsi="黑体" w:eastAsia="黑体"/>
          <w:b/>
          <w:sz w:val="28"/>
        </w:rPr>
        <w:t>1.5 技术路线</w:t>
      </w:r>
    </w:p>
    <w:p>
      <w:pPr>
        <w:spacing w:line="360" w:lineRule="auto"/>
        <w:ind w:firstLine="420"/>
      </w:pPr>
      <w:r>
        <w:rPr>
          <w:rFonts w:ascii="宋体" w:hAnsi="宋体" w:eastAsia="宋体"/>
          <w:b w:val="0"/>
          <w:sz w:val="21"/>
        </w:rPr>
        <w:t>本文技术路线如下。</w:t>
      </w:r>
    </w:p>
    <w:p>
      <w:pPr>
        <w:jc w:val="center"/>
      </w:pPr>
      <w:r>
        <w:drawing>
          <wp:inline xmlns:a="http://schemas.openxmlformats.org/drawingml/2006/main" xmlns:pic="http://schemas.openxmlformats.org/drawingml/2006/picture">
            <wp:extent cx="5472000" cy="3109091"/>
            <wp:docPr id="2" name="Picture 2"/>
            <wp:cNvGraphicFramePr>
              <a:graphicFrameLocks noChangeAspect="1"/>
            </wp:cNvGraphicFramePr>
            <a:graphic>
              <a:graphicData uri="http://schemas.openxmlformats.org/drawingml/2006/picture">
                <pic:pic>
                  <pic:nvPicPr>
                    <pic:cNvPr id="0" name="fig_1_2_technical_route.png"/>
                    <pic:cNvPicPr/>
                  </pic:nvPicPr>
                  <pic:blipFill>
                    <a:blip r:embed="rId10"/>
                    <a:stretch>
                      <a:fillRect/>
                    </a:stretch>
                  </pic:blipFill>
                  <pic:spPr>
                    <a:xfrm>
                      <a:off x="0" y="0"/>
                      <a:ext cx="5472000" cy="3109091"/>
                    </a:xfrm>
                    <a:prstGeom prst="rect"/>
                  </pic:spPr>
                </pic:pic>
              </a:graphicData>
            </a:graphic>
          </wp:inline>
        </w:drawing>
      </w:r>
    </w:p>
    <w:p>
      <w:pPr>
        <w:spacing w:line="360" w:lineRule="auto"/>
        <w:ind w:firstLine="420"/>
      </w:pPr>
      <w:r>
        <w:rPr>
          <w:rFonts w:ascii="宋体" w:hAnsi="宋体" w:eastAsia="宋体"/>
          <w:b w:val="0"/>
          <w:sz w:val="21"/>
        </w:rPr>
        <w:t>图 1-2 说明本文不是先写界面再补实验，而是围绕数据结构、算法实现和实验验证组织系统开发，使系统功能、论文论证和实验数据保持同一条技术主线。</w:t>
      </w:r>
    </w:p>
    <w:p>
      <w:pPr>
        <w:pStyle w:val="Heading2"/>
        <w:spacing w:line="360" w:lineRule="auto"/>
      </w:pPr>
      <w:r>
        <w:rPr>
          <w:rFonts w:ascii="黑体" w:hAnsi="黑体" w:eastAsia="黑体"/>
          <w:b/>
          <w:sz w:val="28"/>
        </w:rPr>
        <w:t>1.6 本章参考文献</w:t>
      </w:r>
    </w:p>
    <w:p>
      <w:pPr>
        <w:spacing w:line="360" w:lineRule="auto"/>
        <w:ind w:firstLine="420"/>
      </w:pPr>
      <w:r>
        <w:rPr>
          <w:rFonts w:ascii="宋体" w:hAnsi="宋体" w:eastAsia="宋体"/>
          <w:b w:val="0"/>
          <w:sz w:val="21"/>
        </w:rPr>
        <w:t>本章引用文献：[1]、[2]、[3]、[4]、[6]、[7]、[8]、[9]、[10]、[11]、[12]、[25]、[26]。</w:t>
      </w:r>
    </w:p>
    <w:p>
      <w:r>
        <w:br w:type="page"/>
      </w:r>
    </w:p>
    <w:p>
      <w:pPr>
        <w:pStyle w:val="Heading1"/>
        <w:spacing w:line="360" w:lineRule="auto"/>
        <w:jc w:val="center"/>
      </w:pPr>
      <w:r>
        <w:rPr>
          <w:rFonts w:ascii="黑体" w:hAnsi="黑体" w:eastAsia="黑体"/>
          <w:b/>
          <w:sz w:val="32"/>
        </w:rPr>
        <w:t>第二章 相关技术与理论基础</w:t>
      </w:r>
    </w:p>
    <w:p>
      <w:pPr>
        <w:pStyle w:val="Heading2"/>
        <w:spacing w:line="360" w:lineRule="auto"/>
      </w:pPr>
      <w:r>
        <w:rPr>
          <w:rFonts w:ascii="黑体" w:hAnsi="黑体" w:eastAsia="黑体"/>
          <w:b/>
          <w:sz w:val="28"/>
        </w:rPr>
        <w:t>2.1 技术体系概述</w:t>
      </w:r>
    </w:p>
    <w:p>
      <w:pPr>
        <w:spacing w:line="360" w:lineRule="auto"/>
        <w:ind w:firstLine="420"/>
      </w:pPr>
      <w:r>
        <w:rPr>
          <w:rFonts w:ascii="宋体" w:hAnsi="宋体" w:eastAsia="宋体"/>
          <w:b w:val="0"/>
          <w:sz w:val="21"/>
        </w:rPr>
        <w:t>本文系统由数据模型、GPU 并行计算、梯度计算、数据优化和实验评价五部分共同支撑。VTK/ParaView 数据模型为数据读写、字段关联方式和工程对照提供基础；OpenGL Compute Shader 与 SSBO 为 GPU 侧并行计算提供执行机制；规则网格有限差分和非结构化网格形函数导数构成梯度计算的两条主线；图双边滤波和多尺度融合用于处理局部随机高频数值扰动；平均相对误差、时间对比和改进比用于支撑实验结论。</w:t>
      </w:r>
    </w:p>
    <w:p>
      <w:pPr>
        <w:jc w:val="center"/>
      </w:pPr>
      <w:r>
        <w:drawing>
          <wp:inline xmlns:a="http://schemas.openxmlformats.org/drawingml/2006/main" xmlns:pic="http://schemas.openxmlformats.org/drawingml/2006/picture">
            <wp:extent cx="5472000" cy="2611636"/>
            <wp:docPr id="3" name="Picture 3"/>
            <wp:cNvGraphicFramePr>
              <a:graphicFrameLocks noChangeAspect="1"/>
            </wp:cNvGraphicFramePr>
            <a:graphic>
              <a:graphicData uri="http://schemas.openxmlformats.org/drawingml/2006/picture">
                <pic:pic>
                  <pic:nvPicPr>
                    <pic:cNvPr id="0" name="fig_2_1_tech_modules.png"/>
                    <pic:cNvPicPr/>
                  </pic:nvPicPr>
                  <pic:blipFill>
                    <a:blip r:embed="rId11"/>
                    <a:stretch>
                      <a:fillRect/>
                    </a:stretch>
                  </pic:blipFill>
                  <pic:spPr>
                    <a:xfrm>
                      <a:off x="0" y="0"/>
                      <a:ext cx="5472000" cy="2611636"/>
                    </a:xfrm>
                    <a:prstGeom prst="rect"/>
                  </pic:spPr>
                </pic:pic>
              </a:graphicData>
            </a:graphic>
          </wp:inline>
        </w:drawing>
      </w:r>
    </w:p>
    <w:p>
      <w:pPr>
        <w:spacing w:line="360" w:lineRule="auto"/>
        <w:ind w:firstLine="420"/>
      </w:pPr>
      <w:r>
        <w:rPr>
          <w:rFonts w:ascii="宋体" w:hAnsi="宋体" w:eastAsia="宋体"/>
          <w:b w:val="0"/>
          <w:sz w:val="21"/>
        </w:rPr>
        <w:t>图 2-1 展示本章技术与系统模块之间的关系。</w:t>
      </w:r>
    </w:p>
    <w:p>
      <w:pPr>
        <w:pStyle w:val="Heading2"/>
        <w:spacing w:line="360" w:lineRule="auto"/>
      </w:pPr>
      <w:r>
        <w:rPr>
          <w:rFonts w:ascii="黑体" w:hAnsi="黑体" w:eastAsia="黑体"/>
          <w:b/>
          <w:sz w:val="28"/>
        </w:rPr>
        <w:t>2.2 CAE 后处理数据模型</w:t>
      </w:r>
    </w:p>
    <w:p>
      <w:pPr>
        <w:spacing w:line="360" w:lineRule="auto"/>
        <w:ind w:firstLine="420"/>
      </w:pPr>
      <w:r>
        <w:rPr>
          <w:rFonts w:ascii="宋体" w:hAnsi="宋体" w:eastAsia="宋体"/>
          <w:b w:val="0"/>
          <w:sz w:val="21"/>
        </w:rPr>
        <w:t>CAE 后处理数据通常由网格和属性两部分组成。网格描述空间离散结构，属性描述物理量在网格上的分布。ParaView 文档将 VTK 数据模型概括为 mesh 和 attributes，其中 mesh 包含 points 和 cells，cells 可表示四面体、六面体等离散单元[4]。这与有限元和工程仿真数据的组织方式一致。</w:t>
      </w:r>
    </w:p>
    <w:p>
      <w:pPr>
        <w:spacing w:line="360" w:lineRule="auto"/>
        <w:ind w:firstLine="420"/>
      </w:pPr>
      <w:r>
        <w:rPr>
          <w:rFonts w:ascii="宋体" w:hAnsi="宋体" w:eastAsia="宋体"/>
          <w:b w:val="0"/>
          <w:sz w:val="21"/>
        </w:rPr>
        <w:t>点数据和单元数据是本文必须区分的两个概念。点数据定义在网格节点上，适合表示节点位移、节点温度或节点场变量；单元数据定义在单元上，常用于表示单元平均值、单元应力或单元级结果。vtkGradientFilter 文档也说明，梯度结果会保持输入字段的关联方式，即点数据输入得到点数据梯度，单元数据输入得到单元数据梯度[3]。因此本文系统在内部字段描述中保留字段名称、分量数和关联方式，避免计算和导出时混淆。</w:t>
      </w:r>
    </w:p>
    <w:p>
      <w:pPr>
        <w:spacing w:line="360" w:lineRule="auto"/>
        <w:ind w:firstLine="420"/>
      </w:pPr>
      <w:r>
        <w:rPr>
          <w:rFonts w:ascii="宋体" w:hAnsi="宋体" w:eastAsia="宋体"/>
          <w:b w:val="0"/>
          <w:sz w:val="21"/>
        </w:rPr>
        <w:t>设网格点集合为</w:t>
      </w:r>
    </w:p>
    <w:p>
      <w:pPr>
        <w:spacing w:before="60" w:after="60"/>
        <w:jc w:val="center"/>
      </w:pPr>
      <w:r>
        <w:rPr>
          <w:rFonts w:ascii="Times New Roman" w:hAnsi="Times New Roman" w:eastAsia="Times New Roman"/>
          <w:b w:val="0"/>
          <w:sz w:val="21"/>
        </w:rPr>
        <w:t>\mathcal{P}=\{\boldsymbol{x}_i\in\mathbb{R}^3\mid i=1,2,\ldots,n_p\},</w:t>
      </w:r>
    </w:p>
    <w:p>
      <w:pPr>
        <w:spacing w:line="360" w:lineRule="auto"/>
        <w:ind w:firstLine="420"/>
      </w:pPr>
      <w:r>
        <w:rPr>
          <w:rFonts w:ascii="宋体" w:hAnsi="宋体" w:eastAsia="宋体"/>
          <w:b w:val="0"/>
          <w:sz w:val="21"/>
        </w:rPr>
        <w:t>单元集合为</w:t>
      </w:r>
    </w:p>
    <w:p>
      <w:pPr>
        <w:spacing w:before="60" w:after="60"/>
        <w:jc w:val="center"/>
      </w:pPr>
      <w:r>
        <w:rPr>
          <w:rFonts w:ascii="Times New Roman" w:hAnsi="Times New Roman" w:eastAsia="Times New Roman"/>
          <w:b w:val="0"/>
          <w:sz w:val="21"/>
        </w:rPr>
        <w:t>\mathcal{C}=\{c_e=(i_1,i_2,\ldots,i_{n_e})\mid e=1,2,\ldots,n_c\}.</w:t>
      </w:r>
    </w:p>
    <w:p>
      <w:pPr>
        <w:spacing w:line="360" w:lineRule="auto"/>
        <w:ind w:firstLine="420"/>
      </w:pPr>
      <w:r>
        <w:rPr>
          <w:rFonts w:ascii="宋体" w:hAnsi="宋体" w:eastAsia="宋体"/>
          <w:b w:val="0"/>
          <w:sz w:val="21"/>
        </w:rPr>
        <w:t>其中 \(\boldsymbol{x}_i=(x_i,y_i,z_i)^T\) 表示第 \(i\) 个点坐标，\(c_e\) 表示第 \(e\) 个单元的节点索引序列，\(n_e\) 表示该单元的节点数。该符号与有限元文献中常用的节点坐标和单元连接记法一致[9]。</w:t>
      </w:r>
    </w:p>
    <w:p>
      <w:pPr>
        <w:pStyle w:val="Heading2"/>
        <w:spacing w:line="360" w:lineRule="auto"/>
      </w:pPr>
      <w:r>
        <w:rPr>
          <w:rFonts w:ascii="黑体" w:hAnsi="黑体" w:eastAsia="黑体"/>
          <w:b/>
          <w:sz w:val="28"/>
        </w:rPr>
        <w:t>2.3 VTK、ParaView 与本文系统的关系</w:t>
      </w:r>
    </w:p>
    <w:p>
      <w:pPr>
        <w:spacing w:line="360" w:lineRule="auto"/>
        <w:ind w:firstLine="420"/>
      </w:pPr>
      <w:r>
        <w:rPr>
          <w:rFonts w:ascii="宋体" w:hAnsi="宋体" w:eastAsia="宋体"/>
          <w:b w:val="0"/>
          <w:sz w:val="21"/>
        </w:rPr>
        <w:t>VTK 是科学可视化的基础工具库，提供数据结构、读写接口、过滤器和渲染支持。ParaView 则在 VTK 基础上提供交互式可视化环境。本文使用 VTK 的目的不是减少工作量，而是利用其成熟的数据生态：一方面，VTK 能读取和写出实验数据；另一方面，vtkGradientFilter 可以作为真实字段工程一致性对照；此外，导出的 VTK 文件可以在 ParaView 中继续观察。</w:t>
      </w:r>
    </w:p>
    <w:p>
      <w:pPr>
        <w:spacing w:line="360" w:lineRule="auto"/>
        <w:ind w:firstLine="420"/>
      </w:pPr>
      <w:r>
        <w:rPr>
          <w:rFonts w:ascii="宋体" w:hAnsi="宋体" w:eastAsia="宋体"/>
          <w:b w:val="0"/>
          <w:sz w:val="21"/>
        </w:rPr>
        <w:t>vtkGradientFilter 是本文实验中的重要参考。文档说明，该过滤器用于估计数据集中字段的梯度，计算方式与输入数据集类型有关，输出分量顺序为每个输入分量对应 \(x,y,z\) 三个方向导数[3]。若输入标量场为 \(u\)，则输出梯度为</w:t>
      </w:r>
    </w:p>
    <w:p>
      <w:pPr>
        <w:spacing w:before="60" w:after="60"/>
        <w:jc w:val="center"/>
      </w:pPr>
      <w:r>
        <w:rPr>
          <w:rFonts w:ascii="Times New Roman" w:hAnsi="Times New Roman" w:eastAsia="Times New Roman"/>
          <w:b w:val="0"/>
          <w:sz w:val="21"/>
        </w:rPr>
        <w:t>\nabla u =</w:t>
        <w:br/>
        <w:t>\begin{bmatrix}</w:t>
        <w:br/>
        <w:t>\dfrac{\partial u}{\partial x}\\[4pt]</w:t>
        <w:br/>
        <w:t>\dfrac{\partial u}{\partial y}\\[4pt]</w:t>
        <w:br/>
        <w:t>\dfrac{\partial u}{\partial z}</w:t>
        <w:br/>
        <w:t>\end{bmatrix}.</w:t>
      </w:r>
    </w:p>
    <w:p>
      <w:pPr>
        <w:spacing w:line="360" w:lineRule="auto"/>
        <w:ind w:firstLine="420"/>
      </w:pPr>
      <w:r>
        <w:rPr>
          <w:rFonts w:ascii="宋体" w:hAnsi="宋体" w:eastAsia="宋体"/>
          <w:b w:val="0"/>
          <w:sz w:val="21"/>
        </w:rPr>
        <w:t>若输入为 \(m\) 分量向量场 \(\boldsymbol{u}=(u_1,\ldots,u_m)^T\)，则每个分量分别输出三方向导数，输出分量数为 \(3m\)。这与本文系统的梯度数组组织方式一致。</w:t>
      </w:r>
    </w:p>
    <w:p>
      <w:pPr>
        <w:pStyle w:val="Heading2"/>
        <w:spacing w:line="360" w:lineRule="auto"/>
      </w:pPr>
      <w:r>
        <w:rPr>
          <w:rFonts w:ascii="黑体" w:hAnsi="黑体" w:eastAsia="黑体"/>
          <w:b/>
          <w:sz w:val="28"/>
        </w:rPr>
        <w:t>2.4 OpenGL Compute Shader 与 GPU 缓冲</w:t>
      </w:r>
    </w:p>
    <w:p>
      <w:pPr>
        <w:spacing w:line="360" w:lineRule="auto"/>
        <w:ind w:firstLine="420"/>
      </w:pPr>
      <w:r>
        <w:rPr>
          <w:rFonts w:ascii="宋体" w:hAnsi="宋体" w:eastAsia="宋体"/>
          <w:b w:val="0"/>
          <w:sz w:val="21"/>
        </w:rPr>
        <w:t>OpenGL Compute Shader 是 OpenGL 中用于通用计算的着色器阶段。它通过工作组和线程编号执行任务，不直接依赖传统渲染图元。Khronos 文档说明，Compute Shader 可以用于图形管线外的通用 GPU 计算[1]。本文将每个点或单元的局部计算映射为一个或一组线程，使梯度计算和滤波计算能够并行执行。</w:t>
      </w:r>
    </w:p>
    <w:p>
      <w:pPr>
        <w:spacing w:line="360" w:lineRule="auto"/>
        <w:ind w:firstLine="420"/>
      </w:pPr>
      <w:r>
        <w:rPr>
          <w:rFonts w:ascii="宋体" w:hAnsi="宋体" w:eastAsia="宋体"/>
          <w:b w:val="0"/>
          <w:sz w:val="21"/>
        </w:rPr>
        <w:t>SSBO 是本文数据传输的重要机制。Khronos 文档说明，Shader Storage Buffer Object 能够在 GLSL 中存储和读取数据，并且容量大于传统 uniform buffer，支持着色器端读写[2]。本文将点坐标、字段值、单元连接、单元类型、邻域偏移和输出结果组织为连续数组并上传到 GPU 缓冲区。着色器端通过索引访问这些数组，避免复杂对象结构进入 GPU 端。</w:t>
      </w:r>
    </w:p>
    <w:p>
      <w:pPr>
        <w:spacing w:line="360" w:lineRule="auto"/>
        <w:ind w:firstLine="420"/>
      </w:pPr>
      <w:r>
        <w:rPr>
          <w:rFonts w:ascii="宋体" w:hAnsi="宋体" w:eastAsia="宋体"/>
          <w:b w:val="0"/>
          <w:sz w:val="21"/>
        </w:rPr>
        <w:t>设第 \(g\) 个 GPU 线程处理第 \(i\) 个采样位置，可写作</w:t>
      </w:r>
    </w:p>
    <w:p>
      <w:pPr>
        <w:spacing w:before="60" w:after="60"/>
        <w:jc w:val="center"/>
      </w:pPr>
      <w:r>
        <w:rPr>
          <w:rFonts w:ascii="Times New Roman" w:hAnsi="Times New Roman" w:eastAsia="Times New Roman"/>
          <w:b w:val="0"/>
          <w:sz w:val="21"/>
        </w:rPr>
        <w:t>i = g,\qquad g=\texttt{gl\_GlobalInvocationID.x}.</w:t>
      </w:r>
    </w:p>
    <w:p>
      <w:pPr>
        <w:spacing w:line="360" w:lineRule="auto"/>
        <w:ind w:firstLine="420"/>
      </w:pPr>
      <w:r>
        <w:rPr>
          <w:rFonts w:ascii="宋体" w:hAnsi="宋体" w:eastAsia="宋体"/>
          <w:b w:val="0"/>
          <w:sz w:val="21"/>
        </w:rPr>
        <w:t>对规则网格，线程编号还可恢复为</w:t>
      </w:r>
    </w:p>
    <w:p>
      <w:pPr>
        <w:spacing w:before="60" w:after="60"/>
        <w:jc w:val="center"/>
      </w:pPr>
      <w:r>
        <w:rPr>
          <w:rFonts w:ascii="Times New Roman" w:hAnsi="Times New Roman" w:eastAsia="Times New Roman"/>
          <w:b w:val="0"/>
          <w:sz w:val="21"/>
        </w:rPr>
        <w:t>i_x = i \bmod n_x,\quad</w:t>
        <w:br/>
        <w:t>i_y = \left\lfloor \frac{i}{n_x} \right\rfloor \bmod n_y,\quad</w:t>
        <w:br/>
        <w:t>i_z = \left\lfloor \frac{i}{n_xn_y} \right\rfloor.</w:t>
      </w:r>
    </w:p>
    <w:p>
      <w:pPr>
        <w:spacing w:line="360" w:lineRule="auto"/>
        <w:ind w:firstLine="420"/>
      </w:pPr>
      <w:r>
        <w:rPr>
          <w:rFonts w:ascii="宋体" w:hAnsi="宋体" w:eastAsia="宋体"/>
          <w:b w:val="0"/>
          <w:sz w:val="21"/>
        </w:rPr>
        <w:t>该映射使规则网格有限差分能够在 GPU 上按点并行执行。</w:t>
      </w:r>
    </w:p>
    <w:p>
      <w:pPr>
        <w:pStyle w:val="Heading2"/>
        <w:spacing w:line="360" w:lineRule="auto"/>
      </w:pPr>
      <w:r>
        <w:rPr>
          <w:rFonts w:ascii="黑体" w:hAnsi="黑体" w:eastAsia="黑体"/>
          <w:b/>
          <w:sz w:val="28"/>
        </w:rPr>
        <w:t>2.5 规则网格有限差分与链式法则</w:t>
      </w:r>
    </w:p>
    <w:p>
      <w:pPr>
        <w:spacing w:line="360" w:lineRule="auto"/>
        <w:ind w:firstLine="420"/>
      </w:pPr>
      <w:r>
        <w:rPr>
          <w:rFonts w:ascii="宋体" w:hAnsi="宋体" w:eastAsia="宋体"/>
          <w:b w:val="0"/>
          <w:sz w:val="21"/>
        </w:rPr>
        <w:t>有限差分法适用于具有规则逻辑索引的数据。需要注意的是，本文规则网格路径并不是简单假设物理空间一定为正交均匀网格，而是先在规则网格的逻辑/参数坐标中做差分，再通过链式法则映射到物理空间。该处理方式与曲线网格或结构网格中常见的“计算坐标到物理坐标映射”写法一致，相关数值计算文献也通常先在变换后的规则计算域中离散，再由 Jacobian 关系恢复物理空间导数[25][26]。</w:t>
      </w:r>
    </w:p>
    <w:p>
      <w:pPr>
        <w:spacing w:line="360" w:lineRule="auto"/>
        <w:ind w:firstLine="420"/>
      </w:pPr>
      <w:r>
        <w:rPr>
          <w:rFonts w:ascii="宋体" w:hAnsi="宋体" w:eastAsia="宋体"/>
          <w:b w:val="0"/>
          <w:sz w:val="21"/>
        </w:rPr>
        <w:t>设规则网格的逻辑坐标为</w:t>
      </w:r>
    </w:p>
    <w:p>
      <w:pPr>
        <w:spacing w:before="60" w:after="60"/>
        <w:jc w:val="center"/>
      </w:pPr>
      <w:r>
        <w:rPr>
          <w:rFonts w:ascii="Times New Roman" w:hAnsi="Times New Roman" w:eastAsia="Times New Roman"/>
          <w:b w:val="0"/>
          <w:sz w:val="21"/>
        </w:rPr>
        <w:t>\boldsymbol{\xi}=(\xi,\eta,\zeta)^T,</w:t>
      </w:r>
    </w:p>
    <w:p>
      <w:pPr>
        <w:spacing w:line="360" w:lineRule="auto"/>
        <w:ind w:firstLine="420"/>
      </w:pPr>
      <w:r>
        <w:rPr>
          <w:rFonts w:ascii="宋体" w:hAnsi="宋体" w:eastAsia="宋体"/>
          <w:b w:val="0"/>
          <w:sz w:val="21"/>
        </w:rPr>
        <w:t>物理坐标为</w:t>
      </w:r>
    </w:p>
    <w:p>
      <w:pPr>
        <w:spacing w:before="60" w:after="60"/>
        <w:jc w:val="center"/>
      </w:pPr>
      <w:r>
        <w:rPr>
          <w:rFonts w:ascii="Times New Roman" w:hAnsi="Times New Roman" w:eastAsia="Times New Roman"/>
          <w:b w:val="0"/>
          <w:sz w:val="21"/>
        </w:rPr>
        <w:t>\boldsymbol{x}=\boldsymbol{x}(\boldsymbol{\xi})=(x(\boldsymbol{\xi}),y(\boldsymbol{\xi}),z(\boldsymbol{\xi}))^T.</w:t>
      </w:r>
    </w:p>
    <w:p>
      <w:pPr>
        <w:spacing w:line="360" w:lineRule="auto"/>
        <w:ind w:firstLine="420"/>
      </w:pPr>
      <w:r>
        <w:rPr>
          <w:rFonts w:ascii="宋体" w:hAnsi="宋体" w:eastAsia="宋体"/>
          <w:b w:val="0"/>
          <w:sz w:val="21"/>
        </w:rPr>
        <w:t>对标量场 \(u\)，先在参数空间中估计</w:t>
      </w:r>
    </w:p>
    <w:p>
      <w:pPr>
        <w:spacing w:before="60" w:after="60"/>
        <w:jc w:val="center"/>
      </w:pPr>
      <w:r>
        <w:rPr>
          <w:rFonts w:ascii="Times New Roman" w:hAnsi="Times New Roman" w:eastAsia="Times New Roman"/>
          <w:b w:val="0"/>
          <w:sz w:val="21"/>
        </w:rPr>
        <w:t>\nabla_{\boldsymbol{\xi}}u</w:t>
        <w:br/>
        <w:t>=</w:t>
        <w:br/>
        <w:t>\begin{bmatrix}</w:t>
        <w:br/>
        <w:t>\dfrac{\partial u}{\partial \xi}\\[4pt]</w:t>
        <w:br/>
        <w:t>\dfrac{\partial u}{\partial \eta}\\[4pt]</w:t>
        <w:br/>
        <w:t>\dfrac{\partial u}{\partial \zeta}</w:t>
        <w:br/>
        <w:t>\end{bmatrix}.</w:t>
      </w:r>
    </w:p>
    <w:p>
      <w:pPr>
        <w:spacing w:line="360" w:lineRule="auto"/>
        <w:ind w:firstLine="420"/>
      </w:pPr>
      <w:r>
        <w:rPr>
          <w:rFonts w:ascii="宋体" w:hAnsi="宋体" w:eastAsia="宋体"/>
          <w:b w:val="0"/>
          <w:sz w:val="21"/>
        </w:rPr>
        <w:t>在内部点处，三个参数方向上的中心差分可写为</w:t>
      </w:r>
    </w:p>
    <w:p>
      <w:pPr>
        <w:spacing w:before="60" w:after="60"/>
        <w:jc w:val="center"/>
      </w:pPr>
      <w:r>
        <w:rPr>
          <w:rFonts w:ascii="Times New Roman" w:hAnsi="Times New Roman" w:eastAsia="Times New Roman"/>
          <w:b w:val="0"/>
          <w:sz w:val="21"/>
        </w:rPr>
        <w:t>\left.\frac{\partial u}{\partial \xi}\right|_{i,j,k}</w:t>
        <w:br/>
        <w:t>\approx</w:t>
        <w:br/>
        <w:t>\frac{u_{i+1,j,k}-u_{i-1,j,k}}{2},</w:t>
      </w:r>
    </w:p>
    <w:p>
      <w:pPr>
        <w:spacing w:before="60" w:after="60"/>
        <w:jc w:val="center"/>
      </w:pPr>
      <w:r>
        <w:rPr>
          <w:rFonts w:ascii="Times New Roman" w:hAnsi="Times New Roman" w:eastAsia="Times New Roman"/>
          <w:b w:val="0"/>
          <w:sz w:val="21"/>
        </w:rPr>
        <w:t>\left.\frac{\partial u}{\partial \eta}\right|_{i,j,k}</w:t>
        <w:br/>
        <w:t>\approx</w:t>
        <w:br/>
        <w:t>\frac{u_{i,j+1,k}-u_{i,j-1,k}}{2},\qquad</w:t>
        <w:br/>
        <w:t>\left.\frac{\partial u}{\partial \zeta}\right|_{i,j,k}</w:t>
        <w:br/>
        <w:t>\approx</w:t>
        <w:br/>
        <w:t>\frac{u_{i,j,k+1}-u_{i,j,k-1}}{2}.</w:t>
      </w:r>
    </w:p>
    <w:p>
      <w:pPr>
        <w:spacing w:line="360" w:lineRule="auto"/>
        <w:ind w:firstLine="420"/>
      </w:pPr>
      <w:r>
        <w:rPr>
          <w:rFonts w:ascii="宋体" w:hAnsi="宋体" w:eastAsia="宋体"/>
          <w:b w:val="0"/>
          <w:sz w:val="21"/>
        </w:rPr>
        <w:t>边界点缺少一侧邻点时使用单边差分，例如左边界 \(i=0\) 可写为</w:t>
      </w:r>
    </w:p>
    <w:p>
      <w:pPr>
        <w:spacing w:before="60" w:after="60"/>
        <w:jc w:val="center"/>
      </w:pPr>
      <w:r>
        <w:rPr>
          <w:rFonts w:ascii="Times New Roman" w:hAnsi="Times New Roman" w:eastAsia="Times New Roman"/>
          <w:b w:val="0"/>
          <w:sz w:val="21"/>
        </w:rPr>
        <w:t>\left.\frac{\partial u}{\partial \xi}\right|_{0,j,k}</w:t>
        <w:br/>
        <w:t>\approx</w:t>
        <w:br/>
        <w:t>u_{1,j,k}-u_{0,j,k}.</w:t>
      </w:r>
    </w:p>
    <w:p>
      <w:pPr>
        <w:spacing w:line="360" w:lineRule="auto"/>
        <w:ind w:firstLine="420"/>
      </w:pPr>
      <w:r>
        <w:rPr>
          <w:rFonts w:ascii="宋体" w:hAnsi="宋体" w:eastAsia="宋体"/>
          <w:b w:val="0"/>
          <w:sz w:val="21"/>
        </w:rPr>
        <w:t>与此同时，还需要用相同的差分模板估计几何映射导数，构造局部 Jacobian：</w:t>
      </w:r>
    </w:p>
    <w:p>
      <w:pPr>
        <w:spacing w:before="60" w:after="60"/>
        <w:jc w:val="center"/>
      </w:pPr>
      <w:r>
        <w:rPr>
          <w:rFonts w:ascii="Times New Roman" w:hAnsi="Times New Roman" w:eastAsia="Times New Roman"/>
          <w:b w:val="0"/>
          <w:sz w:val="21"/>
        </w:rPr>
        <w:t>\mathbf{J}</w:t>
        <w:br/>
        <w:t>=</w:t>
        <w:br/>
        <w:t>\frac{\partial\boldsymbol{x}}{\partial\boldsymbol{\xi}}</w:t>
        <w:br/>
        <w:t>=</w:t>
        <w:br/>
        <w:t>\begin{bmatrix}</w:t>
        <w:br/>
        <w:t>\dfrac{\partial x}{\partial \xi} &amp; \dfrac{\partial x}{\partial \eta} &amp; \dfrac{\partial x}{\partial \zeta}\\[6pt]</w:t>
        <w:br/>
        <w:t>\dfrac{\partial y}{\partial \xi} &amp; \dfrac{\partial y}{\partial \eta} &amp; \dfrac{\partial y}{\partial \zeta}\\[6pt]</w:t>
        <w:br/>
        <w:t>\dfrac{\partial z}{\partial \xi} &amp; \dfrac{\partial z}{\partial \eta} &amp; \dfrac{\partial z}{\partial \zeta}</w:t>
        <w:br/>
        <w:t>\end{bmatrix}.</w:t>
      </w:r>
    </w:p>
    <w:p>
      <w:pPr>
        <w:spacing w:line="360" w:lineRule="auto"/>
        <w:ind w:firstLine="420"/>
      </w:pPr>
      <w:r>
        <w:rPr>
          <w:rFonts w:ascii="宋体" w:hAnsi="宋体" w:eastAsia="宋体"/>
          <w:b w:val="0"/>
          <w:sz w:val="21"/>
        </w:rPr>
        <w:t>根据链式法则，有</w:t>
      </w:r>
    </w:p>
    <w:p>
      <w:pPr>
        <w:spacing w:before="60" w:after="60"/>
        <w:jc w:val="center"/>
      </w:pPr>
      <w:r>
        <w:rPr>
          <w:rFonts w:ascii="Times New Roman" w:hAnsi="Times New Roman" w:eastAsia="Times New Roman"/>
          <w:b w:val="0"/>
          <w:sz w:val="21"/>
        </w:rPr>
        <w:t>\nabla_{\boldsymbol{\xi}}u</w:t>
        <w:br/>
        <w:t>=</w:t>
        <w:br/>
        <w:t>\mathbf{J}^{T}\nabla_{\boldsymbol{x}}u,</w:t>
      </w:r>
    </w:p>
    <w:p>
      <w:pPr>
        <w:spacing w:line="360" w:lineRule="auto"/>
        <w:ind w:firstLine="420"/>
      </w:pPr>
      <w:r>
        <w:rPr>
          <w:rFonts w:ascii="宋体" w:hAnsi="宋体" w:eastAsia="宋体"/>
          <w:b w:val="0"/>
          <w:sz w:val="21"/>
        </w:rPr>
        <w:t>因此物理空间梯度为</w:t>
      </w:r>
    </w:p>
    <w:p>
      <w:pPr>
        <w:spacing w:before="60" w:after="60"/>
        <w:jc w:val="center"/>
      </w:pPr>
      <w:r>
        <w:rPr>
          <w:rFonts w:ascii="Times New Roman" w:hAnsi="Times New Roman" w:eastAsia="Times New Roman"/>
          <w:b w:val="0"/>
          <w:sz w:val="21"/>
        </w:rPr>
        <w:t>\nabla_{\boldsymbol{x}}u</w:t>
        <w:br/>
        <w:t>=</w:t>
        <w:br/>
        <w:t>\mathbf{J}^{-T}\nabla_{\boldsymbol{\xi}}u.</w:t>
      </w:r>
    </w:p>
    <w:p>
      <w:pPr>
        <w:spacing w:line="360" w:lineRule="auto"/>
        <w:ind w:firstLine="420"/>
      </w:pPr>
      <w:r>
        <w:rPr>
          <w:rFonts w:ascii="宋体" w:hAnsi="宋体" w:eastAsia="宋体"/>
          <w:b w:val="0"/>
          <w:sz w:val="21"/>
        </w:rPr>
        <w:t>若把逆 Jacobian 写成</w:t>
      </w:r>
    </w:p>
    <w:p>
      <w:pPr>
        <w:spacing w:before="60" w:after="60"/>
        <w:jc w:val="center"/>
      </w:pPr>
      <w:r>
        <w:rPr>
          <w:rFonts w:ascii="Times New Roman" w:hAnsi="Times New Roman" w:eastAsia="Times New Roman"/>
          <w:b w:val="0"/>
          <w:sz w:val="21"/>
        </w:rPr>
        <w:t>\mathbf{J}^{-1}</w:t>
        <w:br/>
        <w:t>=</w:t>
        <w:br/>
        <w:t>\frac{\partial\boldsymbol{\xi}}{\partial\boldsymbol{x}}</w:t>
        <w:br/>
        <w:t>=</w:t>
        <w:br/>
        <w:t>\begin{bmatrix}</w:t>
        <w:br/>
        <w:t>\xi_x &amp; \xi_y &amp; \xi_z\\</w:t>
        <w:br/>
        <w:t>\eta_x &amp; \eta_y &amp; \eta_z\\</w:t>
        <w:br/>
        <w:t>\zeta_x &amp; \zeta_y &amp; \zeta_z</w:t>
        <w:br/>
        <w:t>\end{bmatrix},</w:t>
      </w:r>
    </w:p>
    <w:p>
      <w:pPr>
        <w:spacing w:line="360" w:lineRule="auto"/>
        <w:ind w:firstLine="420"/>
      </w:pPr>
      <w:r>
        <w:rPr>
          <w:rFonts w:ascii="宋体" w:hAnsi="宋体" w:eastAsia="宋体"/>
          <w:b w:val="0"/>
          <w:sz w:val="21"/>
        </w:rPr>
        <w:t>则物理空间三个方向的梯度分量可展开为</w:t>
      </w:r>
    </w:p>
    <w:p>
      <w:pPr>
        <w:spacing w:before="60" w:after="60"/>
        <w:jc w:val="center"/>
      </w:pPr>
      <w:r>
        <w:rPr>
          <w:rFonts w:ascii="Times New Roman" w:hAnsi="Times New Roman" w:eastAsia="Times New Roman"/>
          <w:b w:val="0"/>
          <w:sz w:val="21"/>
        </w:rPr>
        <w:t>\begin{aligned}</w:t>
        <w:br/>
        <w:t>u_x &amp;= \xi_x u_{\xi}+\eta_x u_{\eta}+\zeta_x u_{\zeta},\\</w:t>
        <w:br/>
        <w:t>u_y &amp;= \xi_y u_{\xi}+\eta_y u_{\eta}+\zeta_y u_{\zeta},\\</w:t>
        <w:br/>
        <w:t>u_z &amp;= \xi_z u_{\xi}+\eta_z u_{\eta}+\zeta_z u_{\zeta}.</w:t>
        <w:br/>
        <w:t>\end{aligned}</w:t>
      </w:r>
    </w:p>
    <w:p>
      <w:pPr>
        <w:spacing w:line="360" w:lineRule="auto"/>
        <w:ind w:firstLine="420"/>
      </w:pPr>
      <w:r>
        <w:rPr>
          <w:rFonts w:ascii="宋体" w:hAnsi="宋体" w:eastAsia="宋体"/>
          <w:b w:val="0"/>
          <w:sz w:val="21"/>
        </w:rPr>
        <w:t>该展开式也解释了规则网格着色器实现中的两个步骤：先对字段值和样本坐标分别做参数方向差分，构造 \(\nabla_{\boldsymbol{\xi}}u\) 与 \(\mathbf{J}\)；再用 \(\mathbf{J}^{-T}\) 将参数空间导数映射为物理空间梯度。`FD.glsl` 中的 `xix`、`etax`、`zetax` 等变量正对应 \(\xi_x\)、\(\eta_x\)、\(\zeta_x\) 等逆 Jacobian 系数。若物理网格恰好是正交均匀笛卡尔网格，则 \(\mathbf{J}\) 退化为对角尺度矩阵，上式自然退化为常见的 \(\Delta x,\Delta y,\Delta z\) 有限差分公式。</w:t>
      </w:r>
    </w:p>
    <w:p>
      <w:pPr>
        <w:pStyle w:val="Heading2"/>
        <w:spacing w:line="360" w:lineRule="auto"/>
      </w:pPr>
      <w:r>
        <w:rPr>
          <w:rFonts w:ascii="黑体" w:hAnsi="黑体" w:eastAsia="黑体"/>
          <w:b/>
          <w:sz w:val="28"/>
        </w:rPr>
        <w:t>2.6 非结构化网格形函数导数理论</w:t>
      </w:r>
    </w:p>
    <w:p>
      <w:pPr>
        <w:spacing w:line="360" w:lineRule="auto"/>
        <w:ind w:firstLine="420"/>
      </w:pPr>
      <w:r>
        <w:rPr>
          <w:rFonts w:ascii="宋体" w:hAnsi="宋体" w:eastAsia="宋体"/>
          <w:b w:val="0"/>
          <w:sz w:val="21"/>
        </w:rPr>
        <w:t>非结构化网格由不同单元拼接而成，缺少规则索引关系。本文采用基于形函数导数的方法计算其梯度。有限元理论中，单元内部字段通常由节点值和形函数插值表示[9]。对第 \(e\) 个单元，设局部坐标为 \(\boldsymbol{\xi}=(\xi,\eta,\zeta)^T\)，节点数为 \(n_e\)，节点值为 \(u_a\)，形函数为 \(N_a(\boldsymbol{\xi})\)，则单元内字段近似为</w:t>
      </w:r>
    </w:p>
    <w:p>
      <w:pPr>
        <w:spacing w:before="60" w:after="60"/>
        <w:jc w:val="center"/>
      </w:pPr>
      <w:r>
        <w:rPr>
          <w:rFonts w:ascii="Times New Roman" w:hAnsi="Times New Roman" w:eastAsia="Times New Roman"/>
          <w:b w:val="0"/>
          <w:sz w:val="21"/>
        </w:rPr>
        <w:t>u^e(\boldsymbol{\xi})=\sum_{a=1}^{n_e}N_a(\boldsymbol{\xi})u_a.</w:t>
      </w:r>
    </w:p>
    <w:p>
      <w:pPr>
        <w:spacing w:line="360" w:lineRule="auto"/>
        <w:ind w:firstLine="420"/>
      </w:pPr>
      <w:r>
        <w:rPr>
          <w:rFonts w:ascii="宋体" w:hAnsi="宋体" w:eastAsia="宋体"/>
          <w:b w:val="0"/>
          <w:sz w:val="21"/>
        </w:rPr>
        <w:t>物理坐标同样由节点坐标插值得到：</w:t>
      </w:r>
    </w:p>
    <w:p>
      <w:pPr>
        <w:spacing w:before="60" w:after="60"/>
        <w:jc w:val="center"/>
      </w:pPr>
      <w:r>
        <w:rPr>
          <w:rFonts w:ascii="Times New Roman" w:hAnsi="Times New Roman" w:eastAsia="Times New Roman"/>
          <w:b w:val="0"/>
          <w:sz w:val="21"/>
        </w:rPr>
        <w:t>\boldsymbol{x}^e(\boldsymbol{\xi})</w:t>
        <w:br/>
        <w:t>=\sum_{a=1}^{n_e}N_a(\boldsymbol{\xi})\boldsymbol{x}_a.</w:t>
      </w:r>
    </w:p>
    <w:p>
      <w:pPr>
        <w:spacing w:line="360" w:lineRule="auto"/>
        <w:ind w:firstLine="420"/>
      </w:pPr>
      <w:r>
        <w:rPr>
          <w:rFonts w:ascii="宋体" w:hAnsi="宋体" w:eastAsia="宋体"/>
          <w:b w:val="0"/>
          <w:sz w:val="21"/>
        </w:rPr>
        <w:t>局部坐标到物理坐标的 Jacobian 矩阵为</w:t>
      </w:r>
    </w:p>
    <w:p>
      <w:pPr>
        <w:spacing w:before="60" w:after="60"/>
        <w:jc w:val="center"/>
      </w:pPr>
      <w:r>
        <w:rPr>
          <w:rFonts w:ascii="Times New Roman" w:hAnsi="Times New Roman" w:eastAsia="Times New Roman"/>
          <w:b w:val="0"/>
          <w:sz w:val="21"/>
        </w:rPr>
        <w:t>\mathbf{J}</w:t>
        <w:br/>
        <w:t>=</w:t>
        <w:br/>
        <w:t>\frac{\partial \boldsymbol{x}}{\partial \boldsymbol{\xi}}</w:t>
        <w:br/>
        <w:t>=</w:t>
        <w:br/>
        <w:t>\sum_{a=1}^{n_e}\boldsymbol{x}_a</w:t>
        <w:br/>
        <w:t>\left(\nabla_{\boldsymbol{\xi}}N_a\right)^T.</w:t>
      </w:r>
    </w:p>
    <w:p>
      <w:pPr>
        <w:spacing w:line="360" w:lineRule="auto"/>
        <w:ind w:firstLine="420"/>
      </w:pPr>
      <w:r>
        <w:rPr>
          <w:rFonts w:ascii="宋体" w:hAnsi="宋体" w:eastAsia="宋体"/>
          <w:b w:val="0"/>
          <w:sz w:val="21"/>
        </w:rPr>
        <w:t>形函数物理空间导数由链式法则得到：</w:t>
      </w:r>
    </w:p>
    <w:p>
      <w:pPr>
        <w:spacing w:before="60" w:after="60"/>
        <w:jc w:val="center"/>
      </w:pPr>
      <w:r>
        <w:rPr>
          <w:rFonts w:ascii="Times New Roman" w:hAnsi="Times New Roman" w:eastAsia="Times New Roman"/>
          <w:b w:val="0"/>
          <w:sz w:val="21"/>
        </w:rPr>
        <w:t>\nabla_{\boldsymbol{x}}N_a</w:t>
        <w:br/>
        <w:t>=</w:t>
        <w:br/>
        <w:t>\mathbf{J}^{-T}\nabla_{\boldsymbol{\xi}}N_a.</w:t>
      </w:r>
    </w:p>
    <w:p>
      <w:pPr>
        <w:spacing w:line="360" w:lineRule="auto"/>
        <w:ind w:firstLine="420"/>
      </w:pPr>
      <w:r>
        <w:rPr>
          <w:rFonts w:ascii="宋体" w:hAnsi="宋体" w:eastAsia="宋体"/>
          <w:b w:val="0"/>
          <w:sz w:val="21"/>
        </w:rPr>
        <w:t>因此单元内梯度可写为</w:t>
      </w:r>
    </w:p>
    <w:p>
      <w:pPr>
        <w:spacing w:before="60" w:after="60"/>
        <w:jc w:val="center"/>
      </w:pPr>
      <w:r>
        <w:rPr>
          <w:rFonts w:ascii="Times New Roman" w:hAnsi="Times New Roman" w:eastAsia="Times New Roman"/>
          <w:b w:val="0"/>
          <w:sz w:val="21"/>
        </w:rPr>
        <w:t>\nabla_{\boldsymbol{x}}u^e</w:t>
        <w:br/>
        <w:t>=</w:t>
        <w:br/>
        <w:t>\sum_{a=1}^{n_e}u_a\nabla_{\boldsymbol{x}}N_a.</w:t>
      </w:r>
    </w:p>
    <w:p>
      <w:pPr>
        <w:spacing w:line="360" w:lineRule="auto"/>
        <w:ind w:firstLine="420"/>
      </w:pPr>
      <w:r>
        <w:rPr>
          <w:rFonts w:ascii="宋体" w:hAnsi="宋体" w:eastAsia="宋体"/>
          <w:b w:val="0"/>
          <w:sz w:val="21"/>
        </w:rPr>
        <w:t>该组公式采用有限元文献中常见的 \(N_a\)、\(\boldsymbol{\xi}\)、\(\boldsymbol{x}\)、\(\mathbf{J}\) 和 \(\nabla_{\boldsymbol{x}}\) 记法[9][10]，与本文非结构化网格形函数导数路径一致。</w:t>
      </w:r>
    </w:p>
    <w:p>
      <w:pPr>
        <w:pStyle w:val="Heading2"/>
        <w:spacing w:line="360" w:lineRule="auto"/>
      </w:pPr>
      <w:r>
        <w:rPr>
          <w:rFonts w:ascii="黑体" w:hAnsi="黑体" w:eastAsia="黑体"/>
          <w:b/>
          <w:sz w:val="28"/>
        </w:rPr>
        <w:t>2.7 图双边滤波与多尺度融合</w:t>
      </w:r>
    </w:p>
    <w:p>
      <w:pPr>
        <w:spacing w:line="360" w:lineRule="auto"/>
        <w:ind w:firstLine="420"/>
      </w:pPr>
      <w:r>
        <w:rPr>
          <w:rFonts w:ascii="宋体" w:hAnsi="宋体" w:eastAsia="宋体"/>
          <w:b w:val="0"/>
          <w:sz w:val="21"/>
        </w:rPr>
        <w:t>数据优化模块的理论基础来自保边平滑。Tomasi 和 Manduchi 提出的双边滤波同时考虑空间接近性和数值相似性，能够在平滑图像的同时保留边缘[11]。Fleishman 等将类似思想扩展到网格去噪，说明局部邻域滤波可以在几何数据上抑制噪声并保留特征[12]。</w:t>
      </w:r>
    </w:p>
    <w:p>
      <w:pPr>
        <w:spacing w:line="360" w:lineRule="auto"/>
        <w:ind w:firstLine="420"/>
      </w:pPr>
      <w:r>
        <w:rPr>
          <w:rFonts w:ascii="宋体" w:hAnsi="宋体" w:eastAsia="宋体"/>
          <w:b w:val="0"/>
          <w:sz w:val="21"/>
        </w:rPr>
        <w:t>设采样位置 \(i\) 的坐标为 \(\boldsymbol{x}_i\)，字段值为 \(u_i\)，邻域为 \(\mathcal{N}(i)\)。图双边滤波可写为</w:t>
      </w:r>
    </w:p>
    <w:p>
      <w:pPr>
        <w:spacing w:before="60" w:after="60"/>
        <w:jc w:val="center"/>
      </w:pPr>
      <w:r>
        <w:rPr>
          <w:rFonts w:ascii="Times New Roman" w:hAnsi="Times New Roman" w:eastAsia="Times New Roman"/>
          <w:b w:val="0"/>
          <w:sz w:val="21"/>
        </w:rPr>
        <w:t>\tilde{u}_i</w:t>
        <w:br/>
        <w:t>=</w:t>
        <w:br/>
        <w:t>\frac{1}{W_i}</w:t>
        <w:br/>
        <w:t>\sum_{j\in\mathcal{N}(i)}</w:t>
        <w:br/>
        <w:t>w_{ij}u_j,</w:t>
        <w:br/>
        <w:t>\qquad</w:t>
        <w:br/>
        <w:t>W_i=\sum_{j\in\mathcal{N}(i)}w_{ij}.</w:t>
      </w:r>
    </w:p>
    <w:p>
      <w:pPr>
        <w:spacing w:line="360" w:lineRule="auto"/>
        <w:ind w:firstLine="420"/>
      </w:pPr>
      <w:r>
        <w:rPr>
          <w:rFonts w:ascii="宋体" w:hAnsi="宋体" w:eastAsia="宋体"/>
          <w:b w:val="0"/>
          <w:sz w:val="21"/>
        </w:rPr>
        <w:t>权重由空间项和值域项相乘：</w:t>
      </w:r>
    </w:p>
    <w:p>
      <w:pPr>
        <w:spacing w:before="60" w:after="60"/>
        <w:jc w:val="center"/>
      </w:pPr>
      <w:r>
        <w:rPr>
          <w:rFonts w:ascii="Times New Roman" w:hAnsi="Times New Roman" w:eastAsia="Times New Roman"/>
          <w:b w:val="0"/>
          <w:sz w:val="21"/>
        </w:rPr>
        <w:t>w_{ij}</w:t>
        <w:br/>
        <w:t>=</w:t>
        <w:br/>
        <w:t>\exp\left(-\frac{\|\boldsymbol{x}_i-\boldsymbol{x}_j\|^2}{2\sigma_s^2}\right)</w:t>
        <w:br/>
        <w:t>\exp\left(-\frac{(u_i-u_j)^2}{2\sigma_r^2}\right).</w:t>
      </w:r>
    </w:p>
    <w:p>
      <w:pPr>
        <w:spacing w:line="360" w:lineRule="auto"/>
        <w:ind w:firstLine="420"/>
      </w:pPr>
      <w:r>
        <w:rPr>
          <w:rFonts w:ascii="宋体" w:hAnsi="宋体" w:eastAsia="宋体"/>
          <w:b w:val="0"/>
          <w:sz w:val="21"/>
        </w:rPr>
        <w:t>其中 \(\sigma_s\) 控制空间邻近尺度，\(\sigma_r\) 控制字段值差异尺度。多尺度融合可写为</w:t>
      </w:r>
    </w:p>
    <w:p>
      <w:pPr>
        <w:spacing w:before="60" w:after="60"/>
        <w:jc w:val="center"/>
      </w:pPr>
      <w:r>
        <w:rPr>
          <w:rFonts w:ascii="Times New Roman" w:hAnsi="Times New Roman" w:eastAsia="Times New Roman"/>
          <w:b w:val="0"/>
          <w:sz w:val="21"/>
        </w:rPr>
        <w:t>u^{(0)}=u,\qquad</w:t>
        <w:br/>
        <w:t>u^{(\ell+1)}=B_{\sigma_s^{(\ell)},\sigma_r}\left(u^{(\ell)}\right),</w:t>
      </w:r>
    </w:p>
    <w:p>
      <w:pPr>
        <w:spacing w:before="60" w:after="60"/>
        <w:jc w:val="center"/>
      </w:pPr>
      <w:r>
        <w:rPr>
          <w:rFonts w:ascii="Times New Roman" w:hAnsi="Times New Roman" w:eastAsia="Times New Roman"/>
          <w:b w:val="0"/>
          <w:sz w:val="21"/>
        </w:rPr>
        <w:t>d^{(\ell)}=u^{(\ell)}-u^{(\ell+1)},\qquad</w:t>
        <w:br/>
        <w:t>\hat{u}=u^{(L)}+\sum_{\ell=0}^{L-1}\alpha_\ell d^{(\ell)}.</w:t>
      </w:r>
    </w:p>
    <w:p>
      <w:pPr>
        <w:spacing w:line="360" w:lineRule="auto"/>
        <w:ind w:firstLine="420"/>
      </w:pPr>
      <w:r>
        <w:rPr>
          <w:rFonts w:ascii="宋体" w:hAnsi="宋体" w:eastAsia="宋体"/>
          <w:b w:val="0"/>
          <w:sz w:val="21"/>
        </w:rPr>
        <w:t>其中 \(B\) 表示双边滤波算子，\(d^{(\ell)}\) 表示第 \(\ell\) 层细节，\(\alpha_\ell\) 表示细节回注权重。本文实验只使用高斯扰动代理局部随机高频扰动，不将该模块扩展为通用异常值处理。</w:t>
      </w:r>
    </w:p>
    <w:p>
      <w:pPr>
        <w:pStyle w:val="Heading2"/>
        <w:spacing w:line="360" w:lineRule="auto"/>
      </w:pPr>
      <w:r>
        <w:rPr>
          <w:rFonts w:ascii="黑体" w:hAnsi="黑体" w:eastAsia="黑体"/>
          <w:b/>
          <w:sz w:val="28"/>
        </w:rPr>
        <w:t>2.8 实验评价指标</w:t>
      </w:r>
    </w:p>
    <w:p>
      <w:pPr>
        <w:spacing w:line="360" w:lineRule="auto"/>
        <w:ind w:firstLine="420"/>
      </w:pPr>
      <w:r>
        <w:rPr>
          <w:rFonts w:ascii="宋体" w:hAnsi="宋体" w:eastAsia="宋体"/>
          <w:b w:val="0"/>
          <w:sz w:val="21"/>
        </w:rPr>
        <w:t>解析场实验使用平均相对误差。设系统结果为 \(g_i\)，参考结果为 \(g_i^\ast\)，样本数为 \(n\)，则可写为</w:t>
      </w:r>
    </w:p>
    <w:p>
      <w:pPr>
        <w:spacing w:before="60" w:after="60"/>
        <w:jc w:val="center"/>
      </w:pPr>
      <w:r>
        <w:rPr>
          <w:rFonts w:ascii="Times New Roman" w:hAnsi="Times New Roman" w:eastAsia="Times New Roman"/>
          <w:b w:val="0"/>
          <w:sz w:val="21"/>
        </w:rPr>
        <w:t>E_{\mathrm{rel}}</w:t>
        <w:br/>
        <w:t>=</w:t>
        <w:br/>
        <w:t>\frac{1}{n}\sum_{i=1}^{n}</w:t>
        <w:br/>
        <w:t>\frac{\|g_i-g_i^\ast\|_2}{\|g_i^\ast\|_2+\varepsilon},</w:t>
      </w:r>
    </w:p>
    <w:p>
      <w:pPr>
        <w:spacing w:line="360" w:lineRule="auto"/>
        <w:ind w:firstLine="420"/>
      </w:pPr>
      <w:r>
        <w:rPr>
          <w:rFonts w:ascii="宋体" w:hAnsi="宋体" w:eastAsia="宋体"/>
          <w:b w:val="0"/>
          <w:sz w:val="21"/>
        </w:rPr>
        <w:t>其中 \(\varepsilon\) 为防止分母为零的稳定项。时间实验使用加速比：</w:t>
      </w:r>
    </w:p>
    <w:p>
      <w:pPr>
        <w:spacing w:before="60" w:after="60"/>
        <w:jc w:val="center"/>
      </w:pPr>
      <w:r>
        <w:rPr>
          <w:rFonts w:ascii="Times New Roman" w:hAnsi="Times New Roman" w:eastAsia="Times New Roman"/>
          <w:b w:val="0"/>
          <w:sz w:val="21"/>
        </w:rPr>
        <w:t>S_{\mathrm{VTK}}</w:t>
        <w:br/>
        <w:t>=</w:t>
        <w:br/>
        <w:t>\frac{T_{\mathrm{VTK}}}{T_{\mathrm{sys}}},</w:t>
      </w:r>
    </w:p>
    <w:p>
      <w:pPr>
        <w:spacing w:line="360" w:lineRule="auto"/>
        <w:ind w:firstLine="420"/>
      </w:pPr>
      <w:r>
        <w:rPr>
          <w:rFonts w:ascii="宋体" w:hAnsi="宋体" w:eastAsia="宋体"/>
          <w:b w:val="0"/>
          <w:sz w:val="21"/>
        </w:rPr>
        <w:t>其中 \(T_{\mathrm{VTK}}\) 为 VTK 并行时间，\(T_{\mathrm{sys}}\) 为系统总时间。数据优化实验使用改进比：</w:t>
      </w:r>
    </w:p>
    <w:p>
      <w:pPr>
        <w:spacing w:before="60" w:after="60"/>
        <w:jc w:val="center"/>
      </w:pPr>
      <w:r>
        <w:rPr>
          <w:rFonts w:ascii="Times New Roman" w:hAnsi="Times New Roman" w:eastAsia="Times New Roman"/>
          <w:b w:val="0"/>
          <w:sz w:val="21"/>
        </w:rPr>
        <w:t>R_{\mathrm{imp}}</w:t>
        <w:br/>
        <w:t>=</w:t>
        <w:br/>
        <w:t>\frac{E_{\mathrm{after}}}{E_{\mathrm{before}}}.</w:t>
      </w:r>
    </w:p>
    <w:p>
      <w:pPr>
        <w:spacing w:line="360" w:lineRule="auto"/>
        <w:ind w:firstLine="420"/>
      </w:pPr>
      <w:r>
        <w:rPr>
          <w:rFonts w:ascii="宋体" w:hAnsi="宋体" w:eastAsia="宋体"/>
          <w:b w:val="0"/>
          <w:sz w:val="21"/>
        </w:rPr>
        <w:t>当 \(R_{\mathrm{imp}}&lt;1\) 时，表示优化后误差低于输入误差。</w:t>
      </w:r>
    </w:p>
    <w:p>
      <w:pPr>
        <w:pStyle w:val="Heading2"/>
        <w:spacing w:line="360" w:lineRule="auto"/>
      </w:pPr>
      <w:r>
        <w:rPr>
          <w:rFonts w:ascii="黑体" w:hAnsi="黑体" w:eastAsia="黑体"/>
          <w:b/>
          <w:sz w:val="28"/>
        </w:rPr>
        <w:t>2.9 本章参考文献</w:t>
      </w:r>
    </w:p>
    <w:p>
      <w:pPr>
        <w:spacing w:line="360" w:lineRule="auto"/>
        <w:ind w:firstLine="420"/>
      </w:pPr>
      <w:r>
        <w:rPr>
          <w:rFonts w:ascii="宋体" w:hAnsi="宋体" w:eastAsia="宋体"/>
          <w:b w:val="0"/>
          <w:sz w:val="21"/>
        </w:rPr>
        <w:t>本章引用文献：[1]、[2]、[3]、[4]、[6]、[8]、[9]、[10]、[11]、[12]、[25]、[26]。</w:t>
      </w:r>
    </w:p>
    <w:p>
      <w:r>
        <w:br w:type="page"/>
      </w:r>
    </w:p>
    <w:p>
      <w:pPr>
        <w:pStyle w:val="Heading1"/>
        <w:spacing w:line="360" w:lineRule="auto"/>
        <w:jc w:val="center"/>
      </w:pPr>
      <w:r>
        <w:rPr>
          <w:rFonts w:ascii="黑体" w:hAnsi="黑体" w:eastAsia="黑体"/>
          <w:b/>
          <w:sz w:val="32"/>
        </w:rPr>
        <w:t>第三章 系统需求分析与总体设计</w:t>
      </w:r>
    </w:p>
    <w:p>
      <w:pPr>
        <w:pStyle w:val="Heading2"/>
        <w:spacing w:line="360" w:lineRule="auto"/>
      </w:pPr>
      <w:r>
        <w:rPr>
          <w:rFonts w:ascii="黑体" w:hAnsi="黑体" w:eastAsia="黑体"/>
          <w:b/>
          <w:sz w:val="28"/>
        </w:rPr>
        <w:t>3.1 需求分析概述</w:t>
      </w:r>
    </w:p>
    <w:p>
      <w:pPr>
        <w:spacing w:line="360" w:lineRule="auto"/>
        <w:ind w:firstLine="420"/>
      </w:pPr>
      <w:r>
        <w:rPr>
          <w:rFonts w:ascii="宋体" w:hAnsi="宋体" w:eastAsia="宋体"/>
          <w:b w:val="0"/>
          <w:sz w:val="21"/>
        </w:rPr>
        <w:t>本文系统面向 CAE 后处理阶段的数据预处理任务，核心需求不是提供完整可视分析平台，而是形成一条从 VTK 数据读入、内部数据转换、GPU 计算、结果写回到 VTK 导出的闭环流程。需求分析围绕数据输入、内部表示、梯度计算、数据优化、结果导出和实验复现展开，后续总体架构、算法实现和实验设计均与这些需求对应。</w:t>
      </w:r>
    </w:p>
    <w:p>
      <w:pPr>
        <w:pStyle w:val="Heading2"/>
        <w:spacing w:line="360" w:lineRule="auto"/>
      </w:pPr>
      <w:r>
        <w:rPr>
          <w:rFonts w:ascii="黑体" w:hAnsi="黑体" w:eastAsia="黑体"/>
          <w:b/>
          <w:sz w:val="28"/>
        </w:rPr>
        <w:t>3.2 功能需求</w:t>
      </w:r>
    </w:p>
    <w:p>
      <w:pPr>
        <w:spacing w:line="360" w:lineRule="auto"/>
        <w:ind w:firstLine="420"/>
      </w:pPr>
      <w:r>
        <w:rPr>
          <w:rFonts w:ascii="宋体" w:hAnsi="宋体" w:eastAsia="宋体"/>
          <w:b w:val="0"/>
          <w:sz w:val="21"/>
        </w:rPr>
        <w:t>系统功能需求包括五类。第一，数据加载需求。系统应能读取 VTK 格式数据，获得点坐标、单元连接、单元类型、点数据和单元数据。第二，数据转换需求。系统应能把 VTK 数据转换为统一内部数据对象，使规则网格和非结构化网格都能进入同一处理框架。第三，梯度计算需求。系统应根据网格类型选择规则网格有限差分或非结构化网格形函数导数方法。第四，数据优化需求。系统应能针对局部随机高频数值扰动执行平滑与边缘保持处理。第五，结果导出需求。系统应能将派生字段写回数据对象并导出为 VTK 文件。</w:t>
      </w:r>
    </w:p>
    <w:tbl>
      <w:tblPr>
        <w:tblStyle w:val="TableGrid"/>
        <w:tblW w:type="auto" w:w="0"/>
        <w:tblLook w:firstColumn="1" w:firstRow="1" w:lastColumn="0" w:lastRow="0" w:noHBand="0" w:noVBand="1" w:val="04A0"/>
      </w:tblPr>
      <w:tblGrid>
        <w:gridCol w:w="3022"/>
        <w:gridCol w:w="3022"/>
        <w:gridCol w:w="3022"/>
      </w:tblGrid>
      <w:tr>
        <w:tc>
          <w:tcPr>
            <w:tcW w:type="dxa" w:w="3022"/>
          </w:tcPr>
          <w:p>
            <w:pPr>
              <w:jc w:val="center"/>
            </w:pPr>
            <w:r/>
            <w:r>
              <w:rPr>
                <w:rFonts w:ascii="宋体" w:hAnsi="宋体" w:eastAsia="宋体"/>
                <w:b/>
                <w:sz w:val="21"/>
              </w:rPr>
              <w:t>需求类别</w:t>
            </w:r>
          </w:p>
        </w:tc>
        <w:tc>
          <w:tcPr>
            <w:tcW w:type="dxa" w:w="3022"/>
          </w:tcPr>
          <w:p>
            <w:pPr>
              <w:jc w:val="center"/>
            </w:pPr>
            <w:r/>
            <w:r>
              <w:rPr>
                <w:rFonts w:ascii="宋体" w:hAnsi="宋体" w:eastAsia="宋体"/>
                <w:b/>
                <w:sz w:val="21"/>
              </w:rPr>
              <w:t>具体内容</w:t>
            </w:r>
          </w:p>
        </w:tc>
        <w:tc>
          <w:tcPr>
            <w:tcW w:type="dxa" w:w="3022"/>
          </w:tcPr>
          <w:p>
            <w:pPr>
              <w:jc w:val="center"/>
            </w:pPr>
            <w:r/>
            <w:r>
              <w:rPr>
                <w:rFonts w:ascii="宋体" w:hAnsi="宋体" w:eastAsia="宋体"/>
                <w:b/>
                <w:sz w:val="21"/>
              </w:rPr>
              <w:t>对应章节</w:t>
            </w:r>
          </w:p>
        </w:tc>
      </w:tr>
      <w:tr>
        <w:tc>
          <w:tcPr>
            <w:tcW w:type="dxa" w:w="3022"/>
          </w:tcPr>
          <w:p>
            <w:pPr>
              <w:jc w:val="center"/>
            </w:pPr>
            <w:r/>
            <w:r>
              <w:rPr>
                <w:rFonts w:ascii="宋体" w:hAnsi="宋体" w:eastAsia="宋体"/>
                <w:b w:val="0"/>
                <w:sz w:val="20"/>
              </w:rPr>
              <w:t>数据加载</w:t>
            </w:r>
          </w:p>
        </w:tc>
        <w:tc>
          <w:tcPr>
            <w:tcW w:type="dxa" w:w="3022"/>
          </w:tcPr>
          <w:p>
            <w:pPr>
              <w:jc w:val="center"/>
            </w:pPr>
            <w:r/>
            <w:r>
              <w:rPr>
                <w:rFonts w:ascii="宋体" w:hAnsi="宋体" w:eastAsia="宋体"/>
                <w:b w:val="0"/>
                <w:sz w:val="20"/>
              </w:rPr>
              <w:t>读取 VTK 文件，提取点、单元和字段</w:t>
            </w:r>
          </w:p>
        </w:tc>
        <w:tc>
          <w:tcPr>
            <w:tcW w:type="dxa" w:w="3022"/>
          </w:tcPr>
          <w:p>
            <w:pPr>
              <w:jc w:val="center"/>
            </w:pPr>
            <w:r/>
            <w:r>
              <w:rPr>
                <w:rFonts w:ascii="宋体" w:hAnsi="宋体" w:eastAsia="宋体"/>
                <w:b w:val="0"/>
                <w:sz w:val="20"/>
              </w:rPr>
              <w:t>第三章、第四章</w:t>
            </w:r>
          </w:p>
        </w:tc>
      </w:tr>
      <w:tr>
        <w:tc>
          <w:tcPr>
            <w:tcW w:type="dxa" w:w="3022"/>
          </w:tcPr>
          <w:p>
            <w:pPr>
              <w:jc w:val="center"/>
            </w:pPr>
            <w:r/>
            <w:r>
              <w:rPr>
                <w:rFonts w:ascii="宋体" w:hAnsi="宋体" w:eastAsia="宋体"/>
                <w:b w:val="0"/>
                <w:sz w:val="20"/>
              </w:rPr>
              <w:t>梯度计算</w:t>
            </w:r>
          </w:p>
        </w:tc>
        <w:tc>
          <w:tcPr>
            <w:tcW w:type="dxa" w:w="3022"/>
          </w:tcPr>
          <w:p>
            <w:pPr>
              <w:jc w:val="center"/>
            </w:pPr>
            <w:r/>
            <w:r>
              <w:rPr>
                <w:rFonts w:ascii="宋体" w:hAnsi="宋体" w:eastAsia="宋体"/>
                <w:b w:val="0"/>
                <w:sz w:val="20"/>
              </w:rPr>
              <w:t>规则网格有限差分，非结构化网格形函数导数</w:t>
            </w:r>
          </w:p>
        </w:tc>
        <w:tc>
          <w:tcPr>
            <w:tcW w:type="dxa" w:w="3022"/>
          </w:tcPr>
          <w:p>
            <w:pPr>
              <w:jc w:val="center"/>
            </w:pPr>
            <w:r/>
            <w:r>
              <w:rPr>
                <w:rFonts w:ascii="宋体" w:hAnsi="宋体" w:eastAsia="宋体"/>
                <w:b w:val="0"/>
                <w:sz w:val="20"/>
              </w:rPr>
              <w:t>第四章、第五章</w:t>
            </w:r>
          </w:p>
        </w:tc>
      </w:tr>
      <w:tr>
        <w:tc>
          <w:tcPr>
            <w:tcW w:type="dxa" w:w="3022"/>
          </w:tcPr>
          <w:p>
            <w:pPr>
              <w:jc w:val="center"/>
            </w:pPr>
            <w:r/>
            <w:r>
              <w:rPr>
                <w:rFonts w:ascii="宋体" w:hAnsi="宋体" w:eastAsia="宋体"/>
                <w:b w:val="0"/>
                <w:sz w:val="20"/>
              </w:rPr>
              <w:t>数据优化</w:t>
            </w:r>
          </w:p>
        </w:tc>
        <w:tc>
          <w:tcPr>
            <w:tcW w:type="dxa" w:w="3022"/>
          </w:tcPr>
          <w:p>
            <w:pPr>
              <w:jc w:val="center"/>
            </w:pPr>
            <w:r/>
            <w:r>
              <w:rPr>
                <w:rFonts w:ascii="宋体" w:hAnsi="宋体" w:eastAsia="宋体"/>
                <w:b w:val="0"/>
                <w:sz w:val="20"/>
              </w:rPr>
              <w:t>高斯扰动代理下的局部高频扰动抑制</w:t>
            </w:r>
          </w:p>
        </w:tc>
        <w:tc>
          <w:tcPr>
            <w:tcW w:type="dxa" w:w="3022"/>
          </w:tcPr>
          <w:p>
            <w:pPr>
              <w:jc w:val="center"/>
            </w:pPr>
            <w:r/>
            <w:r>
              <w:rPr>
                <w:rFonts w:ascii="宋体" w:hAnsi="宋体" w:eastAsia="宋体"/>
                <w:b w:val="0"/>
                <w:sz w:val="20"/>
              </w:rPr>
              <w:t>第四章、第五章</w:t>
            </w:r>
          </w:p>
        </w:tc>
      </w:tr>
      <w:tr>
        <w:tc>
          <w:tcPr>
            <w:tcW w:type="dxa" w:w="3022"/>
          </w:tcPr>
          <w:p>
            <w:pPr>
              <w:jc w:val="center"/>
            </w:pPr>
            <w:r/>
            <w:r>
              <w:rPr>
                <w:rFonts w:ascii="宋体" w:hAnsi="宋体" w:eastAsia="宋体"/>
                <w:b w:val="0"/>
                <w:sz w:val="20"/>
              </w:rPr>
              <w:t>结果导出</w:t>
            </w:r>
          </w:p>
        </w:tc>
        <w:tc>
          <w:tcPr>
            <w:tcW w:type="dxa" w:w="3022"/>
          </w:tcPr>
          <w:p>
            <w:pPr>
              <w:jc w:val="center"/>
            </w:pPr>
            <w:r/>
            <w:r>
              <w:rPr>
                <w:rFonts w:ascii="宋体" w:hAnsi="宋体" w:eastAsia="宋体"/>
                <w:b w:val="0"/>
                <w:sz w:val="20"/>
              </w:rPr>
              <w:t>写回字段并导出 VTK</w:t>
            </w:r>
          </w:p>
        </w:tc>
        <w:tc>
          <w:tcPr>
            <w:tcW w:type="dxa" w:w="3022"/>
          </w:tcPr>
          <w:p>
            <w:pPr>
              <w:jc w:val="center"/>
            </w:pPr>
            <w:r/>
            <w:r>
              <w:rPr>
                <w:rFonts w:ascii="宋体" w:hAnsi="宋体" w:eastAsia="宋体"/>
                <w:b w:val="0"/>
                <w:sz w:val="20"/>
              </w:rPr>
              <w:t>第三章、第四章</w:t>
            </w:r>
          </w:p>
        </w:tc>
      </w:tr>
      <w:tr>
        <w:tc>
          <w:tcPr>
            <w:tcW w:type="dxa" w:w="3022"/>
          </w:tcPr>
          <w:p>
            <w:pPr>
              <w:jc w:val="center"/>
            </w:pPr>
            <w:r/>
            <w:r>
              <w:rPr>
                <w:rFonts w:ascii="宋体" w:hAnsi="宋体" w:eastAsia="宋体"/>
                <w:b w:val="0"/>
                <w:sz w:val="20"/>
              </w:rPr>
              <w:t>实验复现</w:t>
            </w:r>
          </w:p>
        </w:tc>
        <w:tc>
          <w:tcPr>
            <w:tcW w:type="dxa" w:w="3022"/>
          </w:tcPr>
          <w:p>
            <w:pPr>
              <w:jc w:val="center"/>
            </w:pPr>
            <w:r/>
            <w:r>
              <w:rPr>
                <w:rFonts w:ascii="宋体" w:hAnsi="宋体" w:eastAsia="宋体"/>
                <w:b w:val="0"/>
                <w:sz w:val="20"/>
              </w:rPr>
              <w:t>输出解析场、VTK 对照、时间和优化结果</w:t>
            </w:r>
          </w:p>
        </w:tc>
        <w:tc>
          <w:tcPr>
            <w:tcW w:type="dxa" w:w="3022"/>
          </w:tcPr>
          <w:p>
            <w:pPr>
              <w:jc w:val="center"/>
            </w:pPr>
            <w:r/>
            <w:r>
              <w:rPr>
                <w:rFonts w:ascii="宋体" w:hAnsi="宋体" w:eastAsia="宋体"/>
                <w:b w:val="0"/>
                <w:sz w:val="20"/>
              </w:rPr>
              <w:t>第五章</w:t>
            </w:r>
          </w:p>
        </w:tc>
      </w:tr>
    </w:tbl>
    <w:p>
      <w:pPr>
        <w:pStyle w:val="Heading2"/>
        <w:spacing w:line="360" w:lineRule="auto"/>
      </w:pPr>
      <w:r>
        <w:rPr>
          <w:rFonts w:ascii="黑体" w:hAnsi="黑体" w:eastAsia="黑体"/>
          <w:b/>
          <w:sz w:val="28"/>
        </w:rPr>
        <w:t>3.3 非功能需求</w:t>
      </w:r>
    </w:p>
    <w:p>
      <w:pPr>
        <w:spacing w:line="360" w:lineRule="auto"/>
        <w:ind w:firstLine="420"/>
      </w:pPr>
      <w:r>
        <w:rPr>
          <w:rFonts w:ascii="宋体" w:hAnsi="宋体" w:eastAsia="宋体"/>
          <w:b w:val="0"/>
          <w:sz w:val="21"/>
        </w:rPr>
        <w:t>非功能需求主要包括可复现性、可扩展性、性能和口径一致性。可复现性要求实验程序能够重复生成论文中的表格数据。可扩展性要求内部数据结构能够继续支持更多字段和更多单元类型。性能要求核心计算尽可能利用 GPU 并行能力，并在实验中与 VTK 并行时间进行对照。口径一致性要求 GUI、测试程序和论文描述使用同一底层逻辑，避免演示功能与实验功能不一致。</w:t>
      </w:r>
    </w:p>
    <w:p>
      <w:pPr>
        <w:pStyle w:val="Heading2"/>
        <w:spacing w:line="360" w:lineRule="auto"/>
      </w:pPr>
      <w:r>
        <w:rPr>
          <w:rFonts w:ascii="黑体" w:hAnsi="黑体" w:eastAsia="黑体"/>
          <w:b/>
          <w:sz w:val="28"/>
        </w:rPr>
        <w:t>3.4 总体架构</w:t>
      </w:r>
    </w:p>
    <w:p>
      <w:pPr>
        <w:jc w:val="center"/>
      </w:pPr>
      <w:r>
        <w:drawing>
          <wp:inline xmlns:a="http://schemas.openxmlformats.org/drawingml/2006/main" xmlns:pic="http://schemas.openxmlformats.org/drawingml/2006/picture">
            <wp:extent cx="5472000" cy="3233455"/>
            <wp:docPr id="4" name="Picture 4"/>
            <wp:cNvGraphicFramePr>
              <a:graphicFrameLocks noChangeAspect="1"/>
            </wp:cNvGraphicFramePr>
            <a:graphic>
              <a:graphicData uri="http://schemas.openxmlformats.org/drawingml/2006/picture">
                <pic:pic>
                  <pic:nvPicPr>
                    <pic:cNvPr id="0" name="fig_3_1_system_architecture.png"/>
                    <pic:cNvPicPr/>
                  </pic:nvPicPr>
                  <pic:blipFill>
                    <a:blip r:embed="rId12"/>
                    <a:stretch>
                      <a:fillRect/>
                    </a:stretch>
                  </pic:blipFill>
                  <pic:spPr>
                    <a:xfrm>
                      <a:off x="0" y="0"/>
                      <a:ext cx="5472000" cy="3233455"/>
                    </a:xfrm>
                    <a:prstGeom prst="rect"/>
                  </pic:spPr>
                </pic:pic>
              </a:graphicData>
            </a:graphic>
          </wp:inline>
        </w:drawing>
      </w:r>
    </w:p>
    <w:p>
      <w:pPr>
        <w:spacing w:line="360" w:lineRule="auto"/>
        <w:ind w:firstLine="420"/>
      </w:pPr>
      <w:r>
        <w:rPr>
          <w:rFonts w:ascii="宋体" w:hAnsi="宋体" w:eastAsia="宋体"/>
          <w:b w:val="0"/>
          <w:sz w:val="21"/>
        </w:rPr>
        <w:t>图 3-1 展示系统总体架构。该结构对应工程型论文中常见的分层设计写法[19][21]：界面与实验层负责操作入口，门面层负责业务调度，数据层负责结构转换，OpenGL 计算层负责核心算法。</w:t>
      </w:r>
    </w:p>
    <w:p>
      <w:pPr>
        <w:pStyle w:val="Heading2"/>
        <w:spacing w:line="360" w:lineRule="auto"/>
      </w:pPr>
      <w:r>
        <w:rPr>
          <w:rFonts w:ascii="黑体" w:hAnsi="黑体" w:eastAsia="黑体"/>
          <w:b/>
          <w:sz w:val="28"/>
        </w:rPr>
        <w:t>3.5 内部数据对象设计</w:t>
      </w:r>
    </w:p>
    <w:p>
      <w:pPr>
        <w:spacing w:line="360" w:lineRule="auto"/>
        <w:ind w:firstLine="420"/>
      </w:pPr>
      <w:r>
        <w:rPr>
          <w:rFonts w:ascii="宋体" w:hAnsi="宋体" w:eastAsia="宋体"/>
          <w:b w:val="0"/>
          <w:sz w:val="21"/>
        </w:rPr>
        <w:t>内部数据对象需要同时适配 CPU 管理和 GPU 访问。点坐标保存为连续浮点数组，单元连接保存为索引数组，单元偏移用于确定每个单元包含的点范围，单元类型用于区分三角形、四边形、四面体和六面体等类型。字段数组保存字段名、分量数、关联方式和扁平数据。</w:t>
      </w:r>
    </w:p>
    <w:p>
      <w:pPr>
        <w:spacing w:line="360" w:lineRule="auto"/>
        <w:ind w:firstLine="420"/>
      </w:pPr>
      <w:r>
        <w:rPr>
          <w:rFonts w:ascii="宋体" w:hAnsi="宋体" w:eastAsia="宋体"/>
          <w:b w:val="0"/>
          <w:sz w:val="21"/>
        </w:rPr>
        <w:t>设字段 \(u\) 有 \(m\) 个分量，点数据数组可表示为</w:t>
      </w:r>
    </w:p>
    <w:p>
      <w:pPr>
        <w:spacing w:before="60" w:after="60"/>
        <w:jc w:val="center"/>
      </w:pPr>
      <w:r>
        <w:rPr>
          <w:rFonts w:ascii="Times New Roman" w:hAnsi="Times New Roman" w:eastAsia="Times New Roman"/>
          <w:b w:val="0"/>
          <w:sz w:val="21"/>
        </w:rPr>
        <w:t>\mathbf{U}_{p}\in\mathbb{R}^{n_p\times m},</w:t>
      </w:r>
    </w:p>
    <w:p>
      <w:pPr>
        <w:spacing w:line="360" w:lineRule="auto"/>
        <w:ind w:firstLine="420"/>
      </w:pPr>
      <w:r>
        <w:rPr>
          <w:rFonts w:ascii="宋体" w:hAnsi="宋体" w:eastAsia="宋体"/>
          <w:b w:val="0"/>
          <w:sz w:val="21"/>
        </w:rPr>
        <w:t>单元数据数组可表示为</w:t>
      </w:r>
    </w:p>
    <w:p>
      <w:pPr>
        <w:spacing w:before="60" w:after="60"/>
        <w:jc w:val="center"/>
      </w:pPr>
      <w:r>
        <w:rPr>
          <w:rFonts w:ascii="Times New Roman" w:hAnsi="Times New Roman" w:eastAsia="Times New Roman"/>
          <w:b w:val="0"/>
          <w:sz w:val="21"/>
        </w:rPr>
        <w:t>\mathbf{U}_{c}\in\mathbb{R}^{n_c\times m}.</w:t>
      </w:r>
    </w:p>
    <w:p>
      <w:pPr>
        <w:spacing w:line="360" w:lineRule="auto"/>
        <w:ind w:firstLine="420"/>
      </w:pPr>
      <w:r>
        <w:rPr>
          <w:rFonts w:ascii="宋体" w:hAnsi="宋体" w:eastAsia="宋体"/>
          <w:b w:val="0"/>
          <w:sz w:val="21"/>
        </w:rPr>
        <w:t>梯度输出对应为</w:t>
      </w:r>
    </w:p>
    <w:p>
      <w:pPr>
        <w:spacing w:before="60" w:after="60"/>
        <w:jc w:val="center"/>
      </w:pPr>
      <w:r>
        <w:rPr>
          <w:rFonts w:ascii="Times New Roman" w:hAnsi="Times New Roman" w:eastAsia="Times New Roman"/>
          <w:b w:val="0"/>
          <w:sz w:val="21"/>
        </w:rPr>
        <w:t>\nabla \mathbf{U}_{p}\in\mathbb{R}^{n_p\times 3m},\qquad</w:t>
        <w:br/>
        <w:t>\nabla \mathbf{U}_{c}\in\mathbb{R}^{n_c\times 3m}.</w:t>
      </w:r>
    </w:p>
    <w:p>
      <w:pPr>
        <w:spacing w:line="360" w:lineRule="auto"/>
        <w:ind w:firstLine="420"/>
      </w:pPr>
      <w:r>
        <w:rPr>
          <w:rFonts w:ascii="宋体" w:hAnsi="宋体" w:eastAsia="宋体"/>
          <w:b w:val="0"/>
          <w:sz w:val="21"/>
        </w:rPr>
        <w:t>这一表示与 vtkGradientFilter 的输出分量组织保持一致[3]，也便于导出后在 ParaView 中观察。</w:t>
      </w:r>
    </w:p>
    <w:p>
      <w:pPr>
        <w:pStyle w:val="Heading2"/>
        <w:spacing w:line="360" w:lineRule="auto"/>
      </w:pPr>
      <w:r>
        <w:rPr>
          <w:rFonts w:ascii="黑体" w:hAnsi="黑体" w:eastAsia="黑体"/>
          <w:b/>
          <w:sz w:val="28"/>
        </w:rPr>
        <w:t>3.6 门面层设计</w:t>
      </w:r>
    </w:p>
    <w:p>
      <w:pPr>
        <w:spacing w:line="360" w:lineRule="auto"/>
        <w:ind w:firstLine="420"/>
      </w:pPr>
      <w:r>
        <w:rPr>
          <w:rFonts w:ascii="宋体" w:hAnsi="宋体" w:eastAsia="宋体"/>
          <w:b w:val="0"/>
          <w:sz w:val="21"/>
        </w:rPr>
        <w:t>门面层承担统一调度职责。加载数据时，它调用转换模块生成内部数据对象并保存数据集记录。执行梯度计算时，它检查字段是否存在，再根据网格类型选择有限差分或形函数导数。执行数据优化时，它读取字段和邻域图，调用滤波与融合引擎。计算结束后，门面层统一记录结果字段名、源字段、字段关联方式、输出分量数和时间信息。</w:t>
      </w:r>
    </w:p>
    <w:p>
      <w:pPr>
        <w:pStyle w:val="Heading2"/>
        <w:spacing w:line="360" w:lineRule="auto"/>
      </w:pPr>
      <w:r>
        <w:rPr>
          <w:rFonts w:ascii="黑体" w:hAnsi="黑体" w:eastAsia="黑体"/>
          <w:b/>
          <w:sz w:val="28"/>
        </w:rPr>
        <w:t>3.7 GUI 与测试程序设计</w:t>
      </w:r>
    </w:p>
    <w:p>
      <w:pPr>
        <w:spacing w:line="360" w:lineRule="auto"/>
        <w:ind w:firstLine="420"/>
      </w:pPr>
      <w:r>
        <w:rPr>
          <w:rFonts w:ascii="宋体" w:hAnsi="宋体" w:eastAsia="宋体"/>
          <w:b w:val="0"/>
          <w:sz w:val="21"/>
        </w:rPr>
        <w:t>GUI 主要用于演示和基础操作，包括打开 VTK 文件、选择字段、执行梯度计算、执行数据优化和导出结果。测试程序主要用于生成实验数据，包括解析场验证、VTK 一致性对比、时间对比和数据优化实验。两者共享同一底层接口，保证论文表格与系统演示使用同一实现路径。</w:t>
      </w:r>
    </w:p>
    <w:p>
      <w:pPr>
        <w:pStyle w:val="Heading2"/>
        <w:spacing w:line="360" w:lineRule="auto"/>
      </w:pPr>
      <w:r>
        <w:rPr>
          <w:rFonts w:ascii="黑体" w:hAnsi="黑体" w:eastAsia="黑体"/>
          <w:b/>
          <w:sz w:val="28"/>
        </w:rPr>
        <w:t>3.8 本章参考文献</w:t>
      </w:r>
    </w:p>
    <w:p>
      <w:pPr>
        <w:spacing w:line="360" w:lineRule="auto"/>
        <w:ind w:firstLine="420"/>
      </w:pPr>
      <w:r>
        <w:rPr>
          <w:rFonts w:ascii="宋体" w:hAnsi="宋体" w:eastAsia="宋体"/>
          <w:b w:val="0"/>
          <w:sz w:val="21"/>
        </w:rPr>
        <w:t>本章引用文献：[3]、[4]。</w:t>
      </w:r>
    </w:p>
    <w:p>
      <w:r>
        <w:br w:type="page"/>
      </w:r>
    </w:p>
    <w:p>
      <w:pPr>
        <w:pStyle w:val="Heading1"/>
        <w:spacing w:line="360" w:lineRule="auto"/>
        <w:jc w:val="center"/>
      </w:pPr>
      <w:r>
        <w:rPr>
          <w:rFonts w:ascii="黑体" w:hAnsi="黑体" w:eastAsia="黑体"/>
          <w:b/>
          <w:sz w:val="32"/>
        </w:rPr>
        <w:t>第四章 核心算法设计与实现</w:t>
      </w:r>
    </w:p>
    <w:p>
      <w:pPr>
        <w:pStyle w:val="Heading2"/>
        <w:spacing w:line="360" w:lineRule="auto"/>
      </w:pPr>
      <w:r>
        <w:rPr>
          <w:rFonts w:ascii="黑体" w:hAnsi="黑体" w:eastAsia="黑体"/>
          <w:b/>
          <w:sz w:val="28"/>
        </w:rPr>
        <w:t>4.1 算法实现概述</w:t>
      </w:r>
    </w:p>
    <w:p>
      <w:pPr>
        <w:spacing w:line="360" w:lineRule="auto"/>
        <w:ind w:firstLine="420"/>
      </w:pPr>
      <w:r>
        <w:rPr>
          <w:rFonts w:ascii="宋体" w:hAnsi="宋体" w:eastAsia="宋体"/>
          <w:b w:val="0"/>
          <w:sz w:val="21"/>
        </w:rPr>
        <w:t>本文核心算法围绕梯度计算和数据优化两类任务展开。梯度计算部分根据网格类型分为规则网格有限差分路径和非结构化网格形函数导数路径；数据优化部分以图双边滤波和多尺度融合为基础，面向局部随机高频数值扰动进行平滑与边缘保持处理。算法均以连续数组和 GPU 缓冲为输入输出，并由 OpenGL Compute Shader 并行执行。</w:t>
      </w:r>
    </w:p>
    <w:p>
      <w:pPr>
        <w:pStyle w:val="Heading2"/>
        <w:spacing w:line="360" w:lineRule="auto"/>
      </w:pPr>
      <w:r>
        <w:rPr>
          <w:rFonts w:ascii="黑体" w:hAnsi="黑体" w:eastAsia="黑体"/>
          <w:b/>
          <w:sz w:val="28"/>
        </w:rPr>
        <w:t>4.2 规则网格有限差分梯度</w:t>
      </w:r>
    </w:p>
    <w:p>
      <w:pPr>
        <w:spacing w:line="360" w:lineRule="auto"/>
        <w:ind w:firstLine="420"/>
      </w:pPr>
      <w:r>
        <w:rPr>
          <w:rFonts w:ascii="宋体" w:hAnsi="宋体" w:eastAsia="宋体"/>
          <w:b w:val="0"/>
          <w:sz w:val="21"/>
        </w:rPr>
        <w:t>规则网格具有明确的逻辑维度。本文实现中，规则网格梯度计算包含两个阶段：第一阶段在逻辑/参数坐标 \(\boldsymbol{\xi}=(\xi,\eta,\zeta)^T\) 上进行有限差分；第二阶段通过链式法则将参数空间导数映射到物理空间 \(\boldsymbol{x}=(x,y,z)^T\)。这一点与 `Shaders/FD.glsl` 中的实现一致。</w:t>
      </w:r>
    </w:p>
    <w:p>
      <w:pPr>
        <w:jc w:val="center"/>
      </w:pPr>
      <w:r>
        <w:drawing>
          <wp:inline xmlns:a="http://schemas.openxmlformats.org/drawingml/2006/main" xmlns:pic="http://schemas.openxmlformats.org/drawingml/2006/picture">
            <wp:extent cx="5472000" cy="2462400"/>
            <wp:docPr id="5" name="Picture 5"/>
            <wp:cNvGraphicFramePr>
              <a:graphicFrameLocks noChangeAspect="1"/>
            </wp:cNvGraphicFramePr>
            <a:graphic>
              <a:graphicData uri="http://schemas.openxmlformats.org/drawingml/2006/picture">
                <pic:pic>
                  <pic:nvPicPr>
                    <pic:cNvPr id="0" name="fig_4_1_regular_fd_chain_rule.png"/>
                    <pic:cNvPicPr/>
                  </pic:nvPicPr>
                  <pic:blipFill>
                    <a:blip r:embed="rId13"/>
                    <a:stretch>
                      <a:fillRect/>
                    </a:stretch>
                  </pic:blipFill>
                  <pic:spPr>
                    <a:xfrm>
                      <a:off x="0" y="0"/>
                      <a:ext cx="5472000" cy="2462400"/>
                    </a:xfrm>
                    <a:prstGeom prst="rect"/>
                  </pic:spPr>
                </pic:pic>
              </a:graphicData>
            </a:graphic>
          </wp:inline>
        </w:drawing>
      </w:r>
    </w:p>
    <w:p>
      <w:pPr>
        <w:spacing w:line="360" w:lineRule="auto"/>
        <w:ind w:firstLine="420"/>
      </w:pPr>
      <w:r>
        <w:rPr>
          <w:rFonts w:ascii="宋体" w:hAnsi="宋体" w:eastAsia="宋体"/>
          <w:b w:val="0"/>
          <w:sz w:val="21"/>
        </w:rPr>
        <w:t>图 4-1 展示规则网格有限差分算法的实际计算顺序。该算法的差分模板作用在 \(\xi,\eta,\zeta\) 三个参数方向上，最终通过 Jacobian 逆转置得到 \(x,y,z\) 物理方向梯度。</w:t>
      </w:r>
    </w:p>
    <w:p>
      <w:pPr>
        <w:spacing w:line="360" w:lineRule="auto"/>
        <w:ind w:firstLine="420"/>
      </w:pPr>
      <w:r>
        <w:rPr>
          <w:rFonts w:ascii="宋体" w:hAnsi="宋体" w:eastAsia="宋体"/>
          <w:b w:val="0"/>
          <w:sz w:val="21"/>
        </w:rPr>
        <w:t>对内部点，字段值在三个参数方向上的差分为</w:t>
      </w:r>
    </w:p>
    <w:p>
      <w:pPr>
        <w:spacing w:before="60" w:after="60"/>
        <w:jc w:val="center"/>
      </w:pPr>
      <w:r>
        <w:rPr>
          <w:rFonts w:ascii="Times New Roman" w:hAnsi="Times New Roman" w:eastAsia="Times New Roman"/>
          <w:b w:val="0"/>
          <w:sz w:val="21"/>
        </w:rPr>
        <w:t>d_{\xi}u</w:t>
        <w:br/>
        <w:t>\approx</w:t>
        <w:br/>
        <w:t>\frac{u_{i+1,j,k}-u_{i-1,j,k}}{2},\qquad</w:t>
        <w:br/>
        <w:t>d_{\eta}u</w:t>
        <w:br/>
        <w:t>\approx</w:t>
        <w:br/>
        <w:t>\frac{u_{i,j+1,k}-u_{i,j-1,k}}{2},</w:t>
      </w:r>
    </w:p>
    <w:p>
      <w:pPr>
        <w:spacing w:before="60" w:after="60"/>
        <w:jc w:val="center"/>
      </w:pPr>
      <w:r>
        <w:rPr>
          <w:rFonts w:ascii="Times New Roman" w:hAnsi="Times New Roman" w:eastAsia="Times New Roman"/>
          <w:b w:val="0"/>
          <w:sz w:val="21"/>
        </w:rPr>
        <w:t>d_{\zeta}u</w:t>
        <w:br/>
        <w:t>\approx</w:t>
        <w:br/>
        <w:t>\frac{u_{i,j,k+1}-u_{i,j,k-1}}{2}.</w:t>
      </w:r>
    </w:p>
    <w:p>
      <w:pPr>
        <w:spacing w:line="360" w:lineRule="auto"/>
        <w:ind w:firstLine="420"/>
      </w:pPr>
      <w:r>
        <w:rPr>
          <w:rFonts w:ascii="宋体" w:hAnsi="宋体" w:eastAsia="宋体"/>
          <w:b w:val="0"/>
          <w:sz w:val="21"/>
        </w:rPr>
        <w:t>边界点采用单边差分，例如</w:t>
      </w:r>
    </w:p>
    <w:p>
      <w:pPr>
        <w:spacing w:before="60" w:after="60"/>
        <w:jc w:val="center"/>
      </w:pPr>
      <w:r>
        <w:rPr>
          <w:rFonts w:ascii="Times New Roman" w:hAnsi="Times New Roman" w:eastAsia="Times New Roman"/>
          <w:b w:val="0"/>
          <w:sz w:val="21"/>
        </w:rPr>
        <w:t>d_{\xi}u\big|_{0,j,k}</w:t>
        <w:br/>
        <w:t>\approx</w:t>
        <w:br/>
        <w:t>u_{1,j,k}-u_{0,j,k}.</w:t>
      </w:r>
    </w:p>
    <w:p>
      <w:pPr>
        <w:spacing w:line="360" w:lineRule="auto"/>
        <w:ind w:firstLine="420"/>
      </w:pPr>
      <w:r>
        <w:rPr>
          <w:rFonts w:ascii="宋体" w:hAnsi="宋体" w:eastAsia="宋体"/>
          <w:b w:val="0"/>
          <w:sz w:val="21"/>
        </w:rPr>
        <w:t>同一组邻居也用于估计几何映射导数。例如，</w:t>
      </w:r>
    </w:p>
    <w:p>
      <w:pPr>
        <w:spacing w:before="60" w:after="60"/>
        <w:jc w:val="center"/>
      </w:pPr>
      <w:r>
        <w:rPr>
          <w:rFonts w:ascii="Times New Roman" w:hAnsi="Times New Roman" w:eastAsia="Times New Roman"/>
          <w:b w:val="0"/>
          <w:sz w:val="21"/>
        </w:rPr>
        <w:t>\frac{\partial \boldsymbol{x}}{\partial \xi}</w:t>
        <w:br/>
        <w:t>\approx</w:t>
        <w:br/>
        <w:t>\frac{\boldsymbol{x}_{i+1,j,k}-\boldsymbol{x}_{i-1,j,k}}{2},</w:t>
      </w:r>
    </w:p>
    <w:p>
      <w:pPr>
        <w:spacing w:line="360" w:lineRule="auto"/>
        <w:ind w:firstLine="420"/>
      </w:pPr>
      <w:r>
        <w:rPr>
          <w:rFonts w:ascii="宋体" w:hAnsi="宋体" w:eastAsia="宋体"/>
          <w:b w:val="0"/>
          <w:sz w:val="21"/>
        </w:rPr>
        <w:t>边界处则退化为</w:t>
      </w:r>
    </w:p>
    <w:p>
      <w:pPr>
        <w:spacing w:before="60" w:after="60"/>
        <w:jc w:val="center"/>
      </w:pPr>
      <w:r>
        <w:rPr>
          <w:rFonts w:ascii="Times New Roman" w:hAnsi="Times New Roman" w:eastAsia="Times New Roman"/>
          <w:b w:val="0"/>
          <w:sz w:val="21"/>
        </w:rPr>
        <w:t>\frac{\partial \boldsymbol{x}}{\partial \xi}\bigg|_{0,j,k}</w:t>
        <w:br/>
        <w:t>\approx</w:t>
        <w:br/>
        <w:t>\boldsymbol{x}_{1,j,k}-\boldsymbol{x}_{0,j,k}.</w:t>
      </w:r>
    </w:p>
    <w:p>
      <w:pPr>
        <w:spacing w:line="360" w:lineRule="auto"/>
        <w:ind w:firstLine="420"/>
      </w:pPr>
      <w:r>
        <w:rPr>
          <w:rFonts w:ascii="宋体" w:hAnsi="宋体" w:eastAsia="宋体"/>
          <w:b w:val="0"/>
          <w:sz w:val="21"/>
        </w:rPr>
        <w:t>由三个参数方向的几何导数可构造 Jacobian：</w:t>
      </w:r>
    </w:p>
    <w:p>
      <w:pPr>
        <w:spacing w:before="60" w:after="60"/>
        <w:jc w:val="center"/>
      </w:pPr>
      <w:r>
        <w:rPr>
          <w:rFonts w:ascii="Times New Roman" w:hAnsi="Times New Roman" w:eastAsia="Times New Roman"/>
          <w:b w:val="0"/>
          <w:sz w:val="21"/>
        </w:rPr>
        <w:t>\mathbf{J}</w:t>
        <w:br/>
        <w:t>=</w:t>
        <w:br/>
        <w:t>\left[</w:t>
        <w:br/>
        <w:t>\frac{\partial\boldsymbol{x}}{\partial\xi}\quad</w:t>
        <w:br/>
        <w:t>\frac{\partial\boldsymbol{x}}{\partial\eta}\quad</w:t>
        <w:br/>
        <w:t>\frac{\partial\boldsymbol{x}}{\partial\zeta}</w:t>
        <w:br/>
        <w:t>\right].</w:t>
      </w:r>
    </w:p>
    <w:p>
      <w:pPr>
        <w:spacing w:line="360" w:lineRule="auto"/>
        <w:ind w:firstLine="420"/>
      </w:pPr>
      <w:r>
        <w:rPr>
          <w:rFonts w:ascii="宋体" w:hAnsi="宋体" w:eastAsia="宋体"/>
          <w:b w:val="0"/>
          <w:sz w:val="21"/>
        </w:rPr>
        <w:t>参数空间梯度为</w:t>
      </w:r>
    </w:p>
    <w:p>
      <w:pPr>
        <w:spacing w:before="60" w:after="60"/>
        <w:jc w:val="center"/>
      </w:pPr>
      <w:r>
        <w:rPr>
          <w:rFonts w:ascii="Times New Roman" w:hAnsi="Times New Roman" w:eastAsia="Times New Roman"/>
          <w:b w:val="0"/>
          <w:sz w:val="21"/>
        </w:rPr>
        <w:t>\nabla_{\boldsymbol{\xi}}u</w:t>
        <w:br/>
        <w:t>=</w:t>
        <w:br/>
        <w:t>\begin{bmatrix}</w:t>
        <w:br/>
        <w:t>d_{\xi}u\\</w:t>
        <w:br/>
        <w:t>d_{\eta}u\\</w:t>
        <w:br/>
        <w:t>d_{\zeta}u</w:t>
        <w:br/>
        <w:t>\end{bmatrix}.</w:t>
      </w:r>
    </w:p>
    <w:p>
      <w:pPr>
        <w:spacing w:line="360" w:lineRule="auto"/>
        <w:ind w:firstLine="420"/>
      </w:pPr>
      <w:r>
        <w:rPr>
          <w:rFonts w:ascii="宋体" w:hAnsi="宋体" w:eastAsia="宋体"/>
          <w:b w:val="0"/>
          <w:sz w:val="21"/>
        </w:rPr>
        <w:t>根据链式法则，</w:t>
      </w:r>
    </w:p>
    <w:p>
      <w:pPr>
        <w:spacing w:before="60" w:after="60"/>
        <w:jc w:val="center"/>
      </w:pPr>
      <w:r>
        <w:rPr>
          <w:rFonts w:ascii="Times New Roman" w:hAnsi="Times New Roman" w:eastAsia="Times New Roman"/>
          <w:b w:val="0"/>
          <w:sz w:val="21"/>
        </w:rPr>
        <w:t>\nabla_{\boldsymbol{x}}u</w:t>
        <w:br/>
        <w:t>=</w:t>
        <w:br/>
        <w:t>\mathbf{J}^{-T}\nabla_{\boldsymbol{\xi}}u.</w:t>
      </w:r>
    </w:p>
    <w:p>
      <w:pPr>
        <w:spacing w:line="360" w:lineRule="auto"/>
        <w:ind w:firstLine="420"/>
      </w:pPr>
      <w:r>
        <w:rPr>
          <w:rFonts w:ascii="宋体" w:hAnsi="宋体" w:eastAsia="宋体"/>
          <w:b w:val="0"/>
          <w:sz w:val="21"/>
        </w:rPr>
        <w:t>将 \(\mathbf{J}^{-1}\) 的分量记为</w:t>
      </w:r>
    </w:p>
    <w:p>
      <w:pPr>
        <w:spacing w:before="60" w:after="60"/>
        <w:jc w:val="center"/>
      </w:pPr>
      <w:r>
        <w:rPr>
          <w:rFonts w:ascii="Times New Roman" w:hAnsi="Times New Roman" w:eastAsia="Times New Roman"/>
          <w:b w:val="0"/>
          <w:sz w:val="21"/>
        </w:rPr>
        <w:t>\mathbf{J}^{-1}</w:t>
        <w:br/>
        <w:t>=</w:t>
        <w:br/>
        <w:t>\begin{bmatrix}</w:t>
        <w:br/>
        <w:t>\xi_x &amp; \xi_y &amp; \xi_z\\</w:t>
        <w:br/>
        <w:t>\eta_x &amp; \eta_y &amp; \eta_z\\</w:t>
        <w:br/>
        <w:t>\zeta_x &amp; \zeta_y &amp; \zeta_z</w:t>
        <w:br/>
        <w:t>\end{bmatrix},</w:t>
      </w:r>
    </w:p>
    <w:p>
      <w:pPr>
        <w:spacing w:line="360" w:lineRule="auto"/>
        <w:ind w:firstLine="420"/>
      </w:pPr>
      <w:r>
        <w:rPr>
          <w:rFonts w:ascii="宋体" w:hAnsi="宋体" w:eastAsia="宋体"/>
          <w:b w:val="0"/>
          <w:sz w:val="21"/>
        </w:rPr>
        <w:t>则着色器最终输出的三个物理梯度分量为</w:t>
      </w:r>
    </w:p>
    <w:p>
      <w:pPr>
        <w:spacing w:before="60" w:after="60"/>
        <w:jc w:val="center"/>
      </w:pPr>
      <w:r>
        <w:rPr>
          <w:rFonts w:ascii="Times New Roman" w:hAnsi="Times New Roman" w:eastAsia="Times New Roman"/>
          <w:b w:val="0"/>
          <w:sz w:val="21"/>
        </w:rPr>
        <w:t>\begin{aligned}</w:t>
        <w:br/>
        <w:t>g_x &amp;= \xi_x d_{\xi}u+\eta_x d_{\eta}u+\zeta_x d_{\zeta}u,\\</w:t>
        <w:br/>
        <w:t>g_y &amp;= \xi_y d_{\xi}u+\eta_y d_{\eta}u+\zeta_y d_{\zeta}u,\\</w:t>
        <w:br/>
        <w:t>g_z &amp;= \xi_z d_{\xi}u+\eta_z d_{\eta}u+\zeta_z d_{\zeta}u.</w:t>
        <w:br/>
        <w:t>\end{aligned}</w:t>
      </w:r>
    </w:p>
    <w:p>
      <w:pPr>
        <w:spacing w:line="360" w:lineRule="auto"/>
        <w:ind w:firstLine="420"/>
      </w:pPr>
      <w:r>
        <w:rPr>
          <w:rFonts w:ascii="宋体" w:hAnsi="宋体" w:eastAsia="宋体"/>
          <w:b w:val="0"/>
          <w:sz w:val="21"/>
        </w:rPr>
        <w:t>表 4-1 给出数学符号与 `FD.glsl` 变量的对应关系。</w:t>
      </w:r>
    </w:p>
    <w:tbl>
      <w:tblPr>
        <w:tblStyle w:val="TableGrid"/>
        <w:tblW w:type="auto" w:w="0"/>
        <w:tblLook w:firstColumn="1" w:firstRow="1" w:lastColumn="0" w:lastRow="0" w:noHBand="0" w:noVBand="1" w:val="04A0"/>
      </w:tblPr>
      <w:tblGrid>
        <w:gridCol w:w="3022"/>
        <w:gridCol w:w="3022"/>
        <w:gridCol w:w="3022"/>
      </w:tblGrid>
      <w:tr>
        <w:tc>
          <w:tcPr>
            <w:tcW w:type="dxa" w:w="3022"/>
          </w:tcPr>
          <w:p>
            <w:pPr>
              <w:jc w:val="center"/>
            </w:pPr>
            <w:r/>
            <w:r>
              <w:rPr>
                <w:rFonts w:ascii="宋体" w:hAnsi="宋体" w:eastAsia="宋体"/>
                <w:b/>
                <w:sz w:val="21"/>
              </w:rPr>
              <w:t>数学量</w:t>
            </w:r>
          </w:p>
        </w:tc>
        <w:tc>
          <w:tcPr>
            <w:tcW w:type="dxa" w:w="3022"/>
          </w:tcPr>
          <w:p>
            <w:pPr>
              <w:jc w:val="center"/>
            </w:pPr>
            <w:r/>
            <w:r>
              <w:rPr>
                <w:rFonts w:ascii="宋体" w:hAnsi="宋体" w:eastAsia="宋体"/>
                <w:b/>
                <w:sz w:val="21"/>
              </w:rPr>
              <w:t>`FD.glsl` 中的对应变量</w:t>
            </w:r>
          </w:p>
        </w:tc>
        <w:tc>
          <w:tcPr>
            <w:tcW w:type="dxa" w:w="3022"/>
          </w:tcPr>
          <w:p>
            <w:pPr>
              <w:jc w:val="center"/>
            </w:pPr>
            <w:r/>
            <w:r>
              <w:rPr>
                <w:rFonts w:ascii="宋体" w:hAnsi="宋体" w:eastAsia="宋体"/>
                <w:b/>
                <w:sz w:val="21"/>
              </w:rPr>
              <w:t>含义</w:t>
            </w:r>
          </w:p>
        </w:tc>
      </w:tr>
      <w:tr>
        <w:tc>
          <w:tcPr>
            <w:tcW w:type="dxa" w:w="3022"/>
          </w:tcPr>
          <w:p>
            <w:pPr>
              <w:jc w:val="center"/>
            </w:pPr>
            <w:r/>
            <w:r>
              <w:rPr>
                <w:rFonts w:ascii="宋体" w:hAnsi="宋体" w:eastAsia="宋体"/>
                <w:b w:val="0"/>
                <w:sz w:val="20"/>
              </w:rPr>
              <w:t>\(\partial\boldsymbol{x}/\partial\xi\)</w:t>
            </w:r>
          </w:p>
        </w:tc>
        <w:tc>
          <w:tcPr>
            <w:tcW w:type="dxa" w:w="3022"/>
          </w:tcPr>
          <w:p>
            <w:pPr>
              <w:jc w:val="center"/>
            </w:pPr>
            <w:r/>
            <w:r>
              <w:rPr>
                <w:rFonts w:ascii="宋体" w:hAnsi="宋体" w:eastAsia="宋体"/>
                <w:b w:val="0"/>
                <w:sz w:val="20"/>
              </w:rPr>
              <w:t>`xxi`、`yxi`、`zxi`</w:t>
            </w:r>
          </w:p>
        </w:tc>
        <w:tc>
          <w:tcPr>
            <w:tcW w:type="dxa" w:w="3022"/>
          </w:tcPr>
          <w:p>
            <w:pPr>
              <w:jc w:val="center"/>
            </w:pPr>
            <w:r/>
            <w:r>
              <w:rPr>
                <w:rFonts w:ascii="宋体" w:hAnsi="宋体" w:eastAsia="宋体"/>
                <w:b w:val="0"/>
                <w:sz w:val="20"/>
              </w:rPr>
              <w:t>\(\xi\) 方向坐标差分，构成 Jacobian 第一列</w:t>
            </w:r>
          </w:p>
        </w:tc>
      </w:tr>
      <w:tr>
        <w:tc>
          <w:tcPr>
            <w:tcW w:type="dxa" w:w="3022"/>
          </w:tcPr>
          <w:p>
            <w:pPr>
              <w:jc w:val="center"/>
            </w:pPr>
            <w:r/>
            <w:r>
              <w:rPr>
                <w:rFonts w:ascii="宋体" w:hAnsi="宋体" w:eastAsia="宋体"/>
                <w:b w:val="0"/>
                <w:sz w:val="20"/>
              </w:rPr>
              <w:t>\(\partial\boldsymbol{x}/\partial\eta\)</w:t>
            </w:r>
          </w:p>
        </w:tc>
        <w:tc>
          <w:tcPr>
            <w:tcW w:type="dxa" w:w="3022"/>
          </w:tcPr>
          <w:p>
            <w:pPr>
              <w:jc w:val="center"/>
            </w:pPr>
            <w:r/>
            <w:r>
              <w:rPr>
                <w:rFonts w:ascii="宋体" w:hAnsi="宋体" w:eastAsia="宋体"/>
                <w:b w:val="0"/>
                <w:sz w:val="20"/>
              </w:rPr>
              <w:t>`xeta`、`yeta`、`zeta`</w:t>
            </w:r>
          </w:p>
        </w:tc>
        <w:tc>
          <w:tcPr>
            <w:tcW w:type="dxa" w:w="3022"/>
          </w:tcPr>
          <w:p>
            <w:pPr>
              <w:jc w:val="center"/>
            </w:pPr>
            <w:r/>
            <w:r>
              <w:rPr>
                <w:rFonts w:ascii="宋体" w:hAnsi="宋体" w:eastAsia="宋体"/>
                <w:b w:val="0"/>
                <w:sz w:val="20"/>
              </w:rPr>
              <w:t>\(\eta\) 方向坐标差分，构成 Jacobian 第二列</w:t>
            </w:r>
          </w:p>
        </w:tc>
      </w:tr>
      <w:tr>
        <w:tc>
          <w:tcPr>
            <w:tcW w:type="dxa" w:w="3022"/>
          </w:tcPr>
          <w:p>
            <w:pPr>
              <w:jc w:val="center"/>
            </w:pPr>
            <w:r/>
            <w:r>
              <w:rPr>
                <w:rFonts w:ascii="宋体" w:hAnsi="宋体" w:eastAsia="宋体"/>
                <w:b w:val="0"/>
                <w:sz w:val="20"/>
              </w:rPr>
              <w:t>\(\partial\boldsymbol{x}/\partial\zeta\)</w:t>
            </w:r>
          </w:p>
        </w:tc>
        <w:tc>
          <w:tcPr>
            <w:tcW w:type="dxa" w:w="3022"/>
          </w:tcPr>
          <w:p>
            <w:pPr>
              <w:jc w:val="center"/>
            </w:pPr>
            <w:r/>
            <w:r>
              <w:rPr>
                <w:rFonts w:ascii="宋体" w:hAnsi="宋体" w:eastAsia="宋体"/>
                <w:b w:val="0"/>
                <w:sz w:val="20"/>
              </w:rPr>
              <w:t>`xzeta`、`yzeta`、`zzeta`</w:t>
            </w:r>
          </w:p>
        </w:tc>
        <w:tc>
          <w:tcPr>
            <w:tcW w:type="dxa" w:w="3022"/>
          </w:tcPr>
          <w:p>
            <w:pPr>
              <w:jc w:val="center"/>
            </w:pPr>
            <w:r/>
            <w:r>
              <w:rPr>
                <w:rFonts w:ascii="宋体" w:hAnsi="宋体" w:eastAsia="宋体"/>
                <w:b w:val="0"/>
                <w:sz w:val="20"/>
              </w:rPr>
              <w:t>\(\zeta\) 方向坐标差分，构成 Jacobian 第三列</w:t>
            </w:r>
          </w:p>
        </w:tc>
      </w:tr>
      <w:tr>
        <w:tc>
          <w:tcPr>
            <w:tcW w:type="dxa" w:w="3022"/>
          </w:tcPr>
          <w:p>
            <w:pPr>
              <w:jc w:val="center"/>
            </w:pPr>
            <w:r/>
            <w:r>
              <w:rPr>
                <w:rFonts w:ascii="宋体" w:hAnsi="宋体" w:eastAsia="宋体"/>
                <w:b w:val="0"/>
                <w:sz w:val="20"/>
              </w:rPr>
              <w:t>\(\det(\mathbf{J})\)</w:t>
            </w:r>
          </w:p>
        </w:tc>
        <w:tc>
          <w:tcPr>
            <w:tcW w:type="dxa" w:w="3022"/>
          </w:tcPr>
          <w:p>
            <w:pPr>
              <w:jc w:val="center"/>
            </w:pPr>
            <w:r/>
            <w:r>
              <w:rPr>
                <w:rFonts w:ascii="宋体" w:hAnsi="宋体" w:eastAsia="宋体"/>
                <w:b w:val="0"/>
                <w:sz w:val="20"/>
              </w:rPr>
              <w:t>`aj`</w:t>
            </w:r>
          </w:p>
        </w:tc>
        <w:tc>
          <w:tcPr>
            <w:tcW w:type="dxa" w:w="3022"/>
          </w:tcPr>
          <w:p>
            <w:pPr>
              <w:jc w:val="center"/>
            </w:pPr>
            <w:r/>
            <w:r>
              <w:rPr>
                <w:rFonts w:ascii="宋体" w:hAnsi="宋体" w:eastAsia="宋体"/>
                <w:b w:val="0"/>
                <w:sz w:val="20"/>
              </w:rPr>
              <w:t>判断局部几何映射是否退化</w:t>
            </w:r>
          </w:p>
        </w:tc>
      </w:tr>
      <w:tr>
        <w:tc>
          <w:tcPr>
            <w:tcW w:type="dxa" w:w="3022"/>
          </w:tcPr>
          <w:p>
            <w:pPr>
              <w:jc w:val="center"/>
            </w:pPr>
            <w:r/>
            <w:r>
              <w:rPr>
                <w:rFonts w:ascii="宋体" w:hAnsi="宋体" w:eastAsia="宋体"/>
                <w:b w:val="0"/>
                <w:sz w:val="20"/>
              </w:rPr>
              <w:t>\(\xi_x,\eta_x,\zeta_x\)</w:t>
            </w:r>
          </w:p>
        </w:tc>
        <w:tc>
          <w:tcPr>
            <w:tcW w:type="dxa" w:w="3022"/>
          </w:tcPr>
          <w:p>
            <w:pPr>
              <w:jc w:val="center"/>
            </w:pPr>
            <w:r/>
            <w:r>
              <w:rPr>
                <w:rFonts w:ascii="宋体" w:hAnsi="宋体" w:eastAsia="宋体"/>
                <w:b w:val="0"/>
                <w:sz w:val="20"/>
              </w:rPr>
              <w:t>`xix`、`etax`、`zetax`</w:t>
            </w:r>
          </w:p>
        </w:tc>
        <w:tc>
          <w:tcPr>
            <w:tcW w:type="dxa" w:w="3022"/>
          </w:tcPr>
          <w:p>
            <w:pPr>
              <w:jc w:val="center"/>
            </w:pPr>
            <w:r/>
            <w:r>
              <w:rPr>
                <w:rFonts w:ascii="宋体" w:hAnsi="宋体" w:eastAsia="宋体"/>
                <w:b w:val="0"/>
                <w:sz w:val="20"/>
              </w:rPr>
              <w:t>参与 \(g_x\) 的逆 Jacobian 系数</w:t>
            </w:r>
          </w:p>
        </w:tc>
      </w:tr>
      <w:tr>
        <w:tc>
          <w:tcPr>
            <w:tcW w:type="dxa" w:w="3022"/>
          </w:tcPr>
          <w:p>
            <w:pPr>
              <w:jc w:val="center"/>
            </w:pPr>
            <w:r/>
            <w:r>
              <w:rPr>
                <w:rFonts w:ascii="宋体" w:hAnsi="宋体" w:eastAsia="宋体"/>
                <w:b w:val="0"/>
                <w:sz w:val="20"/>
              </w:rPr>
              <w:t>\(\xi_y,\eta_y,\zeta_y\)</w:t>
            </w:r>
          </w:p>
        </w:tc>
        <w:tc>
          <w:tcPr>
            <w:tcW w:type="dxa" w:w="3022"/>
          </w:tcPr>
          <w:p>
            <w:pPr>
              <w:jc w:val="center"/>
            </w:pPr>
            <w:r/>
            <w:r>
              <w:rPr>
                <w:rFonts w:ascii="宋体" w:hAnsi="宋体" w:eastAsia="宋体"/>
                <w:b w:val="0"/>
                <w:sz w:val="20"/>
              </w:rPr>
              <w:t>`xiy`、`etay`、`zetay`</w:t>
            </w:r>
          </w:p>
        </w:tc>
        <w:tc>
          <w:tcPr>
            <w:tcW w:type="dxa" w:w="3022"/>
          </w:tcPr>
          <w:p>
            <w:pPr>
              <w:jc w:val="center"/>
            </w:pPr>
            <w:r/>
            <w:r>
              <w:rPr>
                <w:rFonts w:ascii="宋体" w:hAnsi="宋体" w:eastAsia="宋体"/>
                <w:b w:val="0"/>
                <w:sz w:val="20"/>
              </w:rPr>
              <w:t>参与 \(g_y\) 的逆 Jacobian 系数</w:t>
            </w:r>
          </w:p>
        </w:tc>
      </w:tr>
      <w:tr>
        <w:tc>
          <w:tcPr>
            <w:tcW w:type="dxa" w:w="3022"/>
          </w:tcPr>
          <w:p>
            <w:pPr>
              <w:jc w:val="center"/>
            </w:pPr>
            <w:r/>
            <w:r>
              <w:rPr>
                <w:rFonts w:ascii="宋体" w:hAnsi="宋体" w:eastAsia="宋体"/>
                <w:b w:val="0"/>
                <w:sz w:val="20"/>
              </w:rPr>
              <w:t>\(\xi_z,\eta_z,\zeta_z\)</w:t>
            </w:r>
          </w:p>
        </w:tc>
        <w:tc>
          <w:tcPr>
            <w:tcW w:type="dxa" w:w="3022"/>
          </w:tcPr>
          <w:p>
            <w:pPr>
              <w:jc w:val="center"/>
            </w:pPr>
            <w:r/>
            <w:r>
              <w:rPr>
                <w:rFonts w:ascii="宋体" w:hAnsi="宋体" w:eastAsia="宋体"/>
                <w:b w:val="0"/>
                <w:sz w:val="20"/>
              </w:rPr>
              <w:t>`xiz`、`etaz`、`zetaz`</w:t>
            </w:r>
          </w:p>
        </w:tc>
        <w:tc>
          <w:tcPr>
            <w:tcW w:type="dxa" w:w="3022"/>
          </w:tcPr>
          <w:p>
            <w:pPr>
              <w:jc w:val="center"/>
            </w:pPr>
            <w:r/>
            <w:r>
              <w:rPr>
                <w:rFonts w:ascii="宋体" w:hAnsi="宋体" w:eastAsia="宋体"/>
                <w:b w:val="0"/>
                <w:sz w:val="20"/>
              </w:rPr>
              <w:t>参与 \(g_z\) 的逆 Jacobian 系数</w:t>
            </w:r>
          </w:p>
        </w:tc>
      </w:tr>
      <w:tr>
        <w:tc>
          <w:tcPr>
            <w:tcW w:type="dxa" w:w="3022"/>
          </w:tcPr>
          <w:p>
            <w:pPr>
              <w:jc w:val="center"/>
            </w:pPr>
            <w:r/>
            <w:r>
              <w:rPr>
                <w:rFonts w:ascii="宋体" w:hAnsi="宋体" w:eastAsia="宋体"/>
                <w:b w:val="0"/>
                <w:sz w:val="20"/>
              </w:rPr>
              <w:t>\(u_{\xi},u_{\eta},u_{\zeta}\)</w:t>
            </w:r>
          </w:p>
        </w:tc>
        <w:tc>
          <w:tcPr>
            <w:tcW w:type="dxa" w:w="3022"/>
          </w:tcPr>
          <w:p>
            <w:pPr>
              <w:jc w:val="center"/>
            </w:pPr>
            <w:r/>
            <w:r>
              <w:rPr>
                <w:rFonts w:ascii="宋体" w:hAnsi="宋体" w:eastAsia="宋体"/>
                <w:b w:val="0"/>
                <w:sz w:val="20"/>
              </w:rPr>
              <w:t>`dXi`、`dEta`、`dZeta`</w:t>
            </w:r>
          </w:p>
        </w:tc>
        <w:tc>
          <w:tcPr>
            <w:tcW w:type="dxa" w:w="3022"/>
          </w:tcPr>
          <w:p>
            <w:pPr>
              <w:jc w:val="center"/>
            </w:pPr>
            <w:r/>
            <w:r>
              <w:rPr>
                <w:rFonts w:ascii="宋体" w:hAnsi="宋体" w:eastAsia="宋体"/>
                <w:b w:val="0"/>
                <w:sz w:val="20"/>
              </w:rPr>
              <w:t>字段值在参数方向上的有限差分</w:t>
            </w:r>
          </w:p>
        </w:tc>
      </w:tr>
    </w:tbl>
    <w:p>
      <w:pPr>
        <w:spacing w:line="360" w:lineRule="auto"/>
        <w:ind w:firstLine="420"/>
      </w:pPr>
      <w:r>
        <w:rPr>
          <w:rFonts w:ascii="宋体" w:hAnsi="宋体" w:eastAsia="宋体"/>
          <w:b w:val="0"/>
          <w:sz w:val="21"/>
        </w:rPr>
        <w:t>在着色器实现中，程序先读取 \(i,j,k\) 三个方向的前后邻居，分别计算字段差分和坐标差分；坐标差分构造局部 Jacobian，字段差分构造 \(\nabla_{\boldsymbol{\xi}}u\)；随后显式计算逆 Jacobian 对应的系数，将参数空间导数组合成 \(g_x,g_y,g_z\)。若 Jacobian 退化，程序会将逆映射压为零，避免无效值继续扩散。对于多分量字段，系统对每个分量分别执行上述过程，输出分量数为输入分量数的三倍。</w:t>
      </w:r>
    </w:p>
    <w:p>
      <w:pPr>
        <w:pStyle w:val="Heading2"/>
        <w:spacing w:line="360" w:lineRule="auto"/>
      </w:pPr>
      <w:r>
        <w:rPr>
          <w:rFonts w:ascii="黑体" w:hAnsi="黑体" w:eastAsia="黑体"/>
          <w:b/>
          <w:sz w:val="28"/>
        </w:rPr>
        <w:t>4.3 非结构化网格形函数导数梯度</w:t>
      </w:r>
    </w:p>
    <w:p>
      <w:pPr>
        <w:spacing w:line="360" w:lineRule="auto"/>
        <w:ind w:firstLine="420"/>
      </w:pPr>
      <w:r>
        <w:rPr>
          <w:rFonts w:ascii="宋体" w:hAnsi="宋体" w:eastAsia="宋体"/>
          <w:b w:val="0"/>
          <w:sz w:val="21"/>
        </w:rPr>
        <w:t>非结构化网格通过单元连接描述拓扑关系。本文支持一阶三角形、四边形、四面体和六面体四类单元。对单元 \(e\)，字段插值写为</w:t>
      </w:r>
    </w:p>
    <w:p>
      <w:pPr>
        <w:spacing w:before="60" w:after="60"/>
        <w:jc w:val="center"/>
      </w:pPr>
      <w:r>
        <w:rPr>
          <w:rFonts w:ascii="Times New Roman" w:hAnsi="Times New Roman" w:eastAsia="Times New Roman"/>
          <w:b w:val="0"/>
          <w:sz w:val="21"/>
        </w:rPr>
        <w:t>u^e(\boldsymbol{\xi})</w:t>
        <w:br/>
        <w:t>=</w:t>
        <w:br/>
        <w:t>\sum_{a=1}^{n_e} N_a(\boldsymbol{\xi})u_a,</w:t>
      </w:r>
    </w:p>
    <w:p>
      <w:pPr>
        <w:spacing w:line="360" w:lineRule="auto"/>
        <w:ind w:firstLine="420"/>
      </w:pPr>
      <w:r>
        <w:rPr>
          <w:rFonts w:ascii="宋体" w:hAnsi="宋体" w:eastAsia="宋体"/>
          <w:b w:val="0"/>
          <w:sz w:val="21"/>
        </w:rPr>
        <w:t>物理坐标映射写为</w:t>
      </w:r>
    </w:p>
    <w:p>
      <w:pPr>
        <w:spacing w:before="60" w:after="60"/>
        <w:jc w:val="center"/>
      </w:pPr>
      <w:r>
        <w:rPr>
          <w:rFonts w:ascii="Times New Roman" w:hAnsi="Times New Roman" w:eastAsia="Times New Roman"/>
          <w:b w:val="0"/>
          <w:sz w:val="21"/>
        </w:rPr>
        <w:t>\boldsymbol{x}^e(\boldsymbol{\xi})</w:t>
        <w:br/>
        <w:t>=</w:t>
        <w:br/>
        <w:t>\sum_{a=1}^{n_e} N_a(\boldsymbol{\xi})\boldsymbol{x}_a.</w:t>
      </w:r>
    </w:p>
    <w:p>
      <w:pPr>
        <w:spacing w:line="360" w:lineRule="auto"/>
        <w:ind w:firstLine="420"/>
      </w:pPr>
      <w:r>
        <w:rPr>
          <w:rFonts w:ascii="宋体" w:hAnsi="宋体" w:eastAsia="宋体"/>
          <w:b w:val="0"/>
          <w:sz w:val="21"/>
        </w:rPr>
        <w:t>根据有限元理论[9]，Jacobian 和形函数物理导数分别为</w:t>
      </w:r>
    </w:p>
    <w:p>
      <w:pPr>
        <w:spacing w:before="60" w:after="60"/>
        <w:jc w:val="center"/>
      </w:pPr>
      <w:r>
        <w:rPr>
          <w:rFonts w:ascii="Times New Roman" w:hAnsi="Times New Roman" w:eastAsia="Times New Roman"/>
          <w:b w:val="0"/>
          <w:sz w:val="21"/>
        </w:rPr>
        <w:t>\mathbf{J}</w:t>
        <w:br/>
        <w:t>=</w:t>
        <w:br/>
        <w:t>\frac{\partial\boldsymbol{x}}{\partial\boldsymbol{\xi}},\qquad</w:t>
        <w:br/>
        <w:t>\nabla_{\boldsymbol{x}} N_a</w:t>
        <w:br/>
        <w:t>=</w:t>
        <w:br/>
        <w:t>\mathbf{J}^{-T}\nabla_{\boldsymbol{\xi}}N_a.</w:t>
      </w:r>
    </w:p>
    <w:p>
      <w:pPr>
        <w:spacing w:line="360" w:lineRule="auto"/>
        <w:ind w:firstLine="420"/>
      </w:pPr>
      <w:r>
        <w:rPr>
          <w:rFonts w:ascii="宋体" w:hAnsi="宋体" w:eastAsia="宋体"/>
          <w:b w:val="0"/>
          <w:sz w:val="21"/>
        </w:rPr>
        <w:t>因此单元内梯度为</w:t>
      </w:r>
    </w:p>
    <w:p>
      <w:pPr>
        <w:spacing w:before="60" w:after="60"/>
        <w:jc w:val="center"/>
      </w:pPr>
      <w:r>
        <w:rPr>
          <w:rFonts w:ascii="Times New Roman" w:hAnsi="Times New Roman" w:eastAsia="Times New Roman"/>
          <w:b w:val="0"/>
          <w:sz w:val="21"/>
        </w:rPr>
        <w:t>\nabla_{\boldsymbol{x}}u^e</w:t>
        <w:br/>
        <w:t>=</w:t>
        <w:br/>
        <w:t>\sum_{a=1}^{n_e}u_a\nabla_{\boldsymbol{x}}N_a.</w:t>
      </w:r>
    </w:p>
    <w:p>
      <w:pPr>
        <w:jc w:val="center"/>
      </w:pPr>
      <w:r>
        <w:drawing>
          <wp:inline xmlns:a="http://schemas.openxmlformats.org/drawingml/2006/main" xmlns:pic="http://schemas.openxmlformats.org/drawingml/2006/picture">
            <wp:extent cx="5472000" cy="2498087"/>
            <wp:docPr id="6" name="Picture 6"/>
            <wp:cNvGraphicFramePr>
              <a:graphicFrameLocks noChangeAspect="1"/>
            </wp:cNvGraphicFramePr>
            <a:graphic>
              <a:graphicData uri="http://schemas.openxmlformats.org/drawingml/2006/picture">
                <pic:pic>
                  <pic:nvPicPr>
                    <pic:cNvPr id="0" name="fig_4_1_shape_gradient_flow.png"/>
                    <pic:cNvPicPr/>
                  </pic:nvPicPr>
                  <pic:blipFill>
                    <a:blip r:embed="rId14"/>
                    <a:stretch>
                      <a:fillRect/>
                    </a:stretch>
                  </pic:blipFill>
                  <pic:spPr>
                    <a:xfrm>
                      <a:off x="0" y="0"/>
                      <a:ext cx="5472000" cy="2498087"/>
                    </a:xfrm>
                    <a:prstGeom prst="rect"/>
                  </pic:spPr>
                </pic:pic>
              </a:graphicData>
            </a:graphic>
          </wp:inline>
        </w:drawing>
      </w:r>
    </w:p>
    <w:p>
      <w:pPr>
        <w:spacing w:line="360" w:lineRule="auto"/>
        <w:ind w:firstLine="420"/>
      </w:pPr>
      <w:r>
        <w:rPr>
          <w:rFonts w:ascii="宋体" w:hAnsi="宋体" w:eastAsia="宋体"/>
          <w:b w:val="0"/>
          <w:sz w:val="21"/>
        </w:rPr>
        <w:t>图 4-2 展示非结构化网格形函数导数计算流程。</w:t>
      </w:r>
    </w:p>
    <w:p>
      <w:pPr>
        <w:pStyle w:val="Heading2"/>
        <w:spacing w:line="360" w:lineRule="auto"/>
      </w:pPr>
      <w:r>
        <w:rPr>
          <w:rFonts w:ascii="黑体" w:hAnsi="黑体" w:eastAsia="黑体"/>
          <w:b/>
          <w:sz w:val="28"/>
        </w:rPr>
        <w:t>4.4 数据优化算法</w:t>
      </w:r>
    </w:p>
    <w:p>
      <w:pPr>
        <w:spacing w:line="360" w:lineRule="auto"/>
        <w:ind w:firstLine="420"/>
      </w:pPr>
      <w:r>
        <w:rPr>
          <w:rFonts w:ascii="宋体" w:hAnsi="宋体" w:eastAsia="宋体"/>
          <w:b w:val="0"/>
          <w:sz w:val="21"/>
        </w:rPr>
        <w:t>设采样位置 \(i\) 的坐标为 \(\boldsymbol{x}_i\)，字段值为 \(u_i\)，邻域为 \(\mathcal{N}(i)\)。双边滤波结果为</w:t>
      </w:r>
    </w:p>
    <w:p>
      <w:pPr>
        <w:spacing w:before="60" w:after="60"/>
        <w:jc w:val="center"/>
      </w:pPr>
      <w:r>
        <w:rPr>
          <w:rFonts w:ascii="Times New Roman" w:hAnsi="Times New Roman" w:eastAsia="Times New Roman"/>
          <w:b w:val="0"/>
          <w:sz w:val="21"/>
        </w:rPr>
        <w:t>\tilde{u}_i</w:t>
        <w:br/>
        <w:t>=</w:t>
        <w:br/>
        <w:t>\frac{1}{W_i}</w:t>
        <w:br/>
        <w:t>\sum_{j\in\mathcal{N}(i)}w_{ij}u_j,</w:t>
        <w:br/>
        <w:t>\qquad</w:t>
        <w:br/>
        <w:t>W_i=\sum_{j\in\mathcal{N}(i)}w_{ij}.</w:t>
      </w:r>
    </w:p>
    <w:p>
      <w:pPr>
        <w:spacing w:line="360" w:lineRule="auto"/>
        <w:ind w:firstLine="420"/>
      </w:pPr>
      <w:r>
        <w:rPr>
          <w:rFonts w:ascii="宋体" w:hAnsi="宋体" w:eastAsia="宋体"/>
          <w:b w:val="0"/>
          <w:sz w:val="21"/>
        </w:rPr>
        <w:t>权重为</w:t>
      </w:r>
    </w:p>
    <w:p>
      <w:pPr>
        <w:spacing w:before="60" w:after="60"/>
        <w:jc w:val="center"/>
      </w:pPr>
      <w:r>
        <w:rPr>
          <w:rFonts w:ascii="Times New Roman" w:hAnsi="Times New Roman" w:eastAsia="Times New Roman"/>
          <w:b w:val="0"/>
          <w:sz w:val="21"/>
        </w:rPr>
        <w:t>w_{ij}</w:t>
        <w:br/>
        <w:t>=</w:t>
        <w:br/>
        <w:t>\exp\left(-\frac{\|\boldsymbol{x}_i-\boldsymbol{x}_j\|^2}{2\sigma_s^2}\right)</w:t>
        <w:br/>
        <w:t>\exp\left(-\frac{(u_i-u_j)^2}{2\sigma_r^2}\right).</w:t>
      </w:r>
    </w:p>
    <w:p>
      <w:pPr>
        <w:spacing w:line="360" w:lineRule="auto"/>
        <w:ind w:firstLine="420"/>
      </w:pPr>
      <w:r>
        <w:rPr>
          <w:rFonts w:ascii="宋体" w:hAnsi="宋体" w:eastAsia="宋体"/>
          <w:b w:val="0"/>
          <w:sz w:val="21"/>
        </w:rPr>
        <w:t>该公式沿用双边滤波中空间核和值域核相乘的写法[11]。对于多尺度融合，设 \(u^{(0)}=u\)，第 \(\ell\) 层平滑结果为</w:t>
      </w:r>
    </w:p>
    <w:p>
      <w:pPr>
        <w:spacing w:before="60" w:after="60"/>
        <w:jc w:val="center"/>
      </w:pPr>
      <w:r>
        <w:rPr>
          <w:rFonts w:ascii="Times New Roman" w:hAnsi="Times New Roman" w:eastAsia="Times New Roman"/>
          <w:b w:val="0"/>
          <w:sz w:val="21"/>
        </w:rPr>
        <w:t>u^{(\ell+1)}</w:t>
        <w:br/>
        <w:t>=</w:t>
        <w:br/>
        <w:t>B_{\sigma_s^{(\ell)},\sigma_r}(u^{(\ell)}),</w:t>
      </w:r>
    </w:p>
    <w:p>
      <w:pPr>
        <w:spacing w:line="360" w:lineRule="auto"/>
        <w:ind w:firstLine="420"/>
      </w:pPr>
      <w:r>
        <w:rPr>
          <w:rFonts w:ascii="宋体" w:hAnsi="宋体" w:eastAsia="宋体"/>
          <w:b w:val="0"/>
          <w:sz w:val="21"/>
        </w:rPr>
        <w:t>细节层和最终融合结果为</w:t>
      </w:r>
    </w:p>
    <w:p>
      <w:pPr>
        <w:spacing w:before="60" w:after="60"/>
        <w:jc w:val="center"/>
      </w:pPr>
      <w:r>
        <w:rPr>
          <w:rFonts w:ascii="Times New Roman" w:hAnsi="Times New Roman" w:eastAsia="Times New Roman"/>
          <w:b w:val="0"/>
          <w:sz w:val="21"/>
        </w:rPr>
        <w:t>d^{(\ell)}=u^{(\ell)}-u^{(\ell+1)},\qquad</w:t>
        <w:br/>
        <w:t>\hat{u}=u^{(L)}+\sum_{\ell=0}^{L-1}\alpha_\ell d^{(\ell)}.</w:t>
      </w:r>
    </w:p>
    <w:p>
      <w:pPr>
        <w:spacing w:line="360" w:lineRule="auto"/>
        <w:ind w:firstLine="420"/>
      </w:pPr>
      <w:r>
        <w:rPr>
          <w:rFonts w:ascii="宋体" w:hAnsi="宋体" w:eastAsia="宋体"/>
          <w:b w:val="0"/>
          <w:sz w:val="21"/>
        </w:rPr>
        <w:t>本文实验仅验证该模块对高斯扰动代理的局部随机高频扰动有效，不扩展到所有噪声类型。</w:t>
      </w:r>
    </w:p>
    <w:p>
      <w:pPr>
        <w:pStyle w:val="Heading2"/>
        <w:spacing w:line="360" w:lineRule="auto"/>
      </w:pPr>
      <w:r>
        <w:rPr>
          <w:rFonts w:ascii="黑体" w:hAnsi="黑体" w:eastAsia="黑体"/>
          <w:b/>
          <w:sz w:val="28"/>
        </w:rPr>
        <w:t>4.5 OpenGL 计算流程</w:t>
      </w:r>
    </w:p>
    <w:p>
      <w:pPr>
        <w:jc w:val="center"/>
      </w:pPr>
      <w:r>
        <w:drawing>
          <wp:inline xmlns:a="http://schemas.openxmlformats.org/drawingml/2006/main" xmlns:pic="http://schemas.openxmlformats.org/drawingml/2006/picture">
            <wp:extent cx="5472000" cy="2984727"/>
            <wp:docPr id="7" name="Picture 7"/>
            <wp:cNvGraphicFramePr>
              <a:graphicFrameLocks noChangeAspect="1"/>
            </wp:cNvGraphicFramePr>
            <a:graphic>
              <a:graphicData uri="http://schemas.openxmlformats.org/drawingml/2006/picture">
                <pic:pic>
                  <pic:nvPicPr>
                    <pic:cNvPr id="0" name="fig_4_2_opengl_sequence.png"/>
                    <pic:cNvPicPr/>
                  </pic:nvPicPr>
                  <pic:blipFill>
                    <a:blip r:embed="rId15"/>
                    <a:stretch>
                      <a:fillRect/>
                    </a:stretch>
                  </pic:blipFill>
                  <pic:spPr>
                    <a:xfrm>
                      <a:off x="0" y="0"/>
                      <a:ext cx="5472000" cy="2984727"/>
                    </a:xfrm>
                    <a:prstGeom prst="rect"/>
                  </pic:spPr>
                </pic:pic>
              </a:graphicData>
            </a:graphic>
          </wp:inline>
        </w:drawing>
      </w:r>
    </w:p>
    <w:p>
      <w:pPr>
        <w:spacing w:line="360" w:lineRule="auto"/>
        <w:ind w:firstLine="420"/>
      </w:pPr>
      <w:r>
        <w:rPr>
          <w:rFonts w:ascii="宋体" w:hAnsi="宋体" w:eastAsia="宋体"/>
          <w:b w:val="0"/>
          <w:sz w:val="21"/>
        </w:rPr>
        <w:t>图 4-3 展示 OpenGL 计算流程。SSBO 支持较大规模结构化数据读写[2]，适合保存 CAE 数据中的坐标、字段和连接关系。</w:t>
      </w:r>
    </w:p>
    <w:p>
      <w:pPr>
        <w:pStyle w:val="Heading2"/>
        <w:spacing w:line="360" w:lineRule="auto"/>
      </w:pPr>
      <w:r>
        <w:rPr>
          <w:rFonts w:ascii="黑体" w:hAnsi="黑体" w:eastAsia="黑体"/>
          <w:b/>
          <w:sz w:val="28"/>
        </w:rPr>
        <w:t>4.6 本章参考文献</w:t>
      </w:r>
    </w:p>
    <w:p>
      <w:pPr>
        <w:spacing w:line="360" w:lineRule="auto"/>
        <w:ind w:firstLine="420"/>
      </w:pPr>
      <w:r>
        <w:rPr>
          <w:rFonts w:ascii="宋体" w:hAnsi="宋体" w:eastAsia="宋体"/>
          <w:b w:val="0"/>
          <w:sz w:val="21"/>
        </w:rPr>
        <w:t>本章引用文献：[1]、[2]、[3]、[9]、[10]、[11]、[12]、[25]、[26]。</w:t>
      </w:r>
    </w:p>
    <w:p>
      <w:r>
        <w:br w:type="page"/>
      </w:r>
    </w:p>
    <w:p>
      <w:pPr>
        <w:pStyle w:val="Heading1"/>
        <w:spacing w:line="360" w:lineRule="auto"/>
        <w:jc w:val="center"/>
      </w:pPr>
      <w:r>
        <w:rPr>
          <w:rFonts w:ascii="黑体" w:hAnsi="黑体" w:eastAsia="黑体"/>
          <w:b/>
          <w:sz w:val="32"/>
        </w:rPr>
        <w:t>第五章 实验设计与结果分析</w:t>
      </w:r>
    </w:p>
    <w:p>
      <w:pPr>
        <w:pStyle w:val="Heading2"/>
        <w:spacing w:line="360" w:lineRule="auto"/>
      </w:pPr>
      <w:r>
        <w:rPr>
          <w:rFonts w:ascii="黑体" w:hAnsi="黑体" w:eastAsia="黑体"/>
          <w:b/>
          <w:sz w:val="28"/>
        </w:rPr>
        <w:t>5.1 实验目标与组织</w:t>
      </w:r>
    </w:p>
    <w:p>
      <w:pPr>
        <w:spacing w:line="360" w:lineRule="auto"/>
        <w:ind w:firstLine="420"/>
      </w:pPr>
      <w:r>
        <w:rPr>
          <w:rFonts w:ascii="宋体" w:hAnsi="宋体" w:eastAsia="宋体"/>
          <w:b w:val="0"/>
          <w:sz w:val="21"/>
        </w:rPr>
        <w:t>本文实验分为四组：解析场验证、与 VTK 结果一致性对比、与 VTK 的时间对比、数据优化实验。四组实验分别支撑算法正确性、工程一致性、性能表现和优化有效性。解析场实验使用已知真值验证梯度计算是否正确；VTK 一致性实验使用 vtkGradientFilter 作为工程参考；时间实验比较系统总时间、GPU 计算时间与 VTK 并行时间；数据优化实验使用高斯扰动代理局部随机高频扰动，比较优化前后的误差变化。</w:t>
      </w:r>
    </w:p>
    <w:p>
      <w:pPr>
        <w:jc w:val="center"/>
      </w:pPr>
      <w:r>
        <w:drawing>
          <wp:inline xmlns:a="http://schemas.openxmlformats.org/drawingml/2006/main" xmlns:pic="http://schemas.openxmlformats.org/drawingml/2006/picture">
            <wp:extent cx="5472000" cy="2487273"/>
            <wp:docPr id="8" name="Picture 8"/>
            <wp:cNvGraphicFramePr>
              <a:graphicFrameLocks noChangeAspect="1"/>
            </wp:cNvGraphicFramePr>
            <a:graphic>
              <a:graphicData uri="http://schemas.openxmlformats.org/drawingml/2006/picture">
                <pic:pic>
                  <pic:nvPicPr>
                    <pic:cNvPr id="0" name="fig_5_1_experiment_logic.png"/>
                    <pic:cNvPicPr/>
                  </pic:nvPicPr>
                  <pic:blipFill>
                    <a:blip r:embed="rId16"/>
                    <a:stretch>
                      <a:fillRect/>
                    </a:stretch>
                  </pic:blipFill>
                  <pic:spPr>
                    <a:xfrm>
                      <a:off x="0" y="0"/>
                      <a:ext cx="5472000" cy="2487273"/>
                    </a:xfrm>
                    <a:prstGeom prst="rect"/>
                  </pic:spPr>
                </pic:pic>
              </a:graphicData>
            </a:graphic>
          </wp:inline>
        </w:drawing>
      </w:r>
    </w:p>
    <w:p>
      <w:pPr>
        <w:spacing w:line="360" w:lineRule="auto"/>
        <w:ind w:firstLine="420"/>
      </w:pPr>
      <w:r>
        <w:rPr>
          <w:rFonts w:ascii="宋体" w:hAnsi="宋体" w:eastAsia="宋体"/>
          <w:b w:val="0"/>
          <w:sz w:val="21"/>
        </w:rPr>
        <w:t>图 5-1 展示本文实验分层逻辑。</w:t>
      </w:r>
    </w:p>
    <w:p>
      <w:pPr>
        <w:pStyle w:val="Heading2"/>
        <w:spacing w:line="360" w:lineRule="auto"/>
      </w:pPr>
      <w:r>
        <w:rPr>
          <w:rFonts w:ascii="黑体" w:hAnsi="黑体" w:eastAsia="黑体"/>
          <w:b/>
          <w:sz w:val="28"/>
        </w:rPr>
        <w:t>5.2 实验指标</w:t>
      </w:r>
    </w:p>
    <w:p>
      <w:pPr>
        <w:spacing w:line="360" w:lineRule="auto"/>
        <w:ind w:firstLine="420"/>
      </w:pPr>
      <w:r>
        <w:rPr>
          <w:rFonts w:ascii="宋体" w:hAnsi="宋体" w:eastAsia="宋体"/>
          <w:b w:val="0"/>
          <w:sz w:val="21"/>
        </w:rPr>
        <w:t>解析场和 VTK 对照使用平均相对误差：</w:t>
      </w:r>
    </w:p>
    <w:p>
      <w:pPr>
        <w:spacing w:before="60" w:after="60"/>
        <w:jc w:val="center"/>
      </w:pPr>
      <w:r>
        <w:rPr>
          <w:rFonts w:ascii="Times New Roman" w:hAnsi="Times New Roman" w:eastAsia="Times New Roman"/>
          <w:b w:val="0"/>
          <w:sz w:val="21"/>
        </w:rPr>
        <w:t>E_{\mathrm{rel}}</w:t>
        <w:br/>
        <w:t>=</w:t>
        <w:br/>
        <w:t>\frac{1}{n}\sum_{i=1}^{n}</w:t>
        <w:br/>
        <w:t>\frac{\|g_i-g_i^\ast\|_2}{\|g_i^\ast\|_2+\varepsilon}.</w:t>
      </w:r>
    </w:p>
    <w:p>
      <w:pPr>
        <w:spacing w:line="360" w:lineRule="auto"/>
        <w:ind w:firstLine="420"/>
      </w:pPr>
      <w:r>
        <w:rPr>
          <w:rFonts w:ascii="宋体" w:hAnsi="宋体" w:eastAsia="宋体"/>
          <w:b w:val="0"/>
          <w:sz w:val="21"/>
        </w:rPr>
        <w:t>其中 \(g_i\) 为系统计算结果，\(g_i^\ast\) 为解析真值或 VTK 参考结果，\(\varepsilon\) 为稳定项。时间实验使用 VTK 并行时间、系统总时间和 GPU 计算时间。加速比定义为</w:t>
      </w:r>
    </w:p>
    <w:p>
      <w:pPr>
        <w:spacing w:before="60" w:after="60"/>
        <w:jc w:val="center"/>
      </w:pPr>
      <w:r>
        <w:rPr>
          <w:rFonts w:ascii="Times New Roman" w:hAnsi="Times New Roman" w:eastAsia="Times New Roman"/>
          <w:b w:val="0"/>
          <w:sz w:val="21"/>
        </w:rPr>
        <w:t>S_{\mathrm{VTK}}</w:t>
        <w:br/>
        <w:t>=</w:t>
        <w:br/>
        <w:t>\frac{T_{\mathrm{VTK}}}{T_{\mathrm{sys}}}.</w:t>
      </w:r>
    </w:p>
    <w:p>
      <w:pPr>
        <w:spacing w:line="360" w:lineRule="auto"/>
        <w:ind w:firstLine="420"/>
      </w:pPr>
      <w:r>
        <w:rPr>
          <w:rFonts w:ascii="宋体" w:hAnsi="宋体" w:eastAsia="宋体"/>
          <w:b w:val="0"/>
          <w:sz w:val="21"/>
        </w:rPr>
        <w:t>数据优化实验使用改进比</w:t>
      </w:r>
    </w:p>
    <w:p>
      <w:pPr>
        <w:spacing w:before="60" w:after="60"/>
        <w:jc w:val="center"/>
      </w:pPr>
      <w:r>
        <w:rPr>
          <w:rFonts w:ascii="Times New Roman" w:hAnsi="Times New Roman" w:eastAsia="Times New Roman"/>
          <w:b w:val="0"/>
          <w:sz w:val="21"/>
        </w:rPr>
        <w:t>R_{\mathrm{imp}}</w:t>
        <w:br/>
        <w:t>=</w:t>
        <w:br/>
        <w:t>\frac{E_{\mathrm{after}}}{E_{\mathrm{before}}}.</w:t>
      </w:r>
    </w:p>
    <w:p>
      <w:pPr>
        <w:spacing w:line="360" w:lineRule="auto"/>
        <w:ind w:firstLine="420"/>
      </w:pPr>
      <w:r>
        <w:rPr>
          <w:rFonts w:ascii="宋体" w:hAnsi="宋体" w:eastAsia="宋体"/>
          <w:b w:val="0"/>
          <w:sz w:val="21"/>
        </w:rPr>
        <w:t>当 \(R_{\mathrm{imp}}&lt;1\) 时，表示优化后误差降低。</w:t>
      </w:r>
    </w:p>
    <w:p>
      <w:pPr>
        <w:pStyle w:val="Heading2"/>
        <w:spacing w:line="360" w:lineRule="auto"/>
      </w:pPr>
      <w:r>
        <w:rPr>
          <w:rFonts w:ascii="黑体" w:hAnsi="黑体" w:eastAsia="黑体"/>
          <w:b/>
          <w:sz w:val="28"/>
        </w:rPr>
        <w:t>5.3 解析场验证实验</w:t>
      </w:r>
    </w:p>
    <w:p>
      <w:pPr>
        <w:spacing w:line="360" w:lineRule="auto"/>
        <w:ind w:firstLine="420"/>
      </w:pPr>
      <w:r>
        <w:rPr>
          <w:rFonts w:ascii="宋体" w:hAnsi="宋体" w:eastAsia="宋体"/>
          <w:b w:val="0"/>
          <w:sz w:val="21"/>
        </w:rPr>
        <w:t>解析场验证的目标是证明算法本身正确。由于解析场具有已知真值，系统计算结果可以直接与真值比较。本文分别构造线性标量场和线性向量场。三维数据集在归一化局部坐标上构造一次函数，1_0 数据集在曲面局部切向坐标上构造一次函数。</w:t>
      </w:r>
    </w:p>
    <w:p>
      <w:pPr>
        <w:pStyle w:val="Heading3"/>
        <w:spacing w:line="360" w:lineRule="auto"/>
      </w:pPr>
      <w:r>
        <w:rPr>
          <w:rFonts w:ascii="黑体" w:hAnsi="黑体" w:eastAsia="黑体"/>
          <w:b/>
          <w:sz w:val="24"/>
        </w:rPr>
        <w:t>5.3.1 线性标量场</w:t>
      </w:r>
    </w:p>
    <w:tbl>
      <w:tblPr>
        <w:tblStyle w:val="TableGrid"/>
        <w:tblW w:type="auto" w:w="0"/>
        <w:tblLook w:firstColumn="1" w:firstRow="1" w:lastColumn="0" w:lastRow="0" w:noHBand="0" w:noVBand="1" w:val="04A0"/>
      </w:tblPr>
      <w:tblGrid>
        <w:gridCol w:w="3022"/>
        <w:gridCol w:w="3022"/>
        <w:gridCol w:w="3022"/>
      </w:tblGrid>
      <w:tr>
        <w:tc>
          <w:tcPr>
            <w:tcW w:type="dxa" w:w="3022"/>
          </w:tcPr>
          <w:p>
            <w:pPr>
              <w:jc w:val="center"/>
            </w:pPr>
            <w:r/>
            <w:r>
              <w:rPr>
                <w:rFonts w:ascii="宋体" w:hAnsi="宋体" w:eastAsia="宋体"/>
                <w:b/>
                <w:sz w:val="21"/>
              </w:rPr>
              <w:t>数据集</w:t>
            </w:r>
          </w:p>
        </w:tc>
        <w:tc>
          <w:tcPr>
            <w:tcW w:type="dxa" w:w="3022"/>
          </w:tcPr>
          <w:p>
            <w:pPr>
              <w:jc w:val="center"/>
            </w:pPr>
            <w:r/>
            <w:r>
              <w:rPr>
                <w:rFonts w:ascii="宋体" w:hAnsi="宋体" w:eastAsia="宋体"/>
                <w:b/>
                <w:sz w:val="21"/>
              </w:rPr>
              <w:t>场函数说明</w:t>
            </w:r>
          </w:p>
        </w:tc>
        <w:tc>
          <w:tcPr>
            <w:tcW w:type="dxa" w:w="3022"/>
          </w:tcPr>
          <w:p>
            <w:pPr>
              <w:jc w:val="center"/>
            </w:pPr>
            <w:r/>
            <w:r>
              <w:rPr>
                <w:rFonts w:ascii="宋体" w:hAnsi="宋体" w:eastAsia="宋体"/>
                <w:b/>
                <w:sz w:val="21"/>
              </w:rPr>
              <w:t>平均相对误差</w:t>
            </w:r>
          </w:p>
        </w:tc>
      </w:tr>
      <w:tr>
        <w:tc>
          <w:tcPr>
            <w:tcW w:type="dxa" w:w="3022"/>
          </w:tcPr>
          <w:p>
            <w:pPr>
              <w:jc w:val="center"/>
            </w:pPr>
            <w:r/>
            <w:r>
              <w:rPr>
                <w:rFonts w:ascii="宋体" w:hAnsi="宋体" w:eastAsia="宋体"/>
                <w:b w:val="0"/>
                <w:sz w:val="20"/>
              </w:rPr>
              <w:t>SampleStructGrid</w:t>
            </w:r>
          </w:p>
        </w:tc>
        <w:tc>
          <w:tcPr>
            <w:tcW w:type="dxa" w:w="3022"/>
          </w:tcPr>
          <w:p>
            <w:pPr>
              <w:jc w:val="center"/>
            </w:pPr>
            <w:r/>
            <w:r>
              <w:rPr>
                <w:rFonts w:ascii="宋体" w:hAnsi="宋体" w:eastAsia="宋体"/>
                <w:b w:val="0"/>
                <w:sz w:val="20"/>
              </w:rPr>
              <w:t>三维线性标量场</w:t>
            </w:r>
          </w:p>
        </w:tc>
        <w:tc>
          <w:tcPr>
            <w:tcW w:type="dxa" w:w="3022"/>
          </w:tcPr>
          <w:p>
            <w:pPr>
              <w:jc w:val="center"/>
            </w:pPr>
            <w:r/>
            <w:r>
              <w:rPr>
                <w:rFonts w:ascii="宋体" w:hAnsi="宋体" w:eastAsia="宋体"/>
                <w:b w:val="0"/>
                <w:sz w:val="20"/>
              </w:rPr>
              <w:t>2.82038e-07</w:t>
            </w:r>
          </w:p>
        </w:tc>
      </w:tr>
      <w:tr>
        <w:tc>
          <w:tcPr>
            <w:tcW w:type="dxa" w:w="3022"/>
          </w:tcPr>
          <w:p>
            <w:pPr>
              <w:jc w:val="center"/>
            </w:pPr>
            <w:r/>
            <w:r>
              <w:rPr>
                <w:rFonts w:ascii="宋体" w:hAnsi="宋体" w:eastAsia="宋体"/>
                <w:b w:val="0"/>
                <w:sz w:val="20"/>
              </w:rPr>
              <w:t>hexa</w:t>
            </w:r>
          </w:p>
        </w:tc>
        <w:tc>
          <w:tcPr>
            <w:tcW w:type="dxa" w:w="3022"/>
          </w:tcPr>
          <w:p>
            <w:pPr>
              <w:jc w:val="center"/>
            </w:pPr>
            <w:r/>
            <w:r>
              <w:rPr>
                <w:rFonts w:ascii="宋体" w:hAnsi="宋体" w:eastAsia="宋体"/>
                <w:b w:val="0"/>
                <w:sz w:val="20"/>
              </w:rPr>
              <w:t>三维线性标量场</w:t>
            </w:r>
          </w:p>
        </w:tc>
        <w:tc>
          <w:tcPr>
            <w:tcW w:type="dxa" w:w="3022"/>
          </w:tcPr>
          <w:p>
            <w:pPr>
              <w:jc w:val="center"/>
            </w:pPr>
            <w:r/>
            <w:r>
              <w:rPr>
                <w:rFonts w:ascii="宋体" w:hAnsi="宋体" w:eastAsia="宋体"/>
                <w:b w:val="0"/>
                <w:sz w:val="20"/>
              </w:rPr>
              <w:t>1.57998e-07</w:t>
            </w:r>
          </w:p>
        </w:tc>
      </w:tr>
      <w:tr>
        <w:tc>
          <w:tcPr>
            <w:tcW w:type="dxa" w:w="3022"/>
          </w:tcPr>
          <w:p>
            <w:pPr>
              <w:jc w:val="center"/>
            </w:pPr>
            <w:r/>
            <w:r>
              <w:rPr>
                <w:rFonts w:ascii="宋体" w:hAnsi="宋体" w:eastAsia="宋体"/>
                <w:b w:val="0"/>
                <w:sz w:val="20"/>
              </w:rPr>
              <w:t>1_0</w:t>
            </w:r>
          </w:p>
        </w:tc>
        <w:tc>
          <w:tcPr>
            <w:tcW w:type="dxa" w:w="3022"/>
          </w:tcPr>
          <w:p>
            <w:pPr>
              <w:jc w:val="center"/>
            </w:pPr>
            <w:r/>
            <w:r>
              <w:rPr>
                <w:rFonts w:ascii="宋体" w:hAnsi="宋体" w:eastAsia="宋体"/>
                <w:b w:val="0"/>
                <w:sz w:val="20"/>
              </w:rPr>
              <w:t>曲面切向线性标量场</w:t>
            </w:r>
          </w:p>
        </w:tc>
        <w:tc>
          <w:tcPr>
            <w:tcW w:type="dxa" w:w="3022"/>
          </w:tcPr>
          <w:p>
            <w:pPr>
              <w:jc w:val="center"/>
            </w:pPr>
            <w:r/>
            <w:r>
              <w:rPr>
                <w:rFonts w:ascii="宋体" w:hAnsi="宋体" w:eastAsia="宋体"/>
                <w:b w:val="0"/>
                <w:sz w:val="20"/>
              </w:rPr>
              <w:t>1.68088e-07</w:t>
            </w:r>
          </w:p>
        </w:tc>
      </w:tr>
    </w:tbl>
    <w:p>
      <w:pPr>
        <w:pStyle w:val="Heading3"/>
        <w:spacing w:line="360" w:lineRule="auto"/>
      </w:pPr>
      <w:r>
        <w:rPr>
          <w:rFonts w:ascii="黑体" w:hAnsi="黑体" w:eastAsia="黑体"/>
          <w:b/>
          <w:sz w:val="24"/>
        </w:rPr>
        <w:t>5.3.2 线性向量场</w:t>
      </w:r>
    </w:p>
    <w:tbl>
      <w:tblPr>
        <w:tblStyle w:val="TableGrid"/>
        <w:tblW w:type="auto" w:w="0"/>
        <w:tblLook w:firstColumn="1" w:firstRow="1" w:lastColumn="0" w:lastRow="0" w:noHBand="0" w:noVBand="1" w:val="04A0"/>
      </w:tblPr>
      <w:tblGrid>
        <w:gridCol w:w="3022"/>
        <w:gridCol w:w="3022"/>
        <w:gridCol w:w="3022"/>
      </w:tblGrid>
      <w:tr>
        <w:tc>
          <w:tcPr>
            <w:tcW w:type="dxa" w:w="3022"/>
          </w:tcPr>
          <w:p>
            <w:pPr>
              <w:jc w:val="center"/>
            </w:pPr>
            <w:r/>
            <w:r>
              <w:rPr>
                <w:rFonts w:ascii="宋体" w:hAnsi="宋体" w:eastAsia="宋体"/>
                <w:b/>
                <w:sz w:val="21"/>
              </w:rPr>
              <w:t>数据集</w:t>
            </w:r>
          </w:p>
        </w:tc>
        <w:tc>
          <w:tcPr>
            <w:tcW w:type="dxa" w:w="3022"/>
          </w:tcPr>
          <w:p>
            <w:pPr>
              <w:jc w:val="center"/>
            </w:pPr>
            <w:r/>
            <w:r>
              <w:rPr>
                <w:rFonts w:ascii="宋体" w:hAnsi="宋体" w:eastAsia="宋体"/>
                <w:b/>
                <w:sz w:val="21"/>
              </w:rPr>
              <w:t>场函数说明</w:t>
            </w:r>
          </w:p>
        </w:tc>
        <w:tc>
          <w:tcPr>
            <w:tcW w:type="dxa" w:w="3022"/>
          </w:tcPr>
          <w:p>
            <w:pPr>
              <w:jc w:val="center"/>
            </w:pPr>
            <w:r/>
            <w:r>
              <w:rPr>
                <w:rFonts w:ascii="宋体" w:hAnsi="宋体" w:eastAsia="宋体"/>
                <w:b/>
                <w:sz w:val="21"/>
              </w:rPr>
              <w:t>平均相对误差</w:t>
            </w:r>
          </w:p>
        </w:tc>
      </w:tr>
      <w:tr>
        <w:tc>
          <w:tcPr>
            <w:tcW w:type="dxa" w:w="3022"/>
          </w:tcPr>
          <w:p>
            <w:pPr>
              <w:jc w:val="center"/>
            </w:pPr>
            <w:r/>
            <w:r>
              <w:rPr>
                <w:rFonts w:ascii="宋体" w:hAnsi="宋体" w:eastAsia="宋体"/>
                <w:b w:val="0"/>
                <w:sz w:val="20"/>
              </w:rPr>
              <w:t>SampleStructGrid</w:t>
            </w:r>
          </w:p>
        </w:tc>
        <w:tc>
          <w:tcPr>
            <w:tcW w:type="dxa" w:w="3022"/>
          </w:tcPr>
          <w:p>
            <w:pPr>
              <w:jc w:val="center"/>
            </w:pPr>
            <w:r/>
            <w:r>
              <w:rPr>
                <w:rFonts w:ascii="宋体" w:hAnsi="宋体" w:eastAsia="宋体"/>
                <w:b w:val="0"/>
                <w:sz w:val="20"/>
              </w:rPr>
              <w:t>三维线性向量场</w:t>
            </w:r>
          </w:p>
        </w:tc>
        <w:tc>
          <w:tcPr>
            <w:tcW w:type="dxa" w:w="3022"/>
          </w:tcPr>
          <w:p>
            <w:pPr>
              <w:jc w:val="center"/>
            </w:pPr>
            <w:r/>
            <w:r>
              <w:rPr>
                <w:rFonts w:ascii="宋体" w:hAnsi="宋体" w:eastAsia="宋体"/>
                <w:b w:val="0"/>
                <w:sz w:val="20"/>
              </w:rPr>
              <w:t>3.30256e-07</w:t>
            </w:r>
          </w:p>
        </w:tc>
      </w:tr>
      <w:tr>
        <w:tc>
          <w:tcPr>
            <w:tcW w:type="dxa" w:w="3022"/>
          </w:tcPr>
          <w:p>
            <w:pPr>
              <w:jc w:val="center"/>
            </w:pPr>
            <w:r/>
            <w:r>
              <w:rPr>
                <w:rFonts w:ascii="宋体" w:hAnsi="宋体" w:eastAsia="宋体"/>
                <w:b w:val="0"/>
                <w:sz w:val="20"/>
              </w:rPr>
              <w:t>hexa</w:t>
            </w:r>
          </w:p>
        </w:tc>
        <w:tc>
          <w:tcPr>
            <w:tcW w:type="dxa" w:w="3022"/>
          </w:tcPr>
          <w:p>
            <w:pPr>
              <w:jc w:val="center"/>
            </w:pPr>
            <w:r/>
            <w:r>
              <w:rPr>
                <w:rFonts w:ascii="宋体" w:hAnsi="宋体" w:eastAsia="宋体"/>
                <w:b w:val="0"/>
                <w:sz w:val="20"/>
              </w:rPr>
              <w:t>三维线性向量场</w:t>
            </w:r>
          </w:p>
        </w:tc>
        <w:tc>
          <w:tcPr>
            <w:tcW w:type="dxa" w:w="3022"/>
          </w:tcPr>
          <w:p>
            <w:pPr>
              <w:jc w:val="center"/>
            </w:pPr>
            <w:r/>
            <w:r>
              <w:rPr>
                <w:rFonts w:ascii="宋体" w:hAnsi="宋体" w:eastAsia="宋体"/>
                <w:b w:val="0"/>
                <w:sz w:val="20"/>
              </w:rPr>
              <w:t>2.36149e-07</w:t>
            </w:r>
          </w:p>
        </w:tc>
      </w:tr>
      <w:tr>
        <w:tc>
          <w:tcPr>
            <w:tcW w:type="dxa" w:w="3022"/>
          </w:tcPr>
          <w:p>
            <w:pPr>
              <w:jc w:val="center"/>
            </w:pPr>
            <w:r/>
            <w:r>
              <w:rPr>
                <w:rFonts w:ascii="宋体" w:hAnsi="宋体" w:eastAsia="宋体"/>
                <w:b w:val="0"/>
                <w:sz w:val="20"/>
              </w:rPr>
              <w:t>1_0</w:t>
            </w:r>
          </w:p>
        </w:tc>
        <w:tc>
          <w:tcPr>
            <w:tcW w:type="dxa" w:w="3022"/>
          </w:tcPr>
          <w:p>
            <w:pPr>
              <w:jc w:val="center"/>
            </w:pPr>
            <w:r/>
            <w:r>
              <w:rPr>
                <w:rFonts w:ascii="宋体" w:hAnsi="宋体" w:eastAsia="宋体"/>
                <w:b w:val="0"/>
                <w:sz w:val="20"/>
              </w:rPr>
              <w:t>曲面切向线性向量场</w:t>
            </w:r>
          </w:p>
        </w:tc>
        <w:tc>
          <w:tcPr>
            <w:tcW w:type="dxa" w:w="3022"/>
          </w:tcPr>
          <w:p>
            <w:pPr>
              <w:jc w:val="center"/>
            </w:pPr>
            <w:r/>
            <w:r>
              <w:rPr>
                <w:rFonts w:ascii="宋体" w:hAnsi="宋体" w:eastAsia="宋体"/>
                <w:b w:val="0"/>
                <w:sz w:val="20"/>
              </w:rPr>
              <w:t>1.32859e-07</w:t>
            </w:r>
          </w:p>
        </w:tc>
      </w:tr>
    </w:tbl>
    <w:p>
      <w:pPr>
        <w:spacing w:line="360" w:lineRule="auto"/>
        <w:ind w:firstLine="420"/>
      </w:pPr>
      <w:r>
        <w:rPr>
          <w:rFonts w:ascii="宋体" w:hAnsi="宋体" w:eastAsia="宋体"/>
          <w:b w:val="0"/>
          <w:sz w:val="21"/>
        </w:rPr>
        <w:t>从结果看，所有平均相对误差均处于 \(10^{-7}\) 量级。SampleStructGrid 结果说明规则网格有限差分路径正确；hexa 结果说明三维非结构化网格形函数导数路径正确；1_0 结果说明曲面切向场构造下二维非结构化曲面网格也能得到稳定结果。因此，解析场验证可以作为梯度模块正确性的直接证据。</w:t>
      </w:r>
    </w:p>
    <w:p>
      <w:pPr>
        <w:pStyle w:val="Heading2"/>
        <w:spacing w:line="360" w:lineRule="auto"/>
      </w:pPr>
      <w:r>
        <w:rPr>
          <w:rFonts w:ascii="黑体" w:hAnsi="黑体" w:eastAsia="黑体"/>
          <w:b/>
          <w:sz w:val="28"/>
        </w:rPr>
        <w:t>5.4 与 VTK 结果一致性对比实验</w:t>
      </w:r>
    </w:p>
    <w:p>
      <w:pPr>
        <w:spacing w:line="360" w:lineRule="auto"/>
        <w:ind w:firstLine="420"/>
      </w:pPr>
      <w:r>
        <w:rPr>
          <w:rFonts w:ascii="宋体" w:hAnsi="宋体" w:eastAsia="宋体"/>
          <w:b w:val="0"/>
          <w:sz w:val="21"/>
        </w:rPr>
        <w:t>真实字段通常没有解析真值，因此本文使用 vtkGradientFilter 作为工程参考。VTK 文档说明该过滤器用于估计数据集字段梯度，且输出字段关联方式与输入一致[3]。因此，本文将系统结果与 VTK 结果进行对比，用于说明工程输出一致性。</w:t>
      </w:r>
    </w:p>
    <w:p>
      <w:pPr>
        <w:pStyle w:val="Heading3"/>
        <w:spacing w:line="360" w:lineRule="auto"/>
      </w:pPr>
      <w:r>
        <w:rPr>
          <w:rFonts w:ascii="黑体" w:hAnsi="黑体" w:eastAsia="黑体"/>
          <w:b/>
          <w:sz w:val="24"/>
        </w:rPr>
        <w:t>5.4.1 点数据对比</w:t>
      </w:r>
    </w:p>
    <w:tbl>
      <w:tblPr>
        <w:tblStyle w:val="TableGrid"/>
        <w:tblW w:type="auto" w:w="0"/>
        <w:tblLook w:firstColumn="1" w:firstRow="1" w:lastColumn="0" w:lastRow="0" w:noHBand="0" w:noVBand="1" w:val="04A0"/>
      </w:tblPr>
      <w:tblGrid>
        <w:gridCol w:w="3022"/>
        <w:gridCol w:w="3022"/>
        <w:gridCol w:w="3022"/>
      </w:tblGrid>
      <w:tr>
        <w:tc>
          <w:tcPr>
            <w:tcW w:type="dxa" w:w="3022"/>
          </w:tcPr>
          <w:p>
            <w:pPr>
              <w:jc w:val="center"/>
            </w:pPr>
            <w:r/>
            <w:r>
              <w:rPr>
                <w:rFonts w:ascii="宋体" w:hAnsi="宋体" w:eastAsia="宋体"/>
                <w:b/>
                <w:sz w:val="21"/>
              </w:rPr>
              <w:t>数据集</w:t>
            </w:r>
          </w:p>
        </w:tc>
        <w:tc>
          <w:tcPr>
            <w:tcW w:type="dxa" w:w="3022"/>
          </w:tcPr>
          <w:p>
            <w:pPr>
              <w:jc w:val="center"/>
            </w:pPr>
            <w:r/>
            <w:r>
              <w:rPr>
                <w:rFonts w:ascii="宋体" w:hAnsi="宋体" w:eastAsia="宋体"/>
                <w:b/>
                <w:sz w:val="21"/>
              </w:rPr>
              <w:t>字段</w:t>
            </w:r>
          </w:p>
        </w:tc>
        <w:tc>
          <w:tcPr>
            <w:tcW w:type="dxa" w:w="3022"/>
          </w:tcPr>
          <w:p>
            <w:pPr>
              <w:jc w:val="center"/>
            </w:pPr>
            <w:r/>
            <w:r>
              <w:rPr>
                <w:rFonts w:ascii="宋体" w:hAnsi="宋体" w:eastAsia="宋体"/>
                <w:b/>
                <w:sz w:val="21"/>
              </w:rPr>
              <w:t>平均相对误差</w:t>
            </w:r>
          </w:p>
        </w:tc>
      </w:tr>
      <w:tr>
        <w:tc>
          <w:tcPr>
            <w:tcW w:type="dxa" w:w="3022"/>
          </w:tcPr>
          <w:p>
            <w:pPr>
              <w:jc w:val="center"/>
            </w:pPr>
            <w:r/>
            <w:r>
              <w:rPr>
                <w:rFonts w:ascii="宋体" w:hAnsi="宋体" w:eastAsia="宋体"/>
                <w:b w:val="0"/>
                <w:sz w:val="20"/>
              </w:rPr>
              <w:t>SampleStructGrid</w:t>
            </w:r>
          </w:p>
        </w:tc>
        <w:tc>
          <w:tcPr>
            <w:tcW w:type="dxa" w:w="3022"/>
          </w:tcPr>
          <w:p>
            <w:pPr>
              <w:jc w:val="center"/>
            </w:pPr>
            <w:r/>
            <w:r>
              <w:rPr>
                <w:rFonts w:ascii="宋体" w:hAnsi="宋体" w:eastAsia="宋体"/>
                <w:b w:val="0"/>
                <w:sz w:val="20"/>
              </w:rPr>
              <w:t>scalars</w:t>
            </w:r>
          </w:p>
        </w:tc>
        <w:tc>
          <w:tcPr>
            <w:tcW w:type="dxa" w:w="3022"/>
          </w:tcPr>
          <w:p>
            <w:pPr>
              <w:jc w:val="center"/>
            </w:pPr>
            <w:r/>
            <w:r>
              <w:rPr>
                <w:rFonts w:ascii="宋体" w:hAnsi="宋体" w:eastAsia="宋体"/>
                <w:b w:val="0"/>
                <w:sz w:val="20"/>
              </w:rPr>
              <w:t>8.22437e-08</w:t>
            </w:r>
          </w:p>
        </w:tc>
      </w:tr>
      <w:tr>
        <w:tc>
          <w:tcPr>
            <w:tcW w:type="dxa" w:w="3022"/>
          </w:tcPr>
          <w:p>
            <w:pPr>
              <w:jc w:val="center"/>
            </w:pPr>
            <w:r/>
            <w:r>
              <w:rPr>
                <w:rFonts w:ascii="宋体" w:hAnsi="宋体" w:eastAsia="宋体"/>
                <w:b w:val="0"/>
                <w:sz w:val="20"/>
              </w:rPr>
              <w:t>hexa</w:t>
            </w:r>
          </w:p>
        </w:tc>
        <w:tc>
          <w:tcPr>
            <w:tcW w:type="dxa" w:w="3022"/>
          </w:tcPr>
          <w:p>
            <w:pPr>
              <w:jc w:val="center"/>
            </w:pPr>
            <w:r/>
            <w:r>
              <w:rPr>
                <w:rFonts w:ascii="宋体" w:hAnsi="宋体" w:eastAsia="宋体"/>
                <w:b w:val="0"/>
                <w:sz w:val="20"/>
              </w:rPr>
              <w:t>scalars</w:t>
            </w:r>
          </w:p>
        </w:tc>
        <w:tc>
          <w:tcPr>
            <w:tcW w:type="dxa" w:w="3022"/>
          </w:tcPr>
          <w:p>
            <w:pPr>
              <w:jc w:val="center"/>
            </w:pPr>
            <w:r/>
            <w:r>
              <w:rPr>
                <w:rFonts w:ascii="宋体" w:hAnsi="宋体" w:eastAsia="宋体"/>
                <w:b w:val="0"/>
                <w:sz w:val="20"/>
              </w:rPr>
              <w:t>6.27285e-08</w:t>
            </w:r>
          </w:p>
        </w:tc>
      </w:tr>
      <w:tr>
        <w:tc>
          <w:tcPr>
            <w:tcW w:type="dxa" w:w="3022"/>
          </w:tcPr>
          <w:p>
            <w:pPr>
              <w:jc w:val="center"/>
            </w:pPr>
            <w:r/>
            <w:r>
              <w:rPr>
                <w:rFonts w:ascii="宋体" w:hAnsi="宋体" w:eastAsia="宋体"/>
                <w:b w:val="0"/>
                <w:sz w:val="20"/>
              </w:rPr>
              <w:t>1_0</w:t>
            </w:r>
          </w:p>
        </w:tc>
        <w:tc>
          <w:tcPr>
            <w:tcW w:type="dxa" w:w="3022"/>
          </w:tcPr>
          <w:p>
            <w:pPr>
              <w:jc w:val="center"/>
            </w:pPr>
            <w:r/>
            <w:r>
              <w:rPr>
                <w:rFonts w:ascii="宋体" w:hAnsi="宋体" w:eastAsia="宋体"/>
                <w:b w:val="0"/>
                <w:sz w:val="20"/>
              </w:rPr>
              <w:t>RF</w:t>
            </w:r>
          </w:p>
        </w:tc>
        <w:tc>
          <w:tcPr>
            <w:tcW w:type="dxa" w:w="3022"/>
          </w:tcPr>
          <w:p>
            <w:pPr>
              <w:jc w:val="center"/>
            </w:pPr>
            <w:r/>
            <w:r>
              <w:rPr>
                <w:rFonts w:ascii="宋体" w:hAnsi="宋体" w:eastAsia="宋体"/>
                <w:b w:val="0"/>
                <w:sz w:val="20"/>
              </w:rPr>
              <w:t>5.63477e-08</w:t>
            </w:r>
          </w:p>
        </w:tc>
      </w:tr>
    </w:tbl>
    <w:p>
      <w:pPr>
        <w:pStyle w:val="Heading3"/>
        <w:spacing w:line="360" w:lineRule="auto"/>
      </w:pPr>
      <w:r>
        <w:rPr>
          <w:rFonts w:ascii="黑体" w:hAnsi="黑体" w:eastAsia="黑体"/>
          <w:b/>
          <w:sz w:val="24"/>
        </w:rPr>
        <w:t>5.4.2 单元数据对比</w:t>
      </w:r>
    </w:p>
    <w:tbl>
      <w:tblPr>
        <w:tblStyle w:val="TableGrid"/>
        <w:tblW w:type="auto" w:w="0"/>
        <w:tblLook w:firstColumn="1" w:firstRow="1" w:lastColumn="0" w:lastRow="0" w:noHBand="0" w:noVBand="1" w:val="04A0"/>
      </w:tblPr>
      <w:tblGrid>
        <w:gridCol w:w="3022"/>
        <w:gridCol w:w="3022"/>
        <w:gridCol w:w="3022"/>
      </w:tblGrid>
      <w:tr>
        <w:tc>
          <w:tcPr>
            <w:tcW w:type="dxa" w:w="3022"/>
          </w:tcPr>
          <w:p>
            <w:pPr>
              <w:jc w:val="center"/>
            </w:pPr>
            <w:r/>
            <w:r>
              <w:rPr>
                <w:rFonts w:ascii="宋体" w:hAnsi="宋体" w:eastAsia="宋体"/>
                <w:b/>
                <w:sz w:val="21"/>
              </w:rPr>
              <w:t>数据集</w:t>
            </w:r>
          </w:p>
        </w:tc>
        <w:tc>
          <w:tcPr>
            <w:tcW w:type="dxa" w:w="3022"/>
          </w:tcPr>
          <w:p>
            <w:pPr>
              <w:jc w:val="center"/>
            </w:pPr>
            <w:r/>
            <w:r>
              <w:rPr>
                <w:rFonts w:ascii="宋体" w:hAnsi="宋体" w:eastAsia="宋体"/>
                <w:b/>
                <w:sz w:val="21"/>
              </w:rPr>
              <w:t>字段</w:t>
            </w:r>
          </w:p>
        </w:tc>
        <w:tc>
          <w:tcPr>
            <w:tcW w:type="dxa" w:w="3022"/>
          </w:tcPr>
          <w:p>
            <w:pPr>
              <w:jc w:val="center"/>
            </w:pPr>
            <w:r/>
            <w:r>
              <w:rPr>
                <w:rFonts w:ascii="宋体" w:hAnsi="宋体" w:eastAsia="宋体"/>
                <w:b/>
                <w:sz w:val="21"/>
              </w:rPr>
              <w:t>平均相对误差</w:t>
            </w:r>
          </w:p>
        </w:tc>
      </w:tr>
      <w:tr>
        <w:tc>
          <w:tcPr>
            <w:tcW w:type="dxa" w:w="3022"/>
          </w:tcPr>
          <w:p>
            <w:pPr>
              <w:jc w:val="center"/>
            </w:pPr>
            <w:r/>
            <w:r>
              <w:rPr>
                <w:rFonts w:ascii="宋体" w:hAnsi="宋体" w:eastAsia="宋体"/>
                <w:b w:val="0"/>
                <w:sz w:val="20"/>
              </w:rPr>
              <w:t>SampleStructGrid</w:t>
            </w:r>
          </w:p>
        </w:tc>
        <w:tc>
          <w:tcPr>
            <w:tcW w:type="dxa" w:w="3022"/>
          </w:tcPr>
          <w:p>
            <w:pPr>
              <w:jc w:val="center"/>
            </w:pPr>
            <w:r/>
            <w:r>
              <w:rPr>
                <w:rFonts w:ascii="宋体" w:hAnsi="宋体" w:eastAsia="宋体"/>
                <w:b w:val="0"/>
                <w:sz w:val="20"/>
              </w:rPr>
              <w:t>scalars</w:t>
            </w:r>
          </w:p>
        </w:tc>
        <w:tc>
          <w:tcPr>
            <w:tcW w:type="dxa" w:w="3022"/>
          </w:tcPr>
          <w:p>
            <w:pPr>
              <w:jc w:val="center"/>
            </w:pPr>
            <w:r/>
            <w:r>
              <w:rPr>
                <w:rFonts w:ascii="宋体" w:hAnsi="宋体" w:eastAsia="宋体"/>
                <w:b w:val="0"/>
                <w:sz w:val="20"/>
              </w:rPr>
              <w:t>7.62786e-07</w:t>
            </w:r>
          </w:p>
        </w:tc>
      </w:tr>
      <w:tr>
        <w:tc>
          <w:tcPr>
            <w:tcW w:type="dxa" w:w="3022"/>
          </w:tcPr>
          <w:p>
            <w:pPr>
              <w:jc w:val="center"/>
            </w:pPr>
            <w:r/>
            <w:r>
              <w:rPr>
                <w:rFonts w:ascii="宋体" w:hAnsi="宋体" w:eastAsia="宋体"/>
                <w:b w:val="0"/>
                <w:sz w:val="20"/>
              </w:rPr>
              <w:t>limb</w:t>
            </w:r>
          </w:p>
        </w:tc>
        <w:tc>
          <w:tcPr>
            <w:tcW w:type="dxa" w:w="3022"/>
          </w:tcPr>
          <w:p>
            <w:pPr>
              <w:jc w:val="center"/>
            </w:pPr>
            <w:r/>
            <w:r>
              <w:rPr>
                <w:rFonts w:ascii="宋体" w:hAnsi="宋体" w:eastAsia="宋体"/>
                <w:b w:val="0"/>
                <w:sz w:val="20"/>
              </w:rPr>
              <w:t>chem_0</w:t>
            </w:r>
          </w:p>
        </w:tc>
        <w:tc>
          <w:tcPr>
            <w:tcW w:type="dxa" w:w="3022"/>
          </w:tcPr>
          <w:p>
            <w:pPr>
              <w:jc w:val="center"/>
            </w:pPr>
            <w:r/>
            <w:r>
              <w:rPr>
                <w:rFonts w:ascii="宋体" w:hAnsi="宋体" w:eastAsia="宋体"/>
                <w:b w:val="0"/>
                <w:sz w:val="20"/>
              </w:rPr>
              <w:t>3.89516e-07</w:t>
            </w:r>
          </w:p>
        </w:tc>
      </w:tr>
      <w:tr>
        <w:tc>
          <w:tcPr>
            <w:tcW w:type="dxa" w:w="3022"/>
          </w:tcPr>
          <w:p>
            <w:pPr>
              <w:jc w:val="center"/>
            </w:pPr>
            <w:r/>
            <w:r>
              <w:rPr>
                <w:rFonts w:ascii="宋体" w:hAnsi="宋体" w:eastAsia="宋体"/>
                <w:b w:val="0"/>
                <w:sz w:val="20"/>
              </w:rPr>
              <w:t>1_0</w:t>
            </w:r>
          </w:p>
        </w:tc>
        <w:tc>
          <w:tcPr>
            <w:tcW w:type="dxa" w:w="3022"/>
          </w:tcPr>
          <w:p>
            <w:pPr>
              <w:jc w:val="center"/>
            </w:pPr>
            <w:r/>
            <w:r>
              <w:rPr>
                <w:rFonts w:ascii="宋体" w:hAnsi="宋体" w:eastAsia="宋体"/>
                <w:b w:val="0"/>
                <w:sz w:val="20"/>
              </w:rPr>
              <w:t>S_Mises</w:t>
            </w:r>
          </w:p>
        </w:tc>
        <w:tc>
          <w:tcPr>
            <w:tcW w:type="dxa" w:w="3022"/>
          </w:tcPr>
          <w:p>
            <w:pPr>
              <w:jc w:val="center"/>
            </w:pPr>
            <w:r/>
            <w:r>
              <w:rPr>
                <w:rFonts w:ascii="宋体" w:hAnsi="宋体" w:eastAsia="宋体"/>
                <w:b w:val="0"/>
                <w:sz w:val="20"/>
              </w:rPr>
              <w:t>7.77806e-08</w:t>
            </w:r>
          </w:p>
        </w:tc>
      </w:tr>
    </w:tbl>
    <w:p>
      <w:pPr>
        <w:spacing w:line="360" w:lineRule="auto"/>
        <w:ind w:firstLine="420"/>
      </w:pPr>
      <w:r>
        <w:rPr>
          <w:rFonts w:ascii="宋体" w:hAnsi="宋体" w:eastAsia="宋体"/>
          <w:b w:val="0"/>
          <w:sz w:val="21"/>
        </w:rPr>
        <w:t>点数据实验中，三个数据集误差均为 \(10^{-8}\) 量级。单元数据实验中，误差为 \(10^{-7}\) 到 \(10^{-6}\) 量级。该结果说明系统在真实字段上与 VTK 保持较高一致性。需要强调，这组实验不替代解析场验证，而是补充说明系统在工程数据上的输出可信度。</w:t>
      </w:r>
    </w:p>
    <w:p>
      <w:pPr>
        <w:pStyle w:val="Heading2"/>
        <w:spacing w:line="360" w:lineRule="auto"/>
      </w:pPr>
      <w:r>
        <w:rPr>
          <w:rFonts w:ascii="黑体" w:hAnsi="黑体" w:eastAsia="黑体"/>
          <w:b/>
          <w:sz w:val="28"/>
        </w:rPr>
        <w:t>5.5 与 VTK 的时间对比实验</w:t>
      </w:r>
    </w:p>
    <w:p>
      <w:pPr>
        <w:spacing w:line="360" w:lineRule="auto"/>
        <w:ind w:firstLine="420"/>
      </w:pPr>
      <w:r>
        <w:rPr>
          <w:rFonts w:ascii="宋体" w:hAnsi="宋体" w:eastAsia="宋体"/>
          <w:b w:val="0"/>
          <w:sz w:val="21"/>
        </w:rPr>
        <w:t>时间实验使用统一生成的同构网格族，而不是任意真实模型。这样可以减少模型差异对时间结果的影响，使数据规模和计算时间之间的关系更清晰。实验记录 VTK 并行线程数、VTK 并行时间、系统总时间和 GPU 计算时间。</w:t>
      </w:r>
    </w:p>
    <w:p>
      <w:pPr>
        <w:jc w:val="center"/>
      </w:pPr>
      <w:r>
        <w:drawing>
          <wp:inline xmlns:a="http://schemas.openxmlformats.org/drawingml/2006/main" xmlns:pic="http://schemas.openxmlformats.org/drawingml/2006/picture">
            <wp:extent cx="5472000" cy="2850000"/>
            <wp:docPr id="9" name="Picture 9"/>
            <wp:cNvGraphicFramePr>
              <a:graphicFrameLocks noChangeAspect="1"/>
            </wp:cNvGraphicFramePr>
            <a:graphic>
              <a:graphicData uri="http://schemas.openxmlformats.org/drawingml/2006/picture">
                <pic:pic>
                  <pic:nvPicPr>
                    <pic:cNvPr id="0" name="fig_5_2_timing_compare.png"/>
                    <pic:cNvPicPr/>
                  </pic:nvPicPr>
                  <pic:blipFill>
                    <a:blip r:embed="rId17"/>
                    <a:stretch>
                      <a:fillRect/>
                    </a:stretch>
                  </pic:blipFill>
                  <pic:spPr>
                    <a:xfrm>
                      <a:off x="0" y="0"/>
                      <a:ext cx="5472000" cy="2850000"/>
                    </a:xfrm>
                    <a:prstGeom prst="rect"/>
                  </pic:spPr>
                </pic:pic>
              </a:graphicData>
            </a:graphic>
          </wp:inline>
        </w:drawing>
      </w:r>
    </w:p>
    <w:p>
      <w:pPr>
        <w:pStyle w:val="Heading3"/>
        <w:spacing w:line="360" w:lineRule="auto"/>
      </w:pPr>
      <w:r>
        <w:rPr>
          <w:rFonts w:ascii="黑体" w:hAnsi="黑体" w:eastAsia="黑体"/>
          <w:b/>
          <w:sz w:val="24"/>
        </w:rPr>
        <w:t>5.5.1 规则网格时间对比</w:t>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宋体" w:hAnsi="宋体" w:eastAsia="宋体"/>
                <w:b/>
                <w:sz w:val="21"/>
              </w:rPr>
              <w:t>数据集</w:t>
            </w:r>
          </w:p>
        </w:tc>
        <w:tc>
          <w:tcPr>
            <w:tcW w:type="dxa" w:w="1511"/>
          </w:tcPr>
          <w:p>
            <w:pPr>
              <w:jc w:val="center"/>
            </w:pPr>
            <w:r/>
            <w:r>
              <w:rPr>
                <w:rFonts w:ascii="宋体" w:hAnsi="宋体" w:eastAsia="宋体"/>
                <w:b/>
                <w:sz w:val="21"/>
              </w:rPr>
              <w:t>点数/单元数</w:t>
            </w:r>
          </w:p>
        </w:tc>
        <w:tc>
          <w:tcPr>
            <w:tcW w:type="dxa" w:w="1511"/>
          </w:tcPr>
          <w:p>
            <w:pPr>
              <w:jc w:val="center"/>
            </w:pPr>
            <w:r/>
            <w:r>
              <w:rPr>
                <w:rFonts w:ascii="宋体" w:hAnsi="宋体" w:eastAsia="宋体"/>
                <w:b/>
                <w:sz w:val="21"/>
              </w:rPr>
              <w:t>VTK 并行线程数</w:t>
            </w:r>
          </w:p>
        </w:tc>
        <w:tc>
          <w:tcPr>
            <w:tcW w:type="dxa" w:w="1511"/>
          </w:tcPr>
          <w:p>
            <w:pPr>
              <w:jc w:val="center"/>
            </w:pPr>
            <w:r/>
            <w:r>
              <w:rPr>
                <w:rFonts w:ascii="宋体" w:hAnsi="宋体" w:eastAsia="宋体"/>
                <w:b/>
                <w:sz w:val="21"/>
              </w:rPr>
              <w:t>VTK 并行时间/ms</w:t>
            </w:r>
          </w:p>
        </w:tc>
        <w:tc>
          <w:tcPr>
            <w:tcW w:type="dxa" w:w="1511"/>
          </w:tcPr>
          <w:p>
            <w:pPr>
              <w:jc w:val="center"/>
            </w:pPr>
            <w:r/>
            <w:r>
              <w:rPr>
                <w:rFonts w:ascii="宋体" w:hAnsi="宋体" w:eastAsia="宋体"/>
                <w:b/>
                <w:sz w:val="21"/>
              </w:rPr>
              <w:t>系统总时间/ms</w:t>
            </w:r>
          </w:p>
        </w:tc>
        <w:tc>
          <w:tcPr>
            <w:tcW w:type="dxa" w:w="1511"/>
          </w:tcPr>
          <w:p>
            <w:pPr>
              <w:jc w:val="center"/>
            </w:pPr>
            <w:r/>
            <w:r>
              <w:rPr>
                <w:rFonts w:ascii="宋体" w:hAnsi="宋体" w:eastAsia="宋体"/>
                <w:b/>
                <w:sz w:val="21"/>
              </w:rPr>
              <w:t>GPU计算时间/ms</w:t>
            </w:r>
          </w:p>
        </w:tc>
      </w:tr>
      <w:tr>
        <w:tc>
          <w:tcPr>
            <w:tcW w:type="dxa" w:w="1511"/>
          </w:tcPr>
          <w:p>
            <w:pPr>
              <w:jc w:val="center"/>
            </w:pPr>
            <w:r/>
            <w:r>
              <w:rPr>
                <w:rFonts w:ascii="宋体" w:hAnsi="宋体" w:eastAsia="宋体"/>
                <w:b w:val="0"/>
                <w:sz w:val="20"/>
              </w:rPr>
              <w:t>timing_struct_20x20x20</w:t>
            </w:r>
          </w:p>
        </w:tc>
        <w:tc>
          <w:tcPr>
            <w:tcW w:type="dxa" w:w="1511"/>
          </w:tcPr>
          <w:p>
            <w:pPr>
              <w:jc w:val="center"/>
            </w:pPr>
            <w:r/>
            <w:r>
              <w:rPr>
                <w:rFonts w:ascii="宋体" w:hAnsi="宋体" w:eastAsia="宋体"/>
                <w:b w:val="0"/>
                <w:sz w:val="20"/>
              </w:rPr>
              <w:t>8000 / 6859</w:t>
            </w:r>
          </w:p>
        </w:tc>
        <w:tc>
          <w:tcPr>
            <w:tcW w:type="dxa" w:w="1511"/>
          </w:tcPr>
          <w:p>
            <w:pPr>
              <w:jc w:val="center"/>
            </w:pPr>
            <w:r/>
            <w:r>
              <w:rPr>
                <w:rFonts w:ascii="宋体" w:hAnsi="宋体" w:eastAsia="宋体"/>
                <w:b w:val="0"/>
                <w:sz w:val="20"/>
              </w:rPr>
              <w:t>16</w:t>
            </w:r>
          </w:p>
        </w:tc>
        <w:tc>
          <w:tcPr>
            <w:tcW w:type="dxa" w:w="1511"/>
          </w:tcPr>
          <w:p>
            <w:pPr>
              <w:jc w:val="center"/>
            </w:pPr>
            <w:r/>
            <w:r>
              <w:rPr>
                <w:rFonts w:ascii="宋体" w:hAnsi="宋体" w:eastAsia="宋体"/>
                <w:b w:val="0"/>
                <w:sz w:val="20"/>
              </w:rPr>
              <w:t>2.7573</w:t>
            </w:r>
          </w:p>
        </w:tc>
        <w:tc>
          <w:tcPr>
            <w:tcW w:type="dxa" w:w="1511"/>
          </w:tcPr>
          <w:p>
            <w:pPr>
              <w:jc w:val="center"/>
            </w:pPr>
            <w:r/>
            <w:r>
              <w:rPr>
                <w:rFonts w:ascii="宋体" w:hAnsi="宋体" w:eastAsia="宋体"/>
                <w:b w:val="0"/>
                <w:sz w:val="20"/>
              </w:rPr>
              <w:t>0.9036</w:t>
            </w:r>
          </w:p>
        </w:tc>
        <w:tc>
          <w:tcPr>
            <w:tcW w:type="dxa" w:w="1511"/>
          </w:tcPr>
          <w:p>
            <w:pPr>
              <w:jc w:val="center"/>
            </w:pPr>
            <w:r/>
            <w:r>
              <w:rPr>
                <w:rFonts w:ascii="宋体" w:hAnsi="宋体" w:eastAsia="宋体"/>
                <w:b w:val="0"/>
                <w:sz w:val="20"/>
              </w:rPr>
              <w:t>0.025272</w:t>
            </w:r>
          </w:p>
        </w:tc>
      </w:tr>
      <w:tr>
        <w:tc>
          <w:tcPr>
            <w:tcW w:type="dxa" w:w="1511"/>
          </w:tcPr>
          <w:p>
            <w:pPr>
              <w:jc w:val="center"/>
            </w:pPr>
            <w:r/>
            <w:r>
              <w:rPr>
                <w:rFonts w:ascii="宋体" w:hAnsi="宋体" w:eastAsia="宋体"/>
                <w:b w:val="0"/>
                <w:sz w:val="20"/>
              </w:rPr>
              <w:t>timing_struct_32x32x32</w:t>
            </w:r>
          </w:p>
        </w:tc>
        <w:tc>
          <w:tcPr>
            <w:tcW w:type="dxa" w:w="1511"/>
          </w:tcPr>
          <w:p>
            <w:pPr>
              <w:jc w:val="center"/>
            </w:pPr>
            <w:r/>
            <w:r>
              <w:rPr>
                <w:rFonts w:ascii="宋体" w:hAnsi="宋体" w:eastAsia="宋体"/>
                <w:b w:val="0"/>
                <w:sz w:val="20"/>
              </w:rPr>
              <w:t>32768 / 29791</w:t>
            </w:r>
          </w:p>
        </w:tc>
        <w:tc>
          <w:tcPr>
            <w:tcW w:type="dxa" w:w="1511"/>
          </w:tcPr>
          <w:p>
            <w:pPr>
              <w:jc w:val="center"/>
            </w:pPr>
            <w:r/>
            <w:r>
              <w:rPr>
                <w:rFonts w:ascii="宋体" w:hAnsi="宋体" w:eastAsia="宋体"/>
                <w:b w:val="0"/>
                <w:sz w:val="20"/>
              </w:rPr>
              <w:t>16</w:t>
            </w:r>
          </w:p>
        </w:tc>
        <w:tc>
          <w:tcPr>
            <w:tcW w:type="dxa" w:w="1511"/>
          </w:tcPr>
          <w:p>
            <w:pPr>
              <w:jc w:val="center"/>
            </w:pPr>
            <w:r/>
            <w:r>
              <w:rPr>
                <w:rFonts w:ascii="宋体" w:hAnsi="宋体" w:eastAsia="宋体"/>
                <w:b w:val="0"/>
                <w:sz w:val="20"/>
              </w:rPr>
              <w:t>3.5564</w:t>
            </w:r>
          </w:p>
        </w:tc>
        <w:tc>
          <w:tcPr>
            <w:tcW w:type="dxa" w:w="1511"/>
          </w:tcPr>
          <w:p>
            <w:pPr>
              <w:jc w:val="center"/>
            </w:pPr>
            <w:r/>
            <w:r>
              <w:rPr>
                <w:rFonts w:ascii="宋体" w:hAnsi="宋体" w:eastAsia="宋体"/>
                <w:b w:val="0"/>
                <w:sz w:val="20"/>
              </w:rPr>
              <w:t>1.4336</w:t>
            </w:r>
          </w:p>
        </w:tc>
        <w:tc>
          <w:tcPr>
            <w:tcW w:type="dxa" w:w="1511"/>
          </w:tcPr>
          <w:p>
            <w:pPr>
              <w:jc w:val="center"/>
            </w:pPr>
            <w:r/>
            <w:r>
              <w:rPr>
                <w:rFonts w:ascii="宋体" w:hAnsi="宋体" w:eastAsia="宋体"/>
                <w:b w:val="0"/>
                <w:sz w:val="20"/>
              </w:rPr>
              <w:t>0.043732</w:t>
            </w:r>
          </w:p>
        </w:tc>
      </w:tr>
      <w:tr>
        <w:tc>
          <w:tcPr>
            <w:tcW w:type="dxa" w:w="1511"/>
          </w:tcPr>
          <w:p>
            <w:pPr>
              <w:jc w:val="center"/>
            </w:pPr>
            <w:r/>
            <w:r>
              <w:rPr>
                <w:rFonts w:ascii="宋体" w:hAnsi="宋体" w:eastAsia="宋体"/>
                <w:b w:val="0"/>
                <w:sz w:val="20"/>
              </w:rPr>
              <w:t>timing_struct_48x48x48</w:t>
            </w:r>
          </w:p>
        </w:tc>
        <w:tc>
          <w:tcPr>
            <w:tcW w:type="dxa" w:w="1511"/>
          </w:tcPr>
          <w:p>
            <w:pPr>
              <w:jc w:val="center"/>
            </w:pPr>
            <w:r/>
            <w:r>
              <w:rPr>
                <w:rFonts w:ascii="宋体" w:hAnsi="宋体" w:eastAsia="宋体"/>
                <w:b w:val="0"/>
                <w:sz w:val="20"/>
              </w:rPr>
              <w:t>110592 / 103823</w:t>
            </w:r>
          </w:p>
        </w:tc>
        <w:tc>
          <w:tcPr>
            <w:tcW w:type="dxa" w:w="1511"/>
          </w:tcPr>
          <w:p>
            <w:pPr>
              <w:jc w:val="center"/>
            </w:pPr>
            <w:r/>
            <w:r>
              <w:rPr>
                <w:rFonts w:ascii="宋体" w:hAnsi="宋体" w:eastAsia="宋体"/>
                <w:b w:val="0"/>
                <w:sz w:val="20"/>
              </w:rPr>
              <w:t>16</w:t>
            </w:r>
          </w:p>
        </w:tc>
        <w:tc>
          <w:tcPr>
            <w:tcW w:type="dxa" w:w="1511"/>
          </w:tcPr>
          <w:p>
            <w:pPr>
              <w:jc w:val="center"/>
            </w:pPr>
            <w:r/>
            <w:r>
              <w:rPr>
                <w:rFonts w:ascii="宋体" w:hAnsi="宋体" w:eastAsia="宋体"/>
                <w:b w:val="0"/>
                <w:sz w:val="20"/>
              </w:rPr>
              <w:t>8.2716</w:t>
            </w:r>
          </w:p>
        </w:tc>
        <w:tc>
          <w:tcPr>
            <w:tcW w:type="dxa" w:w="1511"/>
          </w:tcPr>
          <w:p>
            <w:pPr>
              <w:jc w:val="center"/>
            </w:pPr>
            <w:r/>
            <w:r>
              <w:rPr>
                <w:rFonts w:ascii="宋体" w:hAnsi="宋体" w:eastAsia="宋体"/>
                <w:b w:val="0"/>
                <w:sz w:val="20"/>
              </w:rPr>
              <w:t>4.0996</w:t>
            </w:r>
          </w:p>
        </w:tc>
        <w:tc>
          <w:tcPr>
            <w:tcW w:type="dxa" w:w="1511"/>
          </w:tcPr>
          <w:p>
            <w:pPr>
              <w:jc w:val="center"/>
            </w:pPr>
            <w:r/>
            <w:r>
              <w:rPr>
                <w:rFonts w:ascii="宋体" w:hAnsi="宋体" w:eastAsia="宋体"/>
                <w:b w:val="0"/>
                <w:sz w:val="20"/>
              </w:rPr>
              <w:t>0.107692</w:t>
            </w:r>
          </w:p>
        </w:tc>
      </w:tr>
    </w:tbl>
    <w:p>
      <w:pPr>
        <w:spacing w:line="360" w:lineRule="auto"/>
        <w:ind w:firstLine="420"/>
      </w:pPr>
      <w:r>
        <w:rPr>
          <w:rFonts w:ascii="宋体" w:hAnsi="宋体" w:eastAsia="宋体"/>
          <w:b w:val="0"/>
          <w:sz w:val="21"/>
        </w:rPr>
        <w:t>规则网格实验中，系统总时间从 0.9036 ms 增至 4.0996 ms，GPU 计算时间从 0.025272 ms 增至 0.107692 ms。对应 VTK 并行时间从 2.7573 ms 增至 8.2716 ms。系统总时间始终低于 VTK 并行时间，说明有限差分路径在当前测试条件下具有较好的执行效率。</w:t>
      </w:r>
    </w:p>
    <w:p>
      <w:pPr>
        <w:pStyle w:val="Heading3"/>
        <w:spacing w:line="360" w:lineRule="auto"/>
      </w:pPr>
      <w:r>
        <w:rPr>
          <w:rFonts w:ascii="黑体" w:hAnsi="黑体" w:eastAsia="黑体"/>
          <w:b/>
          <w:sz w:val="24"/>
        </w:rPr>
        <w:t>5.5.2 非结构化网格时间对比</w:t>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宋体" w:hAnsi="宋体" w:eastAsia="宋体"/>
                <w:b/>
                <w:sz w:val="21"/>
              </w:rPr>
              <w:t>数据集</w:t>
            </w:r>
          </w:p>
        </w:tc>
        <w:tc>
          <w:tcPr>
            <w:tcW w:type="dxa" w:w="1511"/>
          </w:tcPr>
          <w:p>
            <w:pPr>
              <w:jc w:val="center"/>
            </w:pPr>
            <w:r/>
            <w:r>
              <w:rPr>
                <w:rFonts w:ascii="宋体" w:hAnsi="宋体" w:eastAsia="宋体"/>
                <w:b/>
                <w:sz w:val="21"/>
              </w:rPr>
              <w:t>点数/单元数</w:t>
            </w:r>
          </w:p>
        </w:tc>
        <w:tc>
          <w:tcPr>
            <w:tcW w:type="dxa" w:w="1511"/>
          </w:tcPr>
          <w:p>
            <w:pPr>
              <w:jc w:val="center"/>
            </w:pPr>
            <w:r/>
            <w:r>
              <w:rPr>
                <w:rFonts w:ascii="宋体" w:hAnsi="宋体" w:eastAsia="宋体"/>
                <w:b/>
                <w:sz w:val="21"/>
              </w:rPr>
              <w:t>VTK 并行线程数</w:t>
            </w:r>
          </w:p>
        </w:tc>
        <w:tc>
          <w:tcPr>
            <w:tcW w:type="dxa" w:w="1511"/>
          </w:tcPr>
          <w:p>
            <w:pPr>
              <w:jc w:val="center"/>
            </w:pPr>
            <w:r/>
            <w:r>
              <w:rPr>
                <w:rFonts w:ascii="宋体" w:hAnsi="宋体" w:eastAsia="宋体"/>
                <w:b/>
                <w:sz w:val="21"/>
              </w:rPr>
              <w:t>VTK 并行时间/ms</w:t>
            </w:r>
          </w:p>
        </w:tc>
        <w:tc>
          <w:tcPr>
            <w:tcW w:type="dxa" w:w="1511"/>
          </w:tcPr>
          <w:p>
            <w:pPr>
              <w:jc w:val="center"/>
            </w:pPr>
            <w:r/>
            <w:r>
              <w:rPr>
                <w:rFonts w:ascii="宋体" w:hAnsi="宋体" w:eastAsia="宋体"/>
                <w:b/>
                <w:sz w:val="21"/>
              </w:rPr>
              <w:t>系统总时间/ms</w:t>
            </w:r>
          </w:p>
        </w:tc>
        <w:tc>
          <w:tcPr>
            <w:tcW w:type="dxa" w:w="1511"/>
          </w:tcPr>
          <w:p>
            <w:pPr>
              <w:jc w:val="center"/>
            </w:pPr>
            <w:r/>
            <w:r>
              <w:rPr>
                <w:rFonts w:ascii="宋体" w:hAnsi="宋体" w:eastAsia="宋体"/>
                <w:b/>
                <w:sz w:val="21"/>
              </w:rPr>
              <w:t>GPU计算时间/ms</w:t>
            </w:r>
          </w:p>
        </w:tc>
      </w:tr>
      <w:tr>
        <w:tc>
          <w:tcPr>
            <w:tcW w:type="dxa" w:w="1511"/>
          </w:tcPr>
          <w:p>
            <w:pPr>
              <w:jc w:val="center"/>
            </w:pPr>
            <w:r/>
            <w:r>
              <w:rPr>
                <w:rFonts w:ascii="宋体" w:hAnsi="宋体" w:eastAsia="宋体"/>
                <w:b w:val="0"/>
                <w:sz w:val="20"/>
              </w:rPr>
              <w:t>timing_uhex_20x20x20</w:t>
            </w:r>
          </w:p>
        </w:tc>
        <w:tc>
          <w:tcPr>
            <w:tcW w:type="dxa" w:w="1511"/>
          </w:tcPr>
          <w:p>
            <w:pPr>
              <w:jc w:val="center"/>
            </w:pPr>
            <w:r/>
            <w:r>
              <w:rPr>
                <w:rFonts w:ascii="宋体" w:hAnsi="宋体" w:eastAsia="宋体"/>
                <w:b w:val="0"/>
                <w:sz w:val="20"/>
              </w:rPr>
              <w:t>8000 / 6859</w:t>
            </w:r>
          </w:p>
        </w:tc>
        <w:tc>
          <w:tcPr>
            <w:tcW w:type="dxa" w:w="1511"/>
          </w:tcPr>
          <w:p>
            <w:pPr>
              <w:jc w:val="center"/>
            </w:pPr>
            <w:r/>
            <w:r>
              <w:rPr>
                <w:rFonts w:ascii="宋体" w:hAnsi="宋体" w:eastAsia="宋体"/>
                <w:b w:val="0"/>
                <w:sz w:val="20"/>
              </w:rPr>
              <w:t>16</w:t>
            </w:r>
          </w:p>
        </w:tc>
        <w:tc>
          <w:tcPr>
            <w:tcW w:type="dxa" w:w="1511"/>
          </w:tcPr>
          <w:p>
            <w:pPr>
              <w:jc w:val="center"/>
            </w:pPr>
            <w:r/>
            <w:r>
              <w:rPr>
                <w:rFonts w:ascii="宋体" w:hAnsi="宋体" w:eastAsia="宋体"/>
                <w:b w:val="0"/>
                <w:sz w:val="20"/>
              </w:rPr>
              <w:t>163.799</w:t>
            </w:r>
          </w:p>
        </w:tc>
        <w:tc>
          <w:tcPr>
            <w:tcW w:type="dxa" w:w="1511"/>
          </w:tcPr>
          <w:p>
            <w:pPr>
              <w:jc w:val="center"/>
            </w:pPr>
            <w:r/>
            <w:r>
              <w:rPr>
                <w:rFonts w:ascii="宋体" w:hAnsi="宋体" w:eastAsia="宋体"/>
                <w:b w:val="0"/>
                <w:sz w:val="20"/>
              </w:rPr>
              <w:t>2.8527</w:t>
            </w:r>
          </w:p>
        </w:tc>
        <w:tc>
          <w:tcPr>
            <w:tcW w:type="dxa" w:w="1511"/>
          </w:tcPr>
          <w:p>
            <w:pPr>
              <w:jc w:val="center"/>
            </w:pPr>
            <w:r/>
            <w:r>
              <w:rPr>
                <w:rFonts w:ascii="宋体" w:hAnsi="宋体" w:eastAsia="宋体"/>
                <w:b w:val="0"/>
                <w:sz w:val="20"/>
              </w:rPr>
              <w:t>0.623896</w:t>
            </w:r>
          </w:p>
        </w:tc>
      </w:tr>
      <w:tr>
        <w:tc>
          <w:tcPr>
            <w:tcW w:type="dxa" w:w="1511"/>
          </w:tcPr>
          <w:p>
            <w:pPr>
              <w:jc w:val="center"/>
            </w:pPr>
            <w:r/>
            <w:r>
              <w:rPr>
                <w:rFonts w:ascii="宋体" w:hAnsi="宋体" w:eastAsia="宋体"/>
                <w:b w:val="0"/>
                <w:sz w:val="20"/>
              </w:rPr>
              <w:t>timing_uhex_32x32x32</w:t>
            </w:r>
          </w:p>
        </w:tc>
        <w:tc>
          <w:tcPr>
            <w:tcW w:type="dxa" w:w="1511"/>
          </w:tcPr>
          <w:p>
            <w:pPr>
              <w:jc w:val="center"/>
            </w:pPr>
            <w:r/>
            <w:r>
              <w:rPr>
                <w:rFonts w:ascii="宋体" w:hAnsi="宋体" w:eastAsia="宋体"/>
                <w:b w:val="0"/>
                <w:sz w:val="20"/>
              </w:rPr>
              <w:t>32768 / 29791</w:t>
            </w:r>
          </w:p>
        </w:tc>
        <w:tc>
          <w:tcPr>
            <w:tcW w:type="dxa" w:w="1511"/>
          </w:tcPr>
          <w:p>
            <w:pPr>
              <w:jc w:val="center"/>
            </w:pPr>
            <w:r/>
            <w:r>
              <w:rPr>
                <w:rFonts w:ascii="宋体" w:hAnsi="宋体" w:eastAsia="宋体"/>
                <w:b w:val="0"/>
                <w:sz w:val="20"/>
              </w:rPr>
              <w:t>16</w:t>
            </w:r>
          </w:p>
        </w:tc>
        <w:tc>
          <w:tcPr>
            <w:tcW w:type="dxa" w:w="1511"/>
          </w:tcPr>
          <w:p>
            <w:pPr>
              <w:jc w:val="center"/>
            </w:pPr>
            <w:r/>
            <w:r>
              <w:rPr>
                <w:rFonts w:ascii="宋体" w:hAnsi="宋体" w:eastAsia="宋体"/>
                <w:b w:val="0"/>
                <w:sz w:val="20"/>
              </w:rPr>
              <w:t>708.650</w:t>
            </w:r>
          </w:p>
        </w:tc>
        <w:tc>
          <w:tcPr>
            <w:tcW w:type="dxa" w:w="1511"/>
          </w:tcPr>
          <w:p>
            <w:pPr>
              <w:jc w:val="center"/>
            </w:pPr>
            <w:r/>
            <w:r>
              <w:rPr>
                <w:rFonts w:ascii="宋体" w:hAnsi="宋体" w:eastAsia="宋体"/>
                <w:b w:val="0"/>
                <w:sz w:val="20"/>
              </w:rPr>
              <w:t>5.3835</w:t>
            </w:r>
          </w:p>
        </w:tc>
        <w:tc>
          <w:tcPr>
            <w:tcW w:type="dxa" w:w="1511"/>
          </w:tcPr>
          <w:p>
            <w:pPr>
              <w:jc w:val="center"/>
            </w:pPr>
            <w:r/>
            <w:r>
              <w:rPr>
                <w:rFonts w:ascii="宋体" w:hAnsi="宋体" w:eastAsia="宋体"/>
                <w:b w:val="0"/>
                <w:sz w:val="20"/>
              </w:rPr>
              <w:t>2.53781</w:t>
            </w:r>
          </w:p>
        </w:tc>
      </w:tr>
      <w:tr>
        <w:tc>
          <w:tcPr>
            <w:tcW w:type="dxa" w:w="1511"/>
          </w:tcPr>
          <w:p>
            <w:pPr>
              <w:jc w:val="center"/>
            </w:pPr>
            <w:r/>
            <w:r>
              <w:rPr>
                <w:rFonts w:ascii="宋体" w:hAnsi="宋体" w:eastAsia="宋体"/>
                <w:b w:val="0"/>
                <w:sz w:val="20"/>
              </w:rPr>
              <w:t>timing_uhex_48x48x48</w:t>
            </w:r>
          </w:p>
        </w:tc>
        <w:tc>
          <w:tcPr>
            <w:tcW w:type="dxa" w:w="1511"/>
          </w:tcPr>
          <w:p>
            <w:pPr>
              <w:jc w:val="center"/>
            </w:pPr>
            <w:r/>
            <w:r>
              <w:rPr>
                <w:rFonts w:ascii="宋体" w:hAnsi="宋体" w:eastAsia="宋体"/>
                <w:b w:val="0"/>
                <w:sz w:val="20"/>
              </w:rPr>
              <w:t>110592 / 103823</w:t>
            </w:r>
          </w:p>
        </w:tc>
        <w:tc>
          <w:tcPr>
            <w:tcW w:type="dxa" w:w="1511"/>
          </w:tcPr>
          <w:p>
            <w:pPr>
              <w:jc w:val="center"/>
            </w:pPr>
            <w:r/>
            <w:r>
              <w:rPr>
                <w:rFonts w:ascii="宋体" w:hAnsi="宋体" w:eastAsia="宋体"/>
                <w:b w:val="0"/>
                <w:sz w:val="20"/>
              </w:rPr>
              <w:t>16</w:t>
            </w:r>
          </w:p>
        </w:tc>
        <w:tc>
          <w:tcPr>
            <w:tcW w:type="dxa" w:w="1511"/>
          </w:tcPr>
          <w:p>
            <w:pPr>
              <w:jc w:val="center"/>
            </w:pPr>
            <w:r/>
            <w:r>
              <w:rPr>
                <w:rFonts w:ascii="宋体" w:hAnsi="宋体" w:eastAsia="宋体"/>
                <w:b w:val="0"/>
                <w:sz w:val="20"/>
              </w:rPr>
              <w:t>3349.36</w:t>
            </w:r>
          </w:p>
        </w:tc>
        <w:tc>
          <w:tcPr>
            <w:tcW w:type="dxa" w:w="1511"/>
          </w:tcPr>
          <w:p>
            <w:pPr>
              <w:jc w:val="center"/>
            </w:pPr>
            <w:r/>
            <w:r>
              <w:rPr>
                <w:rFonts w:ascii="宋体" w:hAnsi="宋体" w:eastAsia="宋体"/>
                <w:b w:val="0"/>
                <w:sz w:val="20"/>
              </w:rPr>
              <w:t>44.8039</w:t>
            </w:r>
          </w:p>
        </w:tc>
        <w:tc>
          <w:tcPr>
            <w:tcW w:type="dxa" w:w="1511"/>
          </w:tcPr>
          <w:p>
            <w:pPr>
              <w:jc w:val="center"/>
            </w:pPr>
            <w:r/>
            <w:r>
              <w:rPr>
                <w:rFonts w:ascii="宋体" w:hAnsi="宋体" w:eastAsia="宋体"/>
                <w:b w:val="0"/>
                <w:sz w:val="20"/>
              </w:rPr>
              <w:t>7.91991</w:t>
            </w:r>
          </w:p>
        </w:tc>
      </w:tr>
    </w:tbl>
    <w:p>
      <w:pPr>
        <w:spacing w:line="360" w:lineRule="auto"/>
        <w:ind w:firstLine="420"/>
      </w:pPr>
      <w:r>
        <w:rPr>
          <w:rFonts w:ascii="宋体" w:hAnsi="宋体" w:eastAsia="宋体"/>
          <w:b w:val="0"/>
          <w:sz w:val="21"/>
        </w:rPr>
        <w:t>非结构化网格实验中，系统总时间从 2.8527 ms 增至 44.8039 ms，GPU 计算时间从 0.623896 ms 增至 7.91991 ms。对应 VTK 并行时间从 163.799 ms 增至 3349.36 ms。结果表明，随着规模增大，OpenGL 实现仍保持明显时间优势。该结论只针对当前硬件、数据和 VTK 并行配置，不应泛化为所有环境下的绝对结论。</w:t>
      </w:r>
    </w:p>
    <w:p>
      <w:pPr>
        <w:pStyle w:val="Heading2"/>
        <w:spacing w:line="360" w:lineRule="auto"/>
      </w:pPr>
      <w:r>
        <w:rPr>
          <w:rFonts w:ascii="黑体" w:hAnsi="黑体" w:eastAsia="黑体"/>
          <w:b/>
          <w:sz w:val="28"/>
        </w:rPr>
        <w:t>5.6 数据优化实验</w:t>
      </w:r>
    </w:p>
    <w:p>
      <w:pPr>
        <w:spacing w:line="360" w:lineRule="auto"/>
        <w:ind w:firstLine="420"/>
      </w:pPr>
      <w:r>
        <w:rPr>
          <w:rFonts w:ascii="宋体" w:hAnsi="宋体" w:eastAsia="宋体"/>
          <w:b w:val="0"/>
          <w:sz w:val="21"/>
        </w:rPr>
        <w:t>数据优化实验的目标是验证系统对局部随机高频数值扰动的抑制能力。实验在 ShipHull_0 数据集上构造干净场，并叠加高斯扰动作为代理模型。随后运行数据优化模块，比较输入数据和优化后数据的平均相对误差。</w:t>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pPr>
              <w:jc w:val="center"/>
            </w:pPr>
            <w:r/>
            <w:r>
              <w:rPr>
                <w:rFonts w:ascii="宋体" w:hAnsi="宋体" w:eastAsia="宋体"/>
                <w:b/>
                <w:sz w:val="21"/>
              </w:rPr>
              <w:t>关联方式</w:t>
            </w:r>
          </w:p>
        </w:tc>
        <w:tc>
          <w:tcPr>
            <w:tcW w:type="dxa" w:w="2266"/>
          </w:tcPr>
          <w:p>
            <w:pPr>
              <w:jc w:val="center"/>
            </w:pPr>
            <w:r/>
            <w:r>
              <w:rPr>
                <w:rFonts w:ascii="宋体" w:hAnsi="宋体" w:eastAsia="宋体"/>
                <w:b/>
                <w:sz w:val="21"/>
              </w:rPr>
              <w:t>输入数据平均相对误差</w:t>
            </w:r>
          </w:p>
        </w:tc>
        <w:tc>
          <w:tcPr>
            <w:tcW w:type="dxa" w:w="2266"/>
          </w:tcPr>
          <w:p>
            <w:pPr>
              <w:jc w:val="center"/>
            </w:pPr>
            <w:r/>
            <w:r>
              <w:rPr>
                <w:rFonts w:ascii="宋体" w:hAnsi="宋体" w:eastAsia="宋体"/>
                <w:b/>
                <w:sz w:val="21"/>
              </w:rPr>
              <w:t>优化后数据平均相对误差</w:t>
            </w:r>
          </w:p>
        </w:tc>
        <w:tc>
          <w:tcPr>
            <w:tcW w:type="dxa" w:w="2266"/>
          </w:tcPr>
          <w:p>
            <w:pPr>
              <w:jc w:val="center"/>
            </w:pPr>
            <w:r/>
            <w:r>
              <w:rPr>
                <w:rFonts w:ascii="宋体" w:hAnsi="宋体" w:eastAsia="宋体"/>
                <w:b/>
                <w:sz w:val="21"/>
              </w:rPr>
              <w:t>改进比</w:t>
            </w:r>
          </w:p>
        </w:tc>
      </w:tr>
      <w:tr>
        <w:tc>
          <w:tcPr>
            <w:tcW w:type="dxa" w:w="2266"/>
          </w:tcPr>
          <w:p>
            <w:pPr>
              <w:jc w:val="center"/>
            </w:pPr>
            <w:r/>
            <w:r>
              <w:rPr>
                <w:rFonts w:ascii="宋体" w:hAnsi="宋体" w:eastAsia="宋体"/>
                <w:b w:val="0"/>
                <w:sz w:val="20"/>
              </w:rPr>
              <w:t>POINT</w:t>
            </w:r>
          </w:p>
        </w:tc>
        <w:tc>
          <w:tcPr>
            <w:tcW w:type="dxa" w:w="2266"/>
          </w:tcPr>
          <w:p>
            <w:pPr>
              <w:jc w:val="center"/>
            </w:pPr>
            <w:r/>
            <w:r>
              <w:rPr>
                <w:rFonts w:ascii="宋体" w:hAnsi="宋体" w:eastAsia="宋体"/>
                <w:b w:val="0"/>
                <w:sz w:val="20"/>
              </w:rPr>
              <w:t>0.296642</w:t>
            </w:r>
          </w:p>
        </w:tc>
        <w:tc>
          <w:tcPr>
            <w:tcW w:type="dxa" w:w="2266"/>
          </w:tcPr>
          <w:p>
            <w:pPr>
              <w:jc w:val="center"/>
            </w:pPr>
            <w:r/>
            <w:r>
              <w:rPr>
                <w:rFonts w:ascii="宋体" w:hAnsi="宋体" w:eastAsia="宋体"/>
                <w:b w:val="0"/>
                <w:sz w:val="20"/>
              </w:rPr>
              <w:t>0.180858</w:t>
            </w:r>
          </w:p>
        </w:tc>
        <w:tc>
          <w:tcPr>
            <w:tcW w:type="dxa" w:w="2266"/>
          </w:tcPr>
          <w:p>
            <w:pPr>
              <w:jc w:val="center"/>
            </w:pPr>
            <w:r/>
            <w:r>
              <w:rPr>
                <w:rFonts w:ascii="宋体" w:hAnsi="宋体" w:eastAsia="宋体"/>
                <w:b w:val="0"/>
                <w:sz w:val="20"/>
              </w:rPr>
              <w:t>0.610772</w:t>
            </w:r>
          </w:p>
        </w:tc>
      </w:tr>
      <w:tr>
        <w:tc>
          <w:tcPr>
            <w:tcW w:type="dxa" w:w="2266"/>
          </w:tcPr>
          <w:p>
            <w:pPr>
              <w:jc w:val="center"/>
            </w:pPr>
            <w:r/>
            <w:r>
              <w:rPr>
                <w:rFonts w:ascii="宋体" w:hAnsi="宋体" w:eastAsia="宋体"/>
                <w:b w:val="0"/>
                <w:sz w:val="20"/>
              </w:rPr>
              <w:t>CELL</w:t>
            </w:r>
          </w:p>
        </w:tc>
        <w:tc>
          <w:tcPr>
            <w:tcW w:type="dxa" w:w="2266"/>
          </w:tcPr>
          <w:p>
            <w:pPr>
              <w:jc w:val="center"/>
            </w:pPr>
            <w:r/>
            <w:r>
              <w:rPr>
                <w:rFonts w:ascii="宋体" w:hAnsi="宋体" w:eastAsia="宋体"/>
                <w:b w:val="0"/>
                <w:sz w:val="20"/>
              </w:rPr>
              <w:t>0.294558</w:t>
            </w:r>
          </w:p>
        </w:tc>
        <w:tc>
          <w:tcPr>
            <w:tcW w:type="dxa" w:w="2266"/>
          </w:tcPr>
          <w:p>
            <w:pPr>
              <w:jc w:val="center"/>
            </w:pPr>
            <w:r/>
            <w:r>
              <w:rPr>
                <w:rFonts w:ascii="宋体" w:hAnsi="宋体" w:eastAsia="宋体"/>
                <w:b w:val="0"/>
                <w:sz w:val="20"/>
              </w:rPr>
              <w:t>0.121921</w:t>
            </w:r>
          </w:p>
        </w:tc>
        <w:tc>
          <w:tcPr>
            <w:tcW w:type="dxa" w:w="2266"/>
          </w:tcPr>
          <w:p>
            <w:pPr>
              <w:jc w:val="center"/>
            </w:pPr>
            <w:r/>
            <w:r>
              <w:rPr>
                <w:rFonts w:ascii="宋体" w:hAnsi="宋体" w:eastAsia="宋体"/>
                <w:b w:val="0"/>
                <w:sz w:val="20"/>
              </w:rPr>
              <w:t>0.414806</w:t>
            </w:r>
          </w:p>
        </w:tc>
      </w:tr>
    </w:tbl>
    <w:p>
      <w:pPr>
        <w:jc w:val="center"/>
      </w:pPr>
      <w:r>
        <w:drawing>
          <wp:inline xmlns:a="http://schemas.openxmlformats.org/drawingml/2006/main" xmlns:pic="http://schemas.openxmlformats.org/drawingml/2006/picture">
            <wp:extent cx="5472000" cy="2872800"/>
            <wp:docPr id="10" name="Picture 10"/>
            <wp:cNvGraphicFramePr>
              <a:graphicFrameLocks noChangeAspect="1"/>
            </wp:cNvGraphicFramePr>
            <a:graphic>
              <a:graphicData uri="http://schemas.openxmlformats.org/drawingml/2006/picture">
                <pic:pic>
                  <pic:nvPicPr>
                    <pic:cNvPr id="0" name="fig_5_3_optimization_error.png"/>
                    <pic:cNvPicPr/>
                  </pic:nvPicPr>
                  <pic:blipFill>
                    <a:blip r:embed="rId18"/>
                    <a:stretch>
                      <a:fillRect/>
                    </a:stretch>
                  </pic:blipFill>
                  <pic:spPr>
                    <a:xfrm>
                      <a:off x="0" y="0"/>
                      <a:ext cx="5472000" cy="2872800"/>
                    </a:xfrm>
                    <a:prstGeom prst="rect"/>
                  </pic:spPr>
                </pic:pic>
              </a:graphicData>
            </a:graphic>
          </wp:inline>
        </w:drawing>
      </w:r>
    </w:p>
    <w:p>
      <w:pPr>
        <w:spacing w:line="360" w:lineRule="auto"/>
        <w:ind w:firstLine="420"/>
      </w:pPr>
      <w:r>
        <w:rPr>
          <w:rFonts w:ascii="宋体" w:hAnsi="宋体" w:eastAsia="宋体"/>
          <w:b w:val="0"/>
          <w:sz w:val="21"/>
        </w:rPr>
        <w:t>POINT 关联方式下，平均相对误差由 0.296642 降至 0.180858，改进比为 0.610772。CELL 关联方式下，平均相对误差由 0.294558 降至 0.121921，改进比为 0.414806。两类字段优化后误差均低于输入误差，说明该模块对目标扰动具有稳定抑制效果。</w:t>
      </w:r>
    </w:p>
    <w:p>
      <w:pPr>
        <w:pStyle w:val="Heading2"/>
        <w:spacing w:line="360" w:lineRule="auto"/>
      </w:pPr>
      <w:r>
        <w:rPr>
          <w:rFonts w:ascii="黑体" w:hAnsi="黑体" w:eastAsia="黑体"/>
          <w:b/>
          <w:sz w:val="28"/>
        </w:rPr>
        <w:t>5.7 实验讨论</w:t>
      </w:r>
    </w:p>
    <w:p>
      <w:pPr>
        <w:spacing w:line="360" w:lineRule="auto"/>
        <w:ind w:firstLine="420"/>
      </w:pPr>
      <w:r>
        <w:rPr>
          <w:rFonts w:ascii="宋体" w:hAnsi="宋体" w:eastAsia="宋体"/>
          <w:b w:val="0"/>
          <w:sz w:val="21"/>
        </w:rPr>
        <w:t>本文实验设计的关键是分层论证。解析场验证回答“算法是否正确”，VTK 一致性回答“工程输出是否可靠”，时间实验回答“当前实现是否具有效率优势”，数据优化实验回答“目标扰动下是否有效”。如果将这些实验混在一起，论文结论会变得不清晰。</w:t>
      </w:r>
    </w:p>
    <w:p>
      <w:pPr>
        <w:spacing w:line="360" w:lineRule="auto"/>
        <w:ind w:firstLine="420"/>
      </w:pPr>
      <w:r>
        <w:rPr>
          <w:rFonts w:ascii="宋体" w:hAnsi="宋体" w:eastAsia="宋体"/>
          <w:b w:val="0"/>
          <w:sz w:val="21"/>
        </w:rPr>
        <w:t>实验结果也有边界。第一，解析场主要覆盖线性标量场和线性向量场，能够证明当前路径对线性场的正确性，但不等于覆盖所有复杂物理场。第二，VTK 对照说明系统与成熟工具接近，但 VTK 本身不是解析真值。第三，时间结果依赖当前硬件、驱动、VTK 构建和数据规模。第四，数据优化实验只使用高斯扰动代理局部随机高频扰动，不能扩展为对所有噪声类型有效。</w:t>
      </w:r>
    </w:p>
    <w:p>
      <w:pPr>
        <w:pStyle w:val="Heading2"/>
        <w:spacing w:line="360" w:lineRule="auto"/>
      </w:pPr>
      <w:r>
        <w:rPr>
          <w:rFonts w:ascii="黑体" w:hAnsi="黑体" w:eastAsia="黑体"/>
          <w:b/>
          <w:sz w:val="28"/>
        </w:rPr>
        <w:t>5.8 本章参考文献</w:t>
      </w:r>
    </w:p>
    <w:p>
      <w:pPr>
        <w:spacing w:line="360" w:lineRule="auto"/>
        <w:ind w:firstLine="420"/>
      </w:pPr>
      <w:r>
        <w:rPr>
          <w:rFonts w:ascii="宋体" w:hAnsi="宋体" w:eastAsia="宋体"/>
          <w:b w:val="0"/>
          <w:sz w:val="21"/>
        </w:rPr>
        <w:t>本章引用文献：[3]、[4]、[11]、[12]。</w:t>
      </w:r>
    </w:p>
    <w:p>
      <w:r>
        <w:br w:type="page"/>
      </w:r>
    </w:p>
    <w:p>
      <w:pPr>
        <w:pStyle w:val="Heading1"/>
        <w:spacing w:line="360" w:lineRule="auto"/>
        <w:jc w:val="center"/>
      </w:pPr>
      <w:r>
        <w:rPr>
          <w:rFonts w:ascii="黑体" w:hAnsi="黑体" w:eastAsia="黑体"/>
          <w:b/>
          <w:sz w:val="32"/>
        </w:rPr>
        <w:t>第六章 总结与展望</w:t>
      </w:r>
    </w:p>
    <w:p>
      <w:pPr>
        <w:pStyle w:val="Heading2"/>
        <w:spacing w:line="360" w:lineRule="auto"/>
      </w:pPr>
      <w:r>
        <w:rPr>
          <w:rFonts w:ascii="黑体" w:hAnsi="黑体" w:eastAsia="黑体"/>
          <w:b/>
          <w:sz w:val="28"/>
        </w:rPr>
        <w:t>6.1 本章概述</w:t>
      </w:r>
    </w:p>
    <w:p>
      <w:pPr>
        <w:spacing w:line="360" w:lineRule="auto"/>
        <w:ind w:firstLine="420"/>
      </w:pPr>
      <w:r>
        <w:rPr>
          <w:rFonts w:ascii="宋体" w:hAnsi="宋体" w:eastAsia="宋体"/>
          <w:b w:val="0"/>
          <w:sz w:val="21"/>
        </w:rPr>
        <w:t>本章对全文工作进行总结，说明系统实现、算法验证、工程一致性、时间性能和数据优化实验所支撑的结论，并在当前实现边界内分析不足和后续改进方向。本文结论只针对当前系统、当前数据集和当前实验环境，不将原型系统泛化为完整 CAE 后处理平台。</w:t>
      </w:r>
    </w:p>
    <w:p>
      <w:pPr>
        <w:pStyle w:val="Heading2"/>
        <w:spacing w:line="360" w:lineRule="auto"/>
      </w:pPr>
      <w:r>
        <w:rPr>
          <w:rFonts w:ascii="黑体" w:hAnsi="黑体" w:eastAsia="黑体"/>
          <w:b/>
          <w:sz w:val="28"/>
        </w:rPr>
        <w:t>6.2 工作总结</w:t>
      </w:r>
    </w:p>
    <w:p>
      <w:pPr>
        <w:spacing w:line="360" w:lineRule="auto"/>
        <w:ind w:firstLine="420"/>
      </w:pPr>
      <w:r>
        <w:rPr>
          <w:rFonts w:ascii="宋体" w:hAnsi="宋体" w:eastAsia="宋体"/>
          <w:b w:val="0"/>
          <w:sz w:val="21"/>
        </w:rPr>
        <w:t>本文围绕 CAE 后处理阶段的数据预处理问题，完成了一套基于 OpenGL 的原型系统。系统以 VTK 数据读写为基础，以统一内部数据结构为核心，以 OpenGL Compute Shader 为计算执行手段，实现了规则网格梯度计算、非结构化网格梯度计算、局部随机高频扰动优化、结果写回和 VTK 导出。</w:t>
      </w:r>
    </w:p>
    <w:p>
      <w:pPr>
        <w:spacing w:line="360" w:lineRule="auto"/>
        <w:ind w:firstLine="420"/>
      </w:pPr>
      <w:r>
        <w:rPr>
          <w:rFonts w:ascii="宋体" w:hAnsi="宋体" w:eastAsia="宋体"/>
          <w:b w:val="0"/>
          <w:sz w:val="21"/>
        </w:rPr>
        <w:t>在梯度计算方面，本文将技术路线收敛为规则网格有限差分法和非结构化网格形函数导数法。规则网格路径利用网格逻辑维度在参数方向上计算字段差分和坐标差分，再通过局部 Jacobian 与链式法则映射到物理空间梯度；非结构化网格路径利用单元形函数导数和几何映射计算梯度。解析场验证表明，两条路径在对应数据集上均达到 \(10^{-7}\) 量级误差。</w:t>
      </w:r>
    </w:p>
    <w:p>
      <w:pPr>
        <w:spacing w:line="360" w:lineRule="auto"/>
        <w:ind w:firstLine="420"/>
      </w:pPr>
      <w:r>
        <w:rPr>
          <w:rFonts w:ascii="宋体" w:hAnsi="宋体" w:eastAsia="宋体"/>
          <w:b w:val="0"/>
          <w:sz w:val="21"/>
        </w:rPr>
        <w:t>在工程一致性方面，本文将系统结果与 vtkGradientFilter 进行对比。点数据真实字段误差达到 \(10^{-8}\) 量级，单元数据真实字段误差主要处于 \(10^{-7}\) 到 \(10^{-6}\) 量级。该结果说明当前系统输出与 VTK 参考结果具有较高一致性。</w:t>
      </w:r>
    </w:p>
    <w:p>
      <w:pPr>
        <w:spacing w:line="360" w:lineRule="auto"/>
        <w:ind w:firstLine="420"/>
      </w:pPr>
      <w:r>
        <w:rPr>
          <w:rFonts w:ascii="宋体" w:hAnsi="宋体" w:eastAsia="宋体"/>
          <w:b w:val="0"/>
          <w:sz w:val="21"/>
        </w:rPr>
        <w:t>在性能方面，本文使用统一生成的规则网格族和非结构化六面体网格族进行时间实验。结果显示，系统总时间和 GPU 计算时间均明显低于当前测试条件下的 VTK 并行时间，说明 OpenGL 实现具有较好的并行效率。</w:t>
      </w:r>
    </w:p>
    <w:p>
      <w:pPr>
        <w:spacing w:line="360" w:lineRule="auto"/>
        <w:ind w:firstLine="420"/>
      </w:pPr>
      <w:r>
        <w:rPr>
          <w:rFonts w:ascii="宋体" w:hAnsi="宋体" w:eastAsia="宋体"/>
          <w:b w:val="0"/>
          <w:sz w:val="21"/>
        </w:rPr>
        <w:t>在数据优化方面，本文将模块定位为面向一类局部随机高频数值扰动的抑制与边缘保持处理。实验使用高斯扰动作为代理模型。结果显示，点数据和单元数据优化后平均相对误差均低于输入误差，说明该模块在目标场景下有效。</w:t>
      </w:r>
    </w:p>
    <w:p>
      <w:pPr>
        <w:jc w:val="center"/>
      </w:pPr>
      <w:r>
        <w:drawing>
          <wp:inline xmlns:a="http://schemas.openxmlformats.org/drawingml/2006/main" xmlns:pic="http://schemas.openxmlformats.org/drawingml/2006/picture">
            <wp:extent cx="5472000" cy="2736000"/>
            <wp:docPr id="11" name="Picture 11"/>
            <wp:cNvGraphicFramePr>
              <a:graphicFrameLocks noChangeAspect="1"/>
            </wp:cNvGraphicFramePr>
            <a:graphic>
              <a:graphicData uri="http://schemas.openxmlformats.org/drawingml/2006/picture">
                <pic:pic>
                  <pic:nvPicPr>
                    <pic:cNvPr id="0" name="fig_6_1_contributions.png"/>
                    <pic:cNvPicPr/>
                  </pic:nvPicPr>
                  <pic:blipFill>
                    <a:blip r:embed="rId19"/>
                    <a:stretch>
                      <a:fillRect/>
                    </a:stretch>
                  </pic:blipFill>
                  <pic:spPr>
                    <a:xfrm>
                      <a:off x="0" y="0"/>
                      <a:ext cx="5472000" cy="2736000"/>
                    </a:xfrm>
                    <a:prstGeom prst="rect"/>
                  </pic:spPr>
                </pic:pic>
              </a:graphicData>
            </a:graphic>
          </wp:inline>
        </w:drawing>
      </w:r>
    </w:p>
    <w:p>
      <w:pPr>
        <w:spacing w:line="360" w:lineRule="auto"/>
        <w:ind w:firstLine="420"/>
      </w:pPr>
      <w:r>
        <w:rPr>
          <w:rFonts w:ascii="宋体" w:hAnsi="宋体" w:eastAsia="宋体"/>
          <w:b w:val="0"/>
          <w:sz w:val="21"/>
        </w:rPr>
        <w:t>图 6-1 总结了本文完成的主要内容。</w:t>
      </w:r>
    </w:p>
    <w:p>
      <w:pPr>
        <w:pStyle w:val="Heading2"/>
        <w:spacing w:line="360" w:lineRule="auto"/>
      </w:pPr>
      <w:r>
        <w:rPr>
          <w:rFonts w:ascii="黑体" w:hAnsi="黑体" w:eastAsia="黑体"/>
          <w:b/>
          <w:sz w:val="28"/>
        </w:rPr>
        <w:t>6.3 本文特点</w:t>
      </w:r>
    </w:p>
    <w:p>
      <w:pPr>
        <w:spacing w:line="360" w:lineRule="auto"/>
        <w:ind w:firstLine="420"/>
      </w:pPr>
      <w:r>
        <w:rPr>
          <w:rFonts w:ascii="宋体" w:hAnsi="宋体" w:eastAsia="宋体"/>
          <w:b w:val="0"/>
          <w:sz w:val="21"/>
        </w:rPr>
        <w:t>本文第一个特点是系统链路完整。项目不是单独实现一个公式或一个界面，而是形成了从 VTK 数据输入、内部数据转换、GPU 计算、结果写回到 VTK 导出的闭环。这种闭环能够支撑答辩时的功能演示和实验复现。</w:t>
      </w:r>
    </w:p>
    <w:p>
      <w:pPr>
        <w:spacing w:line="360" w:lineRule="auto"/>
        <w:ind w:firstLine="420"/>
      </w:pPr>
      <w:r>
        <w:rPr>
          <w:rFonts w:ascii="宋体" w:hAnsi="宋体" w:eastAsia="宋体"/>
          <w:b w:val="0"/>
          <w:sz w:val="21"/>
        </w:rPr>
        <w:t>第二个特点是实验口径清晰。解析场验证、VTK 一致性、时间对比和数据优化实验承担不同论证任务。这样的组织方式符合工程型论文写法，也符合本科论文对逻辑构建和专业能力的要求[14][15]。</w:t>
      </w:r>
    </w:p>
    <w:p>
      <w:pPr>
        <w:spacing w:line="360" w:lineRule="auto"/>
        <w:ind w:firstLine="420"/>
      </w:pPr>
      <w:r>
        <w:rPr>
          <w:rFonts w:ascii="宋体" w:hAnsi="宋体" w:eastAsia="宋体"/>
          <w:b w:val="0"/>
          <w:sz w:val="21"/>
        </w:rPr>
        <w:t>第三个特点是结论边界明确。本文没有把系统描述为完整 CAE 后处理平台，也没有把数据优化模块描述为通用噪声处理器，而是严格围绕当前实现和实验数据展开。这种收敛后的表述更符合本科毕业设计的实际完成情况。</w:t>
      </w:r>
    </w:p>
    <w:p>
      <w:pPr>
        <w:pStyle w:val="Heading2"/>
        <w:spacing w:line="360" w:lineRule="auto"/>
      </w:pPr>
      <w:r>
        <w:rPr>
          <w:rFonts w:ascii="黑体" w:hAnsi="黑体" w:eastAsia="黑体"/>
          <w:b/>
          <w:sz w:val="28"/>
        </w:rPr>
        <w:t>6.4 不足之处</w:t>
      </w:r>
    </w:p>
    <w:p>
      <w:pPr>
        <w:spacing w:line="360" w:lineRule="auto"/>
        <w:ind w:firstLine="420"/>
      </w:pPr>
      <w:r>
        <w:rPr>
          <w:rFonts w:ascii="宋体" w:hAnsi="宋体" w:eastAsia="宋体"/>
          <w:b w:val="0"/>
          <w:sz w:val="21"/>
        </w:rPr>
        <w:t>当前系统仍然是原型系统。首先，非结构化网格单元类型支持范围有限，目前主要覆盖一阶三角形、四边形、四面体和六面体。真实工程数据中可能存在更多高阶单元、混合单元或特殊单元，后续仍需扩展。</w:t>
      </w:r>
    </w:p>
    <w:p>
      <w:pPr>
        <w:spacing w:line="360" w:lineRule="auto"/>
        <w:ind w:firstLine="420"/>
      </w:pPr>
      <w:r>
        <w:rPr>
          <w:rFonts w:ascii="宋体" w:hAnsi="宋体" w:eastAsia="宋体"/>
          <w:b w:val="0"/>
          <w:sz w:val="21"/>
        </w:rPr>
        <w:t>其次，数据优化实验使用高斯扰动作为代理模型，能够说明模块对一类局部随机高频扰动有效，但不能覆盖所有真实 CAE 扰动来源。真实工程结果中的误差可能与求解器、网格质量、边界条件、材料模型和后处理恢复方式有关，需要更丰富实验进一步验证。</w:t>
      </w:r>
    </w:p>
    <w:p>
      <w:pPr>
        <w:spacing w:line="360" w:lineRule="auto"/>
        <w:ind w:firstLine="420"/>
      </w:pPr>
      <w:r>
        <w:rPr>
          <w:rFonts w:ascii="宋体" w:hAnsi="宋体" w:eastAsia="宋体"/>
          <w:b w:val="0"/>
          <w:sz w:val="21"/>
        </w:rPr>
        <w:t>第三，系统 GUI 目前主要服务于基础演示和结果导出，还不具备完整可视分析软件的交互能力。若要发展为更完整工具，还需要增加渲染控制、字段管理、参数调节、批处理配置和异常提示等功能。</w:t>
      </w:r>
    </w:p>
    <w:p>
      <w:pPr>
        <w:spacing w:line="360" w:lineRule="auto"/>
        <w:ind w:firstLine="420"/>
      </w:pPr>
      <w:r>
        <w:rPr>
          <w:rFonts w:ascii="宋体" w:hAnsi="宋体" w:eastAsia="宋体"/>
          <w:b w:val="0"/>
          <w:sz w:val="21"/>
        </w:rPr>
        <w:t>第四，本文时间实验虽然显示当前系统具有优势，但实验环境仍有限。不同 GPU、不同驱动、不同 VTK 并行后端和不同数据规模都可能影响结果。后续若要形成更强工程结论，需要在更多环境中复现实验。</w:t>
      </w:r>
    </w:p>
    <w:p>
      <w:pPr>
        <w:pStyle w:val="Heading2"/>
        <w:spacing w:line="360" w:lineRule="auto"/>
      </w:pPr>
      <w:r>
        <w:rPr>
          <w:rFonts w:ascii="黑体" w:hAnsi="黑体" w:eastAsia="黑体"/>
          <w:b/>
          <w:sz w:val="28"/>
        </w:rPr>
        <w:t>6.5 后续展望</w:t>
      </w:r>
    </w:p>
    <w:p>
      <w:pPr>
        <w:spacing w:line="360" w:lineRule="auto"/>
        <w:ind w:firstLine="420"/>
      </w:pPr>
      <w:r>
        <w:rPr>
          <w:rFonts w:ascii="宋体" w:hAnsi="宋体" w:eastAsia="宋体"/>
          <w:b w:val="0"/>
          <w:sz w:val="21"/>
        </w:rPr>
        <w:t>后续工作可以从四个方面展开。第一，扩展更多单元类型和更复杂字段类型，使系统能够处理更广泛的工程数据。第二，完善数据优化实验，引入更接近真实 CAE 误差来源的扰动模型和评价指标。第三，增加自动化测试和批处理能力，使实验结果更容易复现。第四，将预处理模块与后续可视化模块更紧密结合，形成更完整的后处理数据准备流程。</w:t>
      </w:r>
    </w:p>
    <w:p>
      <w:pPr>
        <w:spacing w:line="360" w:lineRule="auto"/>
        <w:ind w:firstLine="420"/>
      </w:pPr>
      <w:r>
        <w:rPr>
          <w:rFonts w:ascii="宋体" w:hAnsi="宋体" w:eastAsia="宋体"/>
          <w:b w:val="0"/>
          <w:sz w:val="21"/>
        </w:rPr>
        <w:t>从技术发展角度看，VTK-m 等工作说明科学可视化框架正在面向大规模线程架构演进[7]。本文虽然没有使用 VTK-m，但其思路与“将可视化和数据处理算法映射到并行硬件”这一趋势一致。后续可以继续比较 OpenGL、CUDA、VTK-m 等不同技术路线的适用性。</w:t>
      </w:r>
    </w:p>
    <w:p>
      <w:pPr>
        <w:pStyle w:val="Heading2"/>
        <w:spacing w:line="360" w:lineRule="auto"/>
      </w:pPr>
      <w:r>
        <w:rPr>
          <w:rFonts w:ascii="黑体" w:hAnsi="黑体" w:eastAsia="黑体"/>
          <w:b/>
          <w:sz w:val="28"/>
        </w:rPr>
        <w:t>6.6 本章参考文献</w:t>
      </w:r>
    </w:p>
    <w:p>
      <w:pPr>
        <w:spacing w:line="360" w:lineRule="auto"/>
        <w:ind w:firstLine="420"/>
      </w:pPr>
      <w:r>
        <w:rPr>
          <w:rFonts w:ascii="宋体" w:hAnsi="宋体" w:eastAsia="宋体"/>
          <w:b w:val="0"/>
          <w:sz w:val="21"/>
        </w:rPr>
        <w:t>本章引用文献：[7]、[25]、[26]。</w:t>
      </w:r>
    </w:p>
    <w:p>
      <w:r>
        <w:br w:type="page"/>
      </w:r>
    </w:p>
    <w:p>
      <w:pPr>
        <w:pStyle w:val="Heading1"/>
        <w:spacing w:line="360" w:lineRule="auto"/>
        <w:jc w:val="center"/>
      </w:pPr>
      <w:r>
        <w:rPr>
          <w:rFonts w:ascii="黑体" w:hAnsi="黑体" w:eastAsia="黑体"/>
          <w:b/>
          <w:sz w:val="32"/>
        </w:rPr>
        <w:t>参考文献</w:t>
      </w:r>
    </w:p>
    <w:p>
      <w:pPr>
        <w:spacing w:line="360" w:lineRule="auto"/>
        <w:ind w:firstLine="420"/>
      </w:pPr>
      <w:r>
        <w:rPr>
          <w:rFonts w:ascii="宋体" w:hAnsi="宋体" w:eastAsia="宋体"/>
          <w:b w:val="0"/>
          <w:sz w:val="21"/>
        </w:rPr>
        <w:t>[1] Khronos Group. Compute Shader - OpenGL Wiki[EB/OL]. https://www.khronos.org/opengl/wiki/Compute_Shader.</w:t>
      </w:r>
    </w:p>
    <w:p>
      <w:pPr>
        <w:spacing w:line="360" w:lineRule="auto"/>
        <w:ind w:firstLine="420"/>
      </w:pPr>
      <w:r>
        <w:rPr>
          <w:rFonts w:ascii="宋体" w:hAnsi="宋体" w:eastAsia="宋体"/>
          <w:b w:val="0"/>
          <w:sz w:val="21"/>
        </w:rPr>
        <w:t>[2] Khronos Group. Shader Storage Buffer Object - OpenGL Wiki[EB/OL]. https://www.khronos.org/opengl/wiki/Shader_Storage_Buffer_Object.</w:t>
      </w:r>
    </w:p>
    <w:p>
      <w:pPr>
        <w:spacing w:line="360" w:lineRule="auto"/>
        <w:ind w:firstLine="420"/>
      </w:pPr>
      <w:r>
        <w:rPr>
          <w:rFonts w:ascii="宋体" w:hAnsi="宋体" w:eastAsia="宋体"/>
          <w:b w:val="0"/>
          <w:sz w:val="21"/>
        </w:rPr>
        <w:t>[3] Kitware. vtkGradientFilter Class Reference[EB/OL]. https://vtk.org/doc/nightly/html/classvtkGradientFilter.html.</w:t>
      </w:r>
    </w:p>
    <w:p>
      <w:pPr>
        <w:spacing w:line="360" w:lineRule="auto"/>
        <w:ind w:firstLine="420"/>
      </w:pPr>
      <w:r>
        <w:rPr>
          <w:rFonts w:ascii="宋体" w:hAnsi="宋体" w:eastAsia="宋体"/>
          <w:b w:val="0"/>
          <w:sz w:val="21"/>
        </w:rPr>
        <w:t>[4] ParaView Documentation. Understanding Data: VTK data model[EB/OL]. https://docs.paraview.org/en/latest/UsersGuide/understandingData.html.</w:t>
      </w:r>
    </w:p>
    <w:p>
      <w:pPr>
        <w:spacing w:line="360" w:lineRule="auto"/>
        <w:ind w:firstLine="420"/>
      </w:pPr>
      <w:r>
        <w:rPr>
          <w:rFonts w:ascii="宋体" w:hAnsi="宋体" w:eastAsia="宋体"/>
          <w:b w:val="0"/>
          <w:sz w:val="21"/>
        </w:rPr>
        <w:t>[5] Qt Group. Qt Widgets Documentation[EB/OL]. https://doc.qt.io/qt-5/qtwidgets-index.html.</w:t>
      </w:r>
    </w:p>
    <w:p>
      <w:pPr>
        <w:spacing w:line="360" w:lineRule="auto"/>
        <w:ind w:firstLine="420"/>
      </w:pPr>
      <w:r>
        <w:rPr>
          <w:rFonts w:ascii="宋体" w:hAnsi="宋体" w:eastAsia="宋体"/>
          <w:b w:val="0"/>
          <w:sz w:val="21"/>
        </w:rPr>
        <w:t>[6] Schroeder W, Martin K, Lorensen B. The Visualization Toolkit[M]. Kitware.</w:t>
      </w:r>
    </w:p>
    <w:p>
      <w:pPr>
        <w:spacing w:line="360" w:lineRule="auto"/>
        <w:ind w:firstLine="420"/>
      </w:pPr>
      <w:r>
        <w:rPr>
          <w:rFonts w:ascii="宋体" w:hAnsi="宋体" w:eastAsia="宋体"/>
          <w:b w:val="0"/>
          <w:sz w:val="21"/>
        </w:rPr>
        <w:t>[7] Moreland K, Sewell C, Usher W, et al. VTK-m: Accelerating the Visualization Toolkit for Massively Threaded Architectures[J]. IEEE Computer Graphics and Applications, 2016, 36(3): 48-58. https://doi.org/10.1109/MCG.2016.48.</w:t>
      </w:r>
    </w:p>
    <w:p>
      <w:pPr>
        <w:spacing w:line="360" w:lineRule="auto"/>
        <w:ind w:firstLine="420"/>
      </w:pPr>
      <w:r>
        <w:rPr>
          <w:rFonts w:ascii="宋体" w:hAnsi="宋体" w:eastAsia="宋体"/>
          <w:b w:val="0"/>
          <w:sz w:val="21"/>
        </w:rPr>
        <w:t>[8] Owens J D, Luebke D, Govindaraju N, et al. A Survey of General-Purpose Computation on Graphics Hardware[J]. Computer Graphics Forum, 2007, 26(1): 80-113. https://doi.org/10.1111/j.1467-8659.2007.01012.x.</w:t>
      </w:r>
    </w:p>
    <w:p>
      <w:pPr>
        <w:spacing w:line="360" w:lineRule="auto"/>
        <w:ind w:firstLine="420"/>
      </w:pPr>
      <w:r>
        <w:rPr>
          <w:rFonts w:ascii="宋体" w:hAnsi="宋体" w:eastAsia="宋体"/>
          <w:b w:val="0"/>
          <w:sz w:val="21"/>
        </w:rPr>
        <w:t>[9] Hughes T J R. The Finite Element Method: Linear Static and Dynamic Finite Element Analysis[M]. Dover Publications.</w:t>
      </w:r>
    </w:p>
    <w:p>
      <w:pPr>
        <w:spacing w:line="360" w:lineRule="auto"/>
        <w:ind w:firstLine="420"/>
      </w:pPr>
      <w:r>
        <w:rPr>
          <w:rFonts w:ascii="宋体" w:hAnsi="宋体" w:eastAsia="宋体"/>
          <w:b w:val="0"/>
          <w:sz w:val="21"/>
        </w:rPr>
        <w:t>[10] Zienkiewicz O C, Zhu J Z. The Superconvergent Patch Recovery and a Posteriori Error Estimates. Part 1[J]. International Journal for Numerical Methods in Engineering, 1992.</w:t>
      </w:r>
    </w:p>
    <w:p>
      <w:pPr>
        <w:spacing w:line="360" w:lineRule="auto"/>
        <w:ind w:firstLine="420"/>
      </w:pPr>
      <w:r>
        <w:rPr>
          <w:rFonts w:ascii="宋体" w:hAnsi="宋体" w:eastAsia="宋体"/>
          <w:b w:val="0"/>
          <w:sz w:val="21"/>
        </w:rPr>
        <w:t>[11] Tomasi C, Manduchi R. Bilateral Filtering for Gray and Color Images[C]//Proceedings of the IEEE International Conference on Computer Vision. 1998: 839-846. https://doi.org/10.1109/ICCV.1998.710815.</w:t>
      </w:r>
    </w:p>
    <w:p>
      <w:pPr>
        <w:spacing w:line="360" w:lineRule="auto"/>
        <w:ind w:firstLine="420"/>
      </w:pPr>
      <w:r>
        <w:rPr>
          <w:rFonts w:ascii="宋体" w:hAnsi="宋体" w:eastAsia="宋体"/>
          <w:b w:val="0"/>
          <w:sz w:val="21"/>
        </w:rPr>
        <w:t>[12] Fleishman S, Drori I, Cohen-Or D. Bilateral Mesh Denoising[J]. ACM Transactions on Graphics, 2003, 22(3): 950-953. https://doi.org/10.1145/882262.882368.</w:t>
      </w:r>
    </w:p>
    <w:p>
      <w:pPr>
        <w:spacing w:line="360" w:lineRule="auto"/>
        <w:ind w:firstLine="420"/>
      </w:pPr>
      <w:r>
        <w:rPr>
          <w:rFonts w:ascii="宋体" w:hAnsi="宋体" w:eastAsia="宋体"/>
          <w:b w:val="0"/>
          <w:sz w:val="21"/>
        </w:rPr>
        <w:t>[13] Perona P, Malik J. Scale-space and edge detection using anisotropic diffusion[J]. IEEE Transactions on Pattern Analysis and Machine Intelligence, 1990, 12(7): 629-639.</w:t>
      </w:r>
    </w:p>
    <w:p>
      <w:pPr>
        <w:spacing w:line="360" w:lineRule="auto"/>
        <w:ind w:firstLine="420"/>
      </w:pPr>
      <w:r>
        <w:rPr>
          <w:rFonts w:ascii="宋体" w:hAnsi="宋体" w:eastAsia="宋体"/>
          <w:b w:val="0"/>
          <w:sz w:val="21"/>
        </w:rPr>
        <w:t>[14] 教育部. 本科毕业论文（设计）抽检办法（试行）[EB/OL]. https://www.moe.gov.cn/srcsite/A11/s7057/202101/t20210107_509019.html.</w:t>
      </w:r>
    </w:p>
    <w:p>
      <w:pPr>
        <w:spacing w:line="360" w:lineRule="auto"/>
        <w:ind w:firstLine="420"/>
      </w:pPr>
      <w:r>
        <w:rPr>
          <w:rFonts w:ascii="宋体" w:hAnsi="宋体" w:eastAsia="宋体"/>
          <w:b w:val="0"/>
          <w:sz w:val="21"/>
        </w:rPr>
        <w:t>[15] 上海市教育委员会. 上海市本科毕业论文（设计）抽检实施细则（试行）[EB/OL]. https://service.shanghai.gov.cn/XingZhengWenDangKuJyh/XZGFDetails.aspx?docid=REPORT_NDOC_007422.</w:t>
      </w:r>
    </w:p>
    <w:p>
      <w:pPr>
        <w:spacing w:line="360" w:lineRule="auto"/>
        <w:ind w:firstLine="420"/>
      </w:pPr>
      <w:r>
        <w:rPr>
          <w:rFonts w:ascii="宋体" w:hAnsi="宋体" w:eastAsia="宋体"/>
          <w:b w:val="0"/>
          <w:sz w:val="21"/>
        </w:rPr>
        <w:t>[16] 陕西省人民政府. 陕西省本科毕业论文（设计）抽检实施细则（试行）[EB/OL]. https://www.shaanxi.gov.cn/zfxxgk/fdzdgknr/zcwj/gfxwj/202209/t20220907_2250362.html.</w:t>
      </w:r>
    </w:p>
    <w:p>
      <w:pPr>
        <w:spacing w:line="360" w:lineRule="auto"/>
        <w:ind w:firstLine="420"/>
      </w:pPr>
      <w:r>
        <w:rPr>
          <w:rFonts w:ascii="宋体" w:hAnsi="宋体" w:eastAsia="宋体"/>
          <w:b w:val="0"/>
          <w:sz w:val="21"/>
        </w:rPr>
        <w:t>[17] 国家市场监督管理总局, 国家标准化管理委员会. GB/T 7713.1-2025 信息与文献 编写规则 第1部分：学位论文[S].</w:t>
      </w:r>
    </w:p>
    <w:p>
      <w:pPr>
        <w:spacing w:line="360" w:lineRule="auto"/>
        <w:ind w:firstLine="420"/>
      </w:pPr>
      <w:r>
        <w:rPr>
          <w:rFonts w:ascii="宋体" w:hAnsi="宋体" w:eastAsia="宋体"/>
          <w:b w:val="0"/>
          <w:sz w:val="21"/>
        </w:rPr>
        <w:t>[18] 国家市场监督管理总局, 国家标准化管理委员会. GB/T 7714-2015 信息与文献 参考文献著录规则[S].</w:t>
      </w:r>
    </w:p>
    <w:p>
      <w:pPr>
        <w:spacing w:line="360" w:lineRule="auto"/>
        <w:ind w:firstLine="420"/>
      </w:pPr>
      <w:r>
        <w:rPr>
          <w:rFonts w:ascii="宋体" w:hAnsi="宋体" w:eastAsia="宋体"/>
          <w:b w:val="0"/>
          <w:sz w:val="21"/>
        </w:rPr>
        <w:t>[19] 高洪臣. 基于 Qt 的电梯智能卡管理系统上位机设计（本科毕业论文）[D]. 燕山大学, 2016. https://www.researchgate.net/publication/351435511.</w:t>
      </w:r>
    </w:p>
    <w:p>
      <w:pPr>
        <w:spacing w:line="360" w:lineRule="auto"/>
        <w:ind w:firstLine="420"/>
      </w:pPr>
      <w:r>
        <w:rPr>
          <w:rFonts w:ascii="宋体" w:hAnsi="宋体" w:eastAsia="宋体"/>
          <w:b w:val="0"/>
          <w:sz w:val="21"/>
        </w:rPr>
        <w:t>[20] 青岛理工大学本科毕业设计论文公开示例：基于虚幻引擎的 2.5D 游戏开发与运行机制研究[EB/OL]. https://ikesallows.top/wp-content/uploads/2024/03/.</w:t>
      </w:r>
    </w:p>
    <w:p>
      <w:pPr>
        <w:spacing w:line="360" w:lineRule="auto"/>
        <w:ind w:firstLine="420"/>
      </w:pPr>
      <w:r>
        <w:rPr>
          <w:rFonts w:ascii="宋体" w:hAnsi="宋体" w:eastAsia="宋体"/>
          <w:b w:val="0"/>
          <w:sz w:val="21"/>
        </w:rPr>
        <w:t>[21] University of Cambridge Department of Computer Science and Technology. The Dissertation: Part II Projects[EB/OL]. https://www.cst.cam.ac.uk/teaching/part-ii/projects/dissertation.</w:t>
      </w:r>
    </w:p>
    <w:p>
      <w:pPr>
        <w:spacing w:line="360" w:lineRule="auto"/>
        <w:ind w:firstLine="420"/>
      </w:pPr>
      <w:r>
        <w:rPr>
          <w:rFonts w:ascii="宋体" w:hAnsi="宋体" w:eastAsia="宋体"/>
          <w:b w:val="0"/>
          <w:sz w:val="21"/>
        </w:rPr>
        <w:t>[22] 国内 CAE 后处理与科学可视化应用研究文献[DB/OL]. https://kns.cnki.net/.</w:t>
      </w:r>
    </w:p>
    <w:p>
      <w:pPr>
        <w:spacing w:line="360" w:lineRule="auto"/>
        <w:ind w:firstLine="420"/>
      </w:pPr>
      <w:r>
        <w:rPr>
          <w:rFonts w:ascii="宋体" w:hAnsi="宋体" w:eastAsia="宋体"/>
          <w:b w:val="0"/>
          <w:sz w:val="21"/>
        </w:rPr>
        <w:t>[23] 国内基于 GPU 的有限元或 CAE 后处理可视化研究文献[DB/OL]. https://kns.cnki.net/.</w:t>
      </w:r>
    </w:p>
    <w:p>
      <w:pPr>
        <w:spacing w:line="360" w:lineRule="auto"/>
        <w:ind w:firstLine="420"/>
      </w:pPr>
      <w:r>
        <w:rPr>
          <w:rFonts w:ascii="宋体" w:hAnsi="宋体" w:eastAsia="宋体"/>
          <w:b w:val="0"/>
          <w:sz w:val="21"/>
        </w:rPr>
        <w:t>[24] 国内图像、点云、网格和科学数据保边平滑研究文献[DB/OL]. https://kns.cnki.net/.</w:t>
      </w:r>
    </w:p>
    <w:p>
      <w:pPr>
        <w:spacing w:line="360" w:lineRule="auto"/>
        <w:ind w:firstLine="420"/>
      </w:pPr>
      <w:r>
        <w:rPr>
          <w:rFonts w:ascii="宋体" w:hAnsi="宋体" w:eastAsia="宋体"/>
          <w:b w:val="0"/>
          <w:sz w:val="21"/>
        </w:rPr>
        <w:t>[25] Zingg D W, Yarrow M. A direct procedure for interpolation on a structured curvilinear two-dimensional grid[R]. NASA Technical Memorandum 102213, 1989. https://ntrs.nasa.gov/citations/19890018062.</w:t>
      </w:r>
    </w:p>
    <w:p>
      <w:pPr>
        <w:spacing w:line="360" w:lineRule="auto"/>
        <w:ind w:firstLine="420"/>
      </w:pPr>
      <w:r>
        <w:rPr>
          <w:rFonts w:ascii="宋体" w:hAnsi="宋体" w:eastAsia="宋体"/>
          <w:b w:val="0"/>
          <w:sz w:val="21"/>
        </w:rPr>
        <w:t>[26] Thompson J F, Thames F C, Mastin C W. TOMCAT - A code for numerical generation of boundary-fitted curvilinear coordinate systems on fields containing any number of arbitrary two-dimensional bodies[J]. Journal of Computational Physics, 1977, 24. https://ntrs.nasa.gov/citations/19770057720.</w:t>
      </w:r>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