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ARCHITECTURE AND DESIGN DOCUMENT</w:t>
      </w:r>
    </w:p>
    <w:p>
      <w:pPr>
        <w:spacing w:after="120"/>
        <w:jc w:val="center"/>
      </w:pPr>
      <w:r>
        <w:rPr>
          <w:sz w:val="26"/>
          <w:szCs w:val="26"/>
        </w:rPr>
        <w:t xml:space="preserve">Crypto Realm Protocol</w:t>
      </w:r>
    </w:p>
    <w:p>
      <w:pPr>
        <w:spacing w:after="80"/>
        <w:jc w:val="center"/>
      </w:pPr>
      <w:r>
        <w:rPr>
          <w:sz w:val="22"/>
          <w:szCs w:val="22"/>
        </w:rPr>
        <w:t xml:space="preserve">Team: Asylbek, Bigali, Miras</w:t>
      </w:r>
    </w:p>
    <w:p>
      <w:pPr>
        <w:spacing w:after="200"/>
        <w:jc w:val="center"/>
      </w:pPr>
      <w:r>
        <w:rPr>
          <w:sz w:val="22"/>
          <w:szCs w:val="22"/>
        </w:rPr>
        <w:t xml:space="preserve">Date: May 15, 2026</w:t>
      </w:r>
    </w:p>
    <w:p>
      <w:pPr>
        <w:pStyle w:val="Heading1"/>
        <w:spacing w:after="160" w:before="280"/>
      </w:pPr>
      <w:r>
        <w:t xml:space="preserve">1. Project Overview</w:t>
      </w:r>
    </w:p>
    <w:p>
      <w:pPr>
        <w:spacing w:after="120" w:line="280"/>
        <w:jc w:val="both"/>
      </w:pPr>
      <w:r>
        <w:t xml:space="preserve">Crypto Realm is a GameFi protocol deployed on Base Sepolia that models a complete on-chain game economy. Players collect base resources such as wood, iron, and gem, craft higher-tier items including a sword and a shield, trade resources on an automated market maker, rent items from a collateralized vault, open randomized loot boxes funded by Chainlink VRF, and govern protocol parameters through token-weighted voting subject to a two-day timelock.</w:t>
      </w:r>
    </w:p>
    <w:p>
      <w:pPr>
        <w:spacing w:after="120" w:line="280"/>
        <w:jc w:val="both"/>
      </w:pPr>
      <w:r>
        <w:t xml:space="preserve">The protocol consists of twelve production smart contracts implemented in Solidity 0.8.24 with the Cancun EVM target. The codebase uses OpenZeppelin Contracts v5 as a foundation, integrates Chainlink data feeds and VRF for oracle and randomness, and relies on Foundry for compilation, testing, and deployment. The frontend is a single-page application built with HTML and Ethers.js v5; an off-chain indexer is implemented using The Graph subgraph framework.</w:t>
      </w:r>
    </w:p>
    <w:p>
      <w:pPr>
        <w:spacing w:after="120" w:line="280"/>
        <w:jc w:val="both"/>
      </w:pPr>
      <w:r>
        <w:t xml:space="preserve">This document describes the architectural decisions, design patterns, security architecture, testing strategy, and deployment topology of the protocol. It should be read alongside the Security Audit Report, the Gas Optimization Report, and the Architectural Decision Records numbered ADR-001 through ADR-003.</w:t>
      </w:r>
    </w:p>
    <w:p>
      <w:pPr>
        <w:pStyle w:val="Heading1"/>
        <w:spacing w:after="160" w:before="280"/>
      </w:pPr>
      <w:r>
        <w:t xml:space="preserve">2. System Components</w:t>
      </w:r>
    </w:p>
    <w:p>
      <w:pPr>
        <w:spacing w:after="120" w:line="280"/>
        <w:jc w:val="both"/>
      </w:pPr>
      <w:r>
        <w:t xml:space="preserve">The twelve production contracts are organized into seven domain folders under src/. The resources folder contains GameResources, an ERC-1155 multi-token contract that holds all in-game assets in a single contract. The crafting folder contains CraftingStation, which executes recipes that burn input resources and mint output items. The marketplace folder contains ResourceMarketplace, a constant-product automated market maker adapted for ERC-1155 pools.</w:t>
      </w:r>
    </w:p>
    <w:p>
      <w:pPr>
        <w:spacing w:after="120" w:line="280"/>
        <w:jc w:val="both"/>
      </w:pPr>
      <w:r>
        <w:t xml:space="preserve">The rental folder contains NFTRentalVault, an ERC-4626 vault where renters stake the governance token as collateral to obtain rights to use specific game items for fixed durations. The lootbox folder contains LootBox, which uses Chainlink VRF to deliver probabilistic rewards. The oracle folder contains PriceOracleAdapter, a Chainlink price feed adapter with three-layer staleness checks. The governance folder contains the three-contract governance stack: GameToken, an ERC-20 with the Votes and Permit extensions; GameTimelock, a two-day TimelockController; and GameGovernor, the full OpenZeppelin Governor stack with quorum and counting modules.</w:t>
      </w:r>
    </w:p>
    <w:p>
      <w:pPr>
        <w:spacing w:after="120" w:line="280"/>
        <w:jc w:val="both"/>
      </w:pPr>
      <w:r>
        <w:t xml:space="preserve">The upgradeable folder contains MarketplaceV1 and MarketplaceV2, demonstrating the UUPS upgrade pattern. The factory folder contains MarketplaceFactory, which supports both CREATE and CREATE2 deployment of marketplace instances. The libraries folder contains MarketplaceMath, exporting both a pure-Solidity and a Yul-optimized version of the AMM output formula for gas benchmark comparison.</w:t>
      </w:r>
    </w:p>
    <w:p>
      <w:pPr>
        <w:pStyle w:val="Heading1"/>
        <w:spacing w:after="160" w:before="280"/>
      </w:pPr>
      <w:r>
        <w:t xml:space="preserve">3. Core Design Patterns</w:t>
      </w:r>
    </w:p>
    <w:p>
      <w:pPr>
        <w:pStyle w:val="Heading2"/>
        <w:spacing w:after="120" w:before="200"/>
      </w:pPr>
      <w:r>
        <w:t xml:space="preserve">3.1 Constant-Product AMM</w:t>
      </w:r>
    </w:p>
    <w:p>
      <w:pPr>
        <w:spacing w:after="120" w:line="280"/>
        <w:jc w:val="both"/>
      </w:pPr>
      <w:r>
        <w:t xml:space="preserve">ResourceMarketplace implements the Uniswap V2 constant-product invariant for ERC-1155 resources. Pool keys are computed as the keccak256 hash of the smaller and larger token IDs in canonical order, so the pool for the pair (WOOD, IRON) resolves to the same storage slot as the pool for (IRON, WOOD). This eliminates ambiguity bugs where a trader could create two parallel pools for the same asset pair by reversing the argument order.</w:t>
      </w:r>
    </w:p>
    <w:p>
      <w:pPr>
        <w:spacing w:after="120" w:line="280"/>
        <w:jc w:val="both"/>
      </w:pPr>
      <w:r>
        <w:t xml:space="preserve">The fee model uses Uniswap V2's standard 997 over 1000 numerator-denominator approach: a 0.3 percent fee is taken from the input amount and accrues to liquidity providers via the standard reserve-adjustment mechanism. After every swap, the contract explicitly verifies that the new product of reserves is greater than or equal to the old product, reverting with a custom error if the invariant is broken. This redundant check provides defense in depth against subtle arithmetic bugs that the formula alone might miss.</w:t>
      </w:r>
    </w:p>
    <w:p>
      <w:pPr>
        <w:spacing w:after="120" w:line="280"/>
        <w:jc w:val="both"/>
      </w:pPr>
      <w:r>
        <w:t xml:space="preserve">A permanent burn of one thousand liquidity-provider tokens to the zero address on first deposit prevents the well-known first-depositor inflation attack, in which an attacker mints a single LP token, donates a large amount to the pool, and then sandwiches future depositors. Without this lock, a single LP token could be made to represent an arbitrarily large fraction of the pool.</w:t>
      </w:r>
    </w:p>
    <w:p>
      <w:pPr>
        <w:pStyle w:val="Heading2"/>
        <w:spacing w:after="120" w:before="200"/>
      </w:pPr>
      <w:r>
        <w:t xml:space="preserve">3.2 Checks-Effects-Interactions</w:t>
      </w:r>
    </w:p>
    <w:p>
      <w:pPr>
        <w:spacing w:after="120" w:line="280"/>
        <w:jc w:val="both"/>
      </w:pPr>
      <w:r>
        <w:t xml:space="preserve">All state-mutating external functions in the protocol follow the Checks-Effects-Interactions pattern strictly. State validation happens first, state mutations happen second, and external calls happen last. This ordering is enforced in addLiquidity, removeLiquidity, and swapExactInputForOutput on the marketplace, as well as in craftRecipe on the crafting station, createRental and endRental on the rental vault, and openLootBox on the loot box contract.</w:t>
      </w:r>
    </w:p>
    <w:p>
      <w:pPr>
        <w:spacing w:after="120" w:line="280"/>
        <w:jc w:val="both"/>
      </w:pPr>
      <w:r>
        <w:t xml:space="preserve">The initial AMM implementation violated this pattern: reserve mutations happened after the safeTransferFrom calls, triggering Slither's reentrancy-2 finding. A malicious ERC-1155 onERC1155Received callback could have reentered the contract and observed stale reserves through the view function getPoolReserves. The fix moved all reserve and supply mutations before the transfers. Slither now reports zero reentrancy findings.</w:t>
      </w:r>
    </w:p>
    <w:p>
      <w:pPr>
        <w:pStyle w:val="Heading2"/>
        <w:spacing w:after="120" w:before="200"/>
      </w:pPr>
      <w:r>
        <w:t xml:space="preserve">3.3 UUPS Upgradeability</w:t>
      </w:r>
    </w:p>
    <w:p>
      <w:pPr>
        <w:spacing w:after="120" w:line="280"/>
        <w:jc w:val="both"/>
      </w:pPr>
      <w:r>
        <w:t xml:space="preserve">MarketplaceV1 inherits OpenZeppelin's UUPSUpgradeable and exposes onlyOwner-gated authorization for the _authorizeUpgrade hook. The proxy uses the ERC1967 storage slot layout. V2 demonstrates the upgrade path by inheriting V1 directly and appending one new storage variable plus one new function, while overriding the version string to return 2.0.0. The append-only storage discipline is critical for upgrade safety: any reordering or removal of V1 variables would corrupt the proxy's storage after the upgrade.</w:t>
      </w:r>
    </w:p>
    <w:p>
      <w:pPr>
        <w:spacing w:after="120" w:line="280"/>
        <w:jc w:val="both"/>
      </w:pPr>
      <w:r>
        <w:t xml:space="preserve">Authorization is initially the deployer. In production, ownership transfers to the GameTimelock so every upgrade requires a governance proposal, vote, queue, and two-day execution delay. This makes silent upgrades impossible and gives token holders time to exit if they disagree with a proposed change. The full rationale for choosing UUPS over the Transparent Proxy pattern is recorded in ADR-001.</w:t>
      </w:r>
    </w:p>
    <w:p>
      <w:pPr>
        <w:pStyle w:val="Heading2"/>
        <w:spacing w:after="120" w:before="200"/>
      </w:pPr>
      <w:r>
        <w:t xml:space="preserve">3.4 Yul Assembly for Hot-Path Math</w:t>
      </w:r>
    </w:p>
    <w:p>
      <w:pPr>
        <w:spacing w:after="120" w:line="280"/>
        <w:jc w:val="both"/>
      </w:pPr>
      <w:r>
        <w:t xml:space="preserve">The MarketplaceMath library exports two functions with identical semantics: a readable pure-Solidity version and a hand-optimized inline Yul version. The Yul version uses direct memory writes for custom-error reverts, bypasses implicit overflow checks that are safe given the AMM's input bounds, and uses raw arithmetic opcodes without the Solidity wrappers. Measurements via forge test --gas-report show approximately 25 percent gas savings on a typical swap. Both versions are exported so auditors can verify semantic equivalence on identical inputs. The full rationale appears in ADR-003.</w:t>
      </w:r>
    </w:p>
    <w:p>
      <w:pPr>
        <w:pStyle w:val="Heading1"/>
        <w:spacing w:after="160" w:before="280"/>
      </w:pPr>
      <w:r>
        <w:t xml:space="preserve">4. Security Architecture</w:t>
      </w:r>
    </w:p>
    <w:p>
      <w:pPr>
        <w:spacing w:after="120" w:line="280"/>
        <w:jc w:val="both"/>
      </w:pPr>
      <w:r>
        <w:t xml:space="preserve">Every privileged function in the protocol is gated by OpenZeppelin AccessControl roles. The role hierarchy includes DEFAULT_ADMIN_ROLE for granting and revoking other roles, MINTER_ROLE for issuing new tokens or resources, PAUSER_ROLE for halting operations during incidents, RECIPE_MANAGER_ROLE for crafting recipe management, RENTAL_MANAGER_ROLE for vault rentals, DROP_RATE_MANAGER_ROLE for loot box configuration, and FEED_MANAGER_ROLE for oracle feed management.</w:t>
      </w:r>
    </w:p>
    <w:p>
      <w:pPr>
        <w:spacing w:after="120" w:line="280"/>
        <w:jc w:val="both"/>
      </w:pPr>
      <w:r>
        <w:t xml:space="preserve">During deployment, the deployer holds DEFAULT_ADMIN_ROLE on every contract. The final step of the deployment script transfers this role to GameTimelock, so every subsequent role change requires a governance proposal and a two-day delay. This is a critical centralization mitigation: even if the deployer's key is compromised after deployment, the attacker cannot grant themselves new roles without going through governance and waiting for the timelock to expire.</w:t>
      </w:r>
    </w:p>
    <w:p>
      <w:pPr>
        <w:spacing w:after="120" w:line="280"/>
        <w:jc w:val="both"/>
      </w:pPr>
      <w:r>
        <w:t xml:space="preserve">The marketplace and the resources contract both inherit OpenZeppelin Pausable. The pauser role holder can halt all state-changing operations during an active exploit. This is the protocol's incident-response primitive: the team can stop the bleeding while a fix is developed and proposed through governance. Reentrancy protection is provided by OpenZeppelin ReentrancyGuard on every externally-callable mutating function, complementing the CEI ordering. SafeERC20 is used for all token transfers in the vault to handle non-standard tokens that fail to return a boolean from transfer.</w:t>
      </w:r>
    </w:p>
    <w:p>
      <w:pPr>
        <w:spacing w:after="120" w:line="280"/>
        <w:jc w:val="both"/>
      </w:pPr>
      <w:r>
        <w:t xml:space="preserve">PriceOracleAdapter enforces three Chainlink-specific safety conditions on every price read. First, the raw price must be strictly positive, rejecting zero and negative values that Chainlink can return during feed misconfiguration. Second, the answered-in-round must be at least the round ID, rejecting partially-completed rounds. Third, the gap between the current block timestamp and the feed's last update must not exceed a governance-configurable staleness window. Each condition has a dedicated custom error and a dedicated unit test. A fork test against the live Base Sepolia ETH-USD feed at 0x4aDC67696bA383F43DD60A9e78F2C97Fbbfc7cb1 verifies the adapter against a real Chainlink aggregator.</w:t>
      </w:r>
    </w:p>
    <w:p>
      <w:pPr>
        <w:spacing w:after="120" w:line="280"/>
        <w:jc w:val="both"/>
      </w:pPr>
      <w:r>
        <w:t xml:space="preserve">Static analysis is performed with Slither v0.11.5 configured to exclude lib/, test/, script/, and src/mocks/. The current codebase reports zero High and zero Medium findings. Nineteen Low or Informational findings remain, all documented in the Security Audit Report with concrete mitigations or accepted design rationale.</w:t>
      </w:r>
    </w:p>
    <w:p>
      <w:pPr>
        <w:pStyle w:val="Heading1"/>
        <w:spacing w:after="160" w:before="280"/>
      </w:pPr>
      <w:r>
        <w:t xml:space="preserve">5. Governance Architecture</w:t>
      </w:r>
    </w:p>
    <w:p>
      <w:pPr>
        <w:spacing w:after="120" w:line="280"/>
        <w:jc w:val="both"/>
      </w:pPr>
      <w:r>
        <w:t xml:space="preserve">The governance token is GameToken, an ERC-20 with the ERC20Permit gasless approval extension and the ERC20Votes extension that snapshots voting power per block. The token has the name Crypto Realm Token and the symbol REALM. The maximum supply is immutable at one million tokens, enforced by every mint call. The contract overrides nonces and the _update hook correctly for the unified OZ v5 nonce contract and the votes checkpoint mechanism.</w:t>
      </w:r>
    </w:p>
    <w:p>
      <w:pPr>
        <w:spacing w:after="120" w:line="280"/>
        <w:jc w:val="both"/>
      </w:pPr>
      <w:r>
        <w:t xml:space="preserve">The timelock is GameTimelock, a thin wrapper around OpenZeppelin TimelockController configured with a two-day minimum delay. The proposer role is granted to the governor so that only successful proposals can schedule operations. The canceller role is also granted to the governor so a successor proposal can revoke a queued operation. The executor role is granted to the zero address, meaning anyone can execute a queued operation once the delay has elapsed; this is the standard permissionless-execution pattern and is safe because proposal and cancellation remain governance-controlled.</w:t>
      </w:r>
    </w:p>
    <w:p>
      <w:pPr>
        <w:spacing w:after="120" w:line="280"/>
        <w:jc w:val="both"/>
      </w:pPr>
      <w:r>
        <w:t xml:space="preserve">The governor is GameGovernor, which composes the full OpenZeppelin Governor stack: the base Governor logic, GovernorSettings for delay and voting period configuration, GovernorCountingSimple for three-option voting, GovernorVotes for vote power sourced from the token's snapshot, GovernorVotesQuorumFraction for a four percent quorum, and GovernorTimelockControl for queued execution through the timelock. The full proposal lifecycle of propose, vote, queue, and execute is demonstrated end to end in the test test_FullProposalLifecycle_ProposeVoteQueueExecute, which exercises every state transition.</w:t>
      </w:r>
    </w:p>
    <w:p>
      <w:pPr>
        <w:pStyle w:val="Heading1"/>
        <w:spacing w:after="160" w:before="280"/>
      </w:pPr>
      <w:r>
        <w:t xml:space="preserve">6. Testing Strategy</w:t>
      </w:r>
    </w:p>
    <w:p>
      <w:pPr>
        <w:spacing w:after="120" w:line="280"/>
        <w:jc w:val="both"/>
      </w:pPr>
      <w:r>
        <w:t xml:space="preserve">The test suite consists of seventy-six tests organized into four categories: fifty unit tests covering every external function and every revert path, ten property-based fuzz tests covering AMM invariants and governance token state across 256 random inputs each, five Foundry invariant tests with a MarketplaceHandler exercising addLiquidity and swap across approximately 128,000 randomized calls, and three fork tests against the live Base Sepolia Chainlink ETH-USD price feed.</w:t>
      </w:r>
    </w:p>
    <w:p>
      <w:pPr>
        <w:spacing w:after="120" w:line="280"/>
        <w:jc w:val="both"/>
      </w:pPr>
      <w:r>
        <w:t xml:space="preserve">The most important property the test suite verifies is that the AMM's constant-product invariant remains non-decreasing across every swap. This is checked by hand-picked unit tests with known inputs, by 256-run fuzz tests across random inputs, and by Foundry invariant tests that compose multiple operations randomly through the handler. A bug that violated this invariant would allow value extraction from the pool, so the redundant coverage is intentional. Other critical properties verified include the governance token supply cap, voting power conservation under transfer, oracle decimal scaling, factory CREATE2 address prediction, and UUPS storage preservation across upgrade.</w:t>
      </w:r>
    </w:p>
    <w:p>
      <w:pPr>
        <w:pStyle w:val="Heading1"/>
        <w:spacing w:after="160" w:before="280"/>
      </w:pPr>
      <w:r>
        <w:t xml:space="preserve">7. Deployment and Frontend</w:t>
      </w:r>
    </w:p>
    <w:p>
      <w:pPr>
        <w:spacing w:after="120" w:line="280"/>
        <w:jc w:val="both"/>
      </w:pPr>
      <w:r>
        <w:t xml:space="preserve">All twelve contracts are deployed atomically through script/Deploy.s.sol. The script reads PRIVATE_KEY from the environment, broadcasts under the deployer's signature, deploys every contract in dependency order, grants the required cross-contract roles, and transfers DEFAULT_ADMIN_ROLE on both GameToken and GameResources to GameTimelock. Deployment to Base Sepolia is reproducible with a single command. Deployed contract addresses are recorded in docs/DEPLOYED-ADDRESSES.md with BaseScan links.</w:t>
      </w:r>
    </w:p>
    <w:p>
      <w:pPr>
        <w:spacing w:after="120" w:line="280"/>
        <w:jc w:val="both"/>
      </w:pPr>
      <w:r>
        <w:t xml:space="preserve">The frontend is a single-page HTML application built with Ethers.js v5 loaded via CDN and styled with Tailwind CSS via the Tailwind CDN. It connects to MetaMask, detects whether the user is on Base Sepolia, warns them if not, and offers a one-click network switch. The UI exposes four tabs: marketplace for swaps and pool reserves, governance for voting power and active proposals, vault for collateral deposit, and account for token and resource balances. Three state-changing transactions are implemented (swap, delegate, deposit), each with dedicated user feedback for pending, confirmed, and reverted states.</w:t>
      </w:r>
    </w:p>
    <w:p>
      <w:pPr>
        <w:spacing w:after="120" w:line="280"/>
        <w:jc w:val="both"/>
      </w:pPr>
      <w:r>
        <w:t xml:space="preserve">Off-chain indexing is implemented as a The Graph subgraph that indexes ResourceMarketplace swap and liquidity events and GameGovernor proposal-creation events into four entities: LiquidityProvider, SwapEvent, LiquidityEvent, and Proposal. Five documented GraphQL queries are committed in subgraph/README.md and consumed by the frontend to populate the active-proposals list. The protocol relies on three external trust assumptions: the deployer key, mitigated by transferring admin to the timelock; the Chainlink price feed, mitigated by the three-layer staleness check; and the Chainlink VRF coordinator, mitigated by the double-fulfillment guard in the loot box contract.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2026-05-17T15:28:17.286Z</dcterms:created>
  <dcterms:modified xsi:type="dcterms:W3CDTF">2026-05-17T15:28:17.298Z</dcterms:modified>
</cp:coreProperties>
</file>

<file path=docProps/custom.xml><?xml version="1.0" encoding="utf-8"?>
<Properties xmlns="http://schemas.openxmlformats.org/officeDocument/2006/custom-properties" xmlns:vt="http://schemas.openxmlformats.org/officeDocument/2006/docPropsVTypes"/>
</file>