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602" w:rsidRDefault="00A91602" w:rsidP="00A91602">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p>
    <w:p w:rsidR="00A91602" w:rsidRDefault="00A91602" w:rsidP="00A91602">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p>
    <w:p w:rsidR="00A91602" w:rsidRDefault="00A91602" w:rsidP="00A91602">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p>
    <w:p w:rsidR="00A91602" w:rsidRDefault="00A91602" w:rsidP="00A9160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t>CHALLENGE FOR CREDIT</w:t>
      </w:r>
    </w:p>
    <w:p w:rsidR="00A91602" w:rsidRDefault="00A91602" w:rsidP="00A91602">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p>
    <w:p w:rsidR="00A91602" w:rsidRPr="00A91602" w:rsidRDefault="00A91602" w:rsidP="00A91602">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A91602">
        <w:rPr>
          <w:rFonts w:ascii="Times New Roman" w:eastAsia="Times New Roman" w:hAnsi="Times New Roman" w:cs="Times New Roman"/>
          <w:b/>
          <w:bCs/>
          <w:sz w:val="27"/>
          <w:szCs w:val="27"/>
          <w:lang w:eastAsia="en-CA"/>
        </w:rPr>
        <w:t>5.2.3 Challenge for Credit</w:t>
      </w:r>
    </w:p>
    <w:p w:rsidR="00A91602" w:rsidRPr="00A91602" w:rsidRDefault="00A91602" w:rsidP="00A91602">
      <w:p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 xml:space="preserve">The challenge for credit process allows you to demonstrate that you are proficient in the subject matter of a specific </w:t>
      </w:r>
      <w:r w:rsidRPr="00024125">
        <w:rPr>
          <w:rFonts w:ascii="Times New Roman" w:eastAsia="Times New Roman" w:hAnsi="Times New Roman" w:cs="Times New Roman"/>
          <w:color w:val="FF0000"/>
          <w:sz w:val="24"/>
          <w:szCs w:val="24"/>
          <w:lang w:eastAsia="en-CA"/>
        </w:rPr>
        <w:t xml:space="preserve">Athabasca University </w:t>
      </w:r>
      <w:r w:rsidRPr="00A91602">
        <w:rPr>
          <w:rFonts w:ascii="Times New Roman" w:eastAsia="Times New Roman" w:hAnsi="Times New Roman" w:cs="Times New Roman"/>
          <w:sz w:val="24"/>
          <w:szCs w:val="24"/>
          <w:lang w:eastAsia="en-CA"/>
        </w:rPr>
        <w:t>course without having to complete the entire course. Using a predetermined process, this option allows you to challenge courses based on your knowledge of the course content. Not all courses are available for challenge.</w:t>
      </w:r>
      <w:r w:rsidRPr="00A91602">
        <w:rPr>
          <w:rFonts w:ascii="Times New Roman" w:eastAsia="Times New Roman" w:hAnsi="Times New Roman" w:cs="Times New Roman"/>
          <w:sz w:val="24"/>
          <w:szCs w:val="24"/>
          <w:lang w:eastAsia="en-CA"/>
        </w:rPr>
        <w:br/>
      </w:r>
      <w:r w:rsidRPr="00A91602">
        <w:rPr>
          <w:rFonts w:ascii="Times New Roman" w:eastAsia="Times New Roman" w:hAnsi="Times New Roman" w:cs="Times New Roman"/>
          <w:sz w:val="24"/>
          <w:szCs w:val="24"/>
          <w:lang w:eastAsia="en-CA"/>
        </w:rPr>
        <w:br/>
        <w:t>Not all post-secondary institutions recognize the challenge for credit process. If you are a visiting student, find out first whether your home institution will accept credit obtained by challenge prior to registration.</w:t>
      </w:r>
      <w:r w:rsidRPr="00A91602">
        <w:rPr>
          <w:rFonts w:ascii="Times New Roman" w:eastAsia="Times New Roman" w:hAnsi="Times New Roman" w:cs="Times New Roman"/>
          <w:sz w:val="24"/>
          <w:szCs w:val="24"/>
          <w:lang w:eastAsia="en-CA"/>
        </w:rPr>
        <w:br/>
      </w:r>
      <w:r w:rsidRPr="00A91602">
        <w:rPr>
          <w:rFonts w:ascii="Times New Roman" w:eastAsia="Times New Roman" w:hAnsi="Times New Roman" w:cs="Times New Roman"/>
          <w:sz w:val="24"/>
          <w:szCs w:val="24"/>
          <w:lang w:eastAsia="en-CA"/>
        </w:rPr>
        <w:br/>
        <w:t>Determine your subject-matter knowledge and the method of challenge evaluation by reviewing the online</w:t>
      </w:r>
      <w:hyperlink r:id="rId6" w:history="1">
        <w:r w:rsidRPr="00A91602">
          <w:rPr>
            <w:rFonts w:ascii="Times New Roman" w:eastAsia="Times New Roman" w:hAnsi="Times New Roman" w:cs="Times New Roman"/>
            <w:color w:val="0000FF"/>
            <w:sz w:val="24"/>
            <w:szCs w:val="24"/>
            <w:u w:val="single"/>
            <w:lang w:eastAsia="en-CA"/>
          </w:rPr>
          <w:t xml:space="preserve"> syllabus.</w:t>
        </w:r>
      </w:hyperlink>
      <w:r w:rsidRPr="00A91602">
        <w:rPr>
          <w:rFonts w:ascii="Times New Roman" w:eastAsia="Times New Roman" w:hAnsi="Times New Roman" w:cs="Times New Roman"/>
          <w:sz w:val="24"/>
          <w:szCs w:val="24"/>
          <w:lang w:eastAsia="en-CA"/>
        </w:rPr>
        <w:br/>
      </w:r>
      <w:r w:rsidRPr="00A91602">
        <w:rPr>
          <w:rFonts w:ascii="Times New Roman" w:eastAsia="Times New Roman" w:hAnsi="Times New Roman" w:cs="Times New Roman"/>
          <w:sz w:val="24"/>
          <w:szCs w:val="24"/>
          <w:lang w:eastAsia="en-CA"/>
        </w:rPr>
        <w:br/>
        <w:t xml:space="preserve">Prior to registration, you must obtain approval to challenge a course from the faculty or designate who is responsible for the AU course. Faculty contact information may be found </w:t>
      </w:r>
      <w:hyperlink r:id="rId7" w:history="1">
        <w:r w:rsidRPr="00A91602">
          <w:rPr>
            <w:rFonts w:ascii="Times New Roman" w:eastAsia="Times New Roman" w:hAnsi="Times New Roman" w:cs="Times New Roman"/>
            <w:color w:val="0000FF"/>
            <w:sz w:val="24"/>
            <w:szCs w:val="24"/>
            <w:u w:val="single"/>
            <w:lang w:eastAsia="en-CA"/>
          </w:rPr>
          <w:t>online</w:t>
        </w:r>
      </w:hyperlink>
      <w:r w:rsidRPr="00A91602">
        <w:rPr>
          <w:rFonts w:ascii="Times New Roman" w:eastAsia="Times New Roman" w:hAnsi="Times New Roman" w:cs="Times New Roman"/>
          <w:sz w:val="24"/>
          <w:szCs w:val="24"/>
          <w:lang w:eastAsia="en-CA"/>
        </w:rPr>
        <w:t>. Tutor support, however, is not available during the challenge for credit process.</w:t>
      </w:r>
      <w:r w:rsidRPr="00A91602">
        <w:rPr>
          <w:rFonts w:ascii="Times New Roman" w:eastAsia="Times New Roman" w:hAnsi="Times New Roman" w:cs="Times New Roman"/>
          <w:sz w:val="24"/>
          <w:szCs w:val="24"/>
          <w:lang w:eastAsia="en-CA"/>
        </w:rPr>
        <w:br/>
      </w:r>
      <w:r w:rsidRPr="00A91602">
        <w:rPr>
          <w:rFonts w:ascii="Times New Roman" w:eastAsia="Times New Roman" w:hAnsi="Times New Roman" w:cs="Times New Roman"/>
          <w:sz w:val="24"/>
          <w:szCs w:val="24"/>
          <w:lang w:eastAsia="en-CA"/>
        </w:rPr>
        <w:br/>
        <w:t xml:space="preserve">Course credit obtained through challenge for credit processes will not meet AU residency requirements for registrations commencing on January 1, 2012 and later. </w:t>
      </w:r>
    </w:p>
    <w:p w:rsidR="00A91602" w:rsidRPr="00A91602" w:rsidRDefault="00A91602" w:rsidP="00A91602">
      <w:p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For registrations made via the challenge for credit process prior to January 1, 2012 (term 201201), the maximum number of credits that can be challenged at Athabasca University is calculated from the total number of credits required for the program minus the number of credits required for residency. However, any course that is successfully completed through the challenge for credit process may count towards the Athabasca University residency requirements.</w:t>
      </w:r>
      <w:r w:rsidRPr="00A91602">
        <w:rPr>
          <w:rFonts w:ascii="Times New Roman" w:eastAsia="Times New Roman" w:hAnsi="Times New Roman" w:cs="Times New Roman"/>
          <w:sz w:val="24"/>
          <w:szCs w:val="24"/>
          <w:lang w:eastAsia="en-CA"/>
        </w:rPr>
        <w:br/>
      </w:r>
      <w:r w:rsidRPr="00A91602">
        <w:rPr>
          <w:rFonts w:ascii="Times New Roman" w:eastAsia="Times New Roman" w:hAnsi="Times New Roman" w:cs="Times New Roman"/>
          <w:sz w:val="24"/>
          <w:szCs w:val="24"/>
          <w:lang w:eastAsia="en-CA"/>
        </w:rPr>
        <w:br/>
      </w:r>
      <w:bookmarkStart w:id="0" w:name="facts"/>
      <w:bookmarkEnd w:id="0"/>
      <w:r w:rsidRPr="00A91602">
        <w:rPr>
          <w:rFonts w:ascii="Times New Roman" w:eastAsia="Times New Roman" w:hAnsi="Times New Roman" w:cs="Times New Roman"/>
          <w:sz w:val="24"/>
          <w:szCs w:val="24"/>
          <w:lang w:eastAsia="en-CA"/>
        </w:rPr>
        <w:t xml:space="preserve">Some important facts regarding challenging a course: </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Prerequisites must be satisfied unless the faculty member, or designate, waives them. After completing a challenge successfully, you may not challenge a prerequisite to that course.</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Tutor and faculty support is not available during a challenge.</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There are no provisions to withdraw from or extend your challenge contract period.</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lastRenderedPageBreak/>
        <w:t xml:space="preserve">You must complete all of the requirements of the challenge within the three-month contract period. You must complete and submit the required assignments, reports, projects, or examination(s) within this period. </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For challenges that have an exam requirement, there are no provisions to write supplemental exams.</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If you do not successfully complete or you fail your challenge, you are not permitted to challenge the course a second time. You must instead register in the full course and complete it successfully in order to receive credit.</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If you do not successfully complete the requirements of the challenge, you will be assigned a grade of “F” (failure).</w:t>
      </w:r>
    </w:p>
    <w:p w:rsidR="00A91602" w:rsidRPr="00A91602" w:rsidRDefault="00A91602" w:rsidP="00A916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A91602">
        <w:rPr>
          <w:rFonts w:ascii="Times New Roman" w:eastAsia="Times New Roman" w:hAnsi="Times New Roman" w:cs="Times New Roman"/>
          <w:sz w:val="24"/>
          <w:szCs w:val="24"/>
          <w:lang w:eastAsia="en-CA"/>
        </w:rPr>
        <w:t>Funding for a course taken via the challenge for credit process is not available through student financial aid.</w:t>
      </w:r>
    </w:p>
    <w:p w:rsidR="00B12390" w:rsidRDefault="00024125"/>
    <w:p w:rsidR="000C6A18" w:rsidRDefault="000C6A18" w:rsidP="000C6A18">
      <w:r>
        <w:t xml:space="preserve">3.6 </w:t>
      </w:r>
      <w:proofErr w:type="gramStart"/>
      <w:r>
        <w:t>Challenge</w:t>
      </w:r>
      <w:proofErr w:type="gramEnd"/>
      <w:r>
        <w:t xml:space="preserve"> for Credit</w:t>
      </w:r>
      <w:bookmarkStart w:id="1" w:name="REGS-1092"/>
      <w:bookmarkStart w:id="2" w:name="REGS-1297"/>
      <w:bookmarkEnd w:id="1"/>
      <w:bookmarkEnd w:id="2"/>
      <w:r>
        <w:t xml:space="preserve"> </w:t>
      </w:r>
    </w:p>
    <w:p w:rsidR="000C6A18" w:rsidRDefault="000C6A18" w:rsidP="000C6A18">
      <w:pPr>
        <w:pStyle w:val="NormalWeb"/>
      </w:pPr>
      <w:r w:rsidRPr="00024125">
        <w:rPr>
          <w:color w:val="FF0000"/>
        </w:rPr>
        <w:t xml:space="preserve">Memorial University of Newfoundland </w:t>
      </w:r>
      <w:r>
        <w:t xml:space="preserve">recognizes that some students may have achieved competence in certain subject areas through experience gained elsewhere. This experience, which may warrant consideration for academic credit at the undergraduate level, may consist of courses taken at "non-university" institutions or skills acquired from work or learning outside the university. It should be noted that challenge for credit is not offered for Work Terms or Internships. </w:t>
      </w:r>
    </w:p>
    <w:p w:rsidR="000C6A18" w:rsidRDefault="000C6A18" w:rsidP="000C6A18">
      <w:pPr>
        <w:pStyle w:val="NormalWeb"/>
      </w:pPr>
      <w:r>
        <w:t xml:space="preserve">Since course challenge is not offered by all academic units nor for all courses within a unit, </w:t>
      </w:r>
      <w:proofErr w:type="gramStart"/>
      <w:r>
        <w:t>students are</w:t>
      </w:r>
      <w:proofErr w:type="gramEnd"/>
      <w:r>
        <w:t xml:space="preserve"> advised to consult with the appropriate academic unit to determine whether or not a particular course is offered for challenge. </w:t>
      </w:r>
    </w:p>
    <w:p w:rsidR="000C6A18" w:rsidRDefault="000C6A18" w:rsidP="000C6A18">
      <w:pPr>
        <w:pStyle w:val="NormalWeb"/>
      </w:pPr>
      <w:r>
        <w:t xml:space="preserve">Where challenge for credit is offered, it is available under the following conditions: </w:t>
      </w:r>
    </w:p>
    <w:p w:rsidR="000C6A18" w:rsidRDefault="000C6A18" w:rsidP="000C6A18">
      <w:pPr>
        <w:pStyle w:val="NormalWeb"/>
        <w:numPr>
          <w:ilvl w:val="0"/>
          <w:numId w:val="2"/>
        </w:numPr>
      </w:pPr>
      <w:r>
        <w:t xml:space="preserve">Challenge for credit is available only to those students who have applied for admission or who are currently registered at the University. </w:t>
      </w:r>
    </w:p>
    <w:p w:rsidR="000C6A18" w:rsidRDefault="000C6A18" w:rsidP="000C6A18">
      <w:pPr>
        <w:pStyle w:val="NormalWeb"/>
        <w:numPr>
          <w:ilvl w:val="0"/>
          <w:numId w:val="2"/>
        </w:numPr>
      </w:pPr>
      <w:r>
        <w:t xml:space="preserve">Applications to challenge for credit are available at the Office of the Registrar. Completed applications must be submitted to the Office of the Registrar and must receive approval from the head of the academic unit offering the course(s). The academic unit may require documentary material from the student and/or an interview before making its decision whether or not to accept the challenge. The academic unit involved will be responsible for deciding the scheduling and appropriate method of evaluation, which may consist of a variety of possible modes of evaluation including written, practical and oral. </w:t>
      </w:r>
    </w:p>
    <w:p w:rsidR="000C6A18" w:rsidRDefault="000C6A18" w:rsidP="000C6A18">
      <w:pPr>
        <w:pStyle w:val="NormalWeb"/>
        <w:numPr>
          <w:ilvl w:val="0"/>
          <w:numId w:val="2"/>
        </w:numPr>
      </w:pPr>
      <w:r>
        <w:t xml:space="preserve">A student who has applied for transfer credit evaluation may not apply to challenge for credit until the transfer credit evaluation has been completed. </w:t>
      </w:r>
    </w:p>
    <w:p w:rsidR="000C6A18" w:rsidRDefault="000C6A18" w:rsidP="000C6A18">
      <w:pPr>
        <w:pStyle w:val="NormalWeb"/>
        <w:numPr>
          <w:ilvl w:val="0"/>
          <w:numId w:val="2"/>
        </w:numPr>
      </w:pPr>
      <w:r>
        <w:t xml:space="preserve">Memorial University of Newfoundland will consider for credit courses that have been granted credit through a challenge for credit process by another recognized university or college. Award of credit will be subject to University Regulations and evaluation and recommendation by the appropriate academic unit(s). </w:t>
      </w:r>
    </w:p>
    <w:p w:rsidR="000C6A18" w:rsidRDefault="000C6A18" w:rsidP="000C6A18">
      <w:pPr>
        <w:pStyle w:val="NormalWeb"/>
        <w:numPr>
          <w:ilvl w:val="0"/>
          <w:numId w:val="2"/>
        </w:numPr>
      </w:pPr>
      <w:r>
        <w:t xml:space="preserve">For the purpose of satisfying the regulations residence requirements for a first degree and residence requirements for a second degree under </w:t>
      </w:r>
      <w:hyperlink r:id="rId8" w:history="1">
        <w:r>
          <w:rPr>
            <w:rStyle w:val="Hyperlink"/>
            <w:b/>
            <w:bCs/>
          </w:rPr>
          <w:t>General Academic Regulations (Undergraduate)</w:t>
        </w:r>
      </w:hyperlink>
      <w:r>
        <w:t xml:space="preserve">, a successful challenge for credit shall be considered the equivalent of a transfer credit and shall be recorded on the transcript as a pass (PAS). Challenge grades are not included in averages. For further information refer to </w:t>
      </w:r>
      <w:hyperlink r:id="rId9" w:anchor="REGS-0512" w:history="1">
        <w:r>
          <w:rPr>
            <w:rStyle w:val="Hyperlink"/>
            <w:b/>
            <w:bCs/>
          </w:rPr>
          <w:t>Residence Requirements for a First Degree</w:t>
        </w:r>
      </w:hyperlink>
      <w:r>
        <w:t xml:space="preserve"> and </w:t>
      </w:r>
      <w:hyperlink r:id="rId10" w:anchor="REGS-0521" w:history="1">
        <w:r>
          <w:rPr>
            <w:rStyle w:val="Hyperlink"/>
            <w:b/>
            <w:bCs/>
          </w:rPr>
          <w:t>Residence Requirements for a Second Degree</w:t>
        </w:r>
      </w:hyperlink>
      <w:r>
        <w:t xml:space="preserve"> </w:t>
      </w:r>
    </w:p>
    <w:p w:rsidR="000C6A18" w:rsidRDefault="000C6A18" w:rsidP="000C6A18">
      <w:pPr>
        <w:pStyle w:val="NormalWeb"/>
        <w:numPr>
          <w:ilvl w:val="0"/>
          <w:numId w:val="2"/>
        </w:numPr>
      </w:pPr>
      <w:r>
        <w:t xml:space="preserve">The appropriate fee must be paid at the time of application. For further information refer to </w:t>
      </w:r>
      <w:hyperlink r:id="rId11" w:history="1">
        <w:r>
          <w:rPr>
            <w:rStyle w:val="Hyperlink"/>
            <w:b/>
            <w:bCs/>
          </w:rPr>
          <w:t>Fees and Charges</w:t>
        </w:r>
      </w:hyperlink>
      <w:r>
        <w:rPr>
          <w:rStyle w:val="Strong"/>
        </w:rPr>
        <w:t>.</w:t>
      </w:r>
      <w:r>
        <w:t xml:space="preserve"> If the application is accepted for consideration, the fee is not refundable nor is the student permitted to withdraw the challenge. </w:t>
      </w:r>
    </w:p>
    <w:p w:rsidR="000C6A18" w:rsidRDefault="000C6A18" w:rsidP="000C6A18">
      <w:proofErr w:type="gramStart"/>
      <w:r>
        <w:t>Copyright © 2013 Memorial University of Newfoundland.</w:t>
      </w:r>
      <w:proofErr w:type="gramEnd"/>
      <w:r>
        <w:br/>
      </w:r>
      <w:proofErr w:type="gramStart"/>
      <w:r>
        <w:t>Newfoundland and Labrador, Canada.</w:t>
      </w:r>
      <w:proofErr w:type="gramEnd"/>
    </w:p>
    <w:p w:rsidR="000C6A18" w:rsidRDefault="000C6A18">
      <w:r>
        <w:t>New Brunswick has a program for high school students</w:t>
      </w:r>
    </w:p>
    <w:p w:rsidR="00BE6605" w:rsidRDefault="00BE6605">
      <w:r>
        <w:t>Manitoba has one for high schools; couldn’t copy</w:t>
      </w:r>
    </w:p>
    <w:p w:rsidR="00A70B11" w:rsidRDefault="00A70B11"/>
    <w:tbl>
      <w:tblPr>
        <w:tblW w:w="0" w:type="auto"/>
        <w:tblCellSpacing w:w="0" w:type="dxa"/>
        <w:tblCellMar>
          <w:left w:w="0" w:type="dxa"/>
          <w:right w:w="0" w:type="dxa"/>
        </w:tblCellMar>
        <w:tblLook w:val="04A0" w:firstRow="1" w:lastRow="0" w:firstColumn="1" w:lastColumn="0" w:noHBand="0" w:noVBand="1"/>
      </w:tblPr>
      <w:tblGrid>
        <w:gridCol w:w="9360"/>
      </w:tblGrid>
      <w:tr w:rsidR="00A70B11" w:rsidTr="00A70B11">
        <w:trPr>
          <w:tblCellSpacing w:w="0" w:type="dxa"/>
        </w:trPr>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7460"/>
              <w:gridCol w:w="1900"/>
            </w:tblGrid>
            <w:tr w:rsidR="00A70B11">
              <w:trPr>
                <w:tblCellSpacing w:w="0" w:type="dxa"/>
              </w:trPr>
              <w:tc>
                <w:tcPr>
                  <w:tcW w:w="0" w:type="auto"/>
                  <w:vAlign w:val="center"/>
                  <w:hideMark/>
                </w:tcPr>
                <w:p w:rsidR="00A70B11" w:rsidRDefault="00A70B11" w:rsidP="00A70B11">
                  <w:pPr>
                    <w:pStyle w:val="NormalWeb"/>
                    <w:jc w:val="center"/>
                  </w:pPr>
                  <w:r>
                    <w:rPr>
                      <w:rStyle w:val="ms-rtecustom-articletitle"/>
                    </w:rPr>
                    <w:t>Prior Learning Assessment and Recognition (PLAR)</w:t>
                  </w:r>
                </w:p>
                <w:p w:rsidR="00A70B11" w:rsidRPr="00024125" w:rsidRDefault="00A70B11" w:rsidP="00A70B11">
                  <w:pPr>
                    <w:pStyle w:val="NormalWeb"/>
                    <w:rPr>
                      <w:color w:val="FF0000"/>
                    </w:rPr>
                  </w:pPr>
                  <w:r w:rsidRPr="00024125">
                    <w:rPr>
                      <w:rStyle w:val="ms-rtecustom-articleheadline"/>
                      <w:color w:val="FF0000"/>
                    </w:rPr>
                    <w:t xml:space="preserve">What </w:t>
                  </w:r>
                  <w:proofErr w:type="gramStart"/>
                  <w:r w:rsidRPr="00024125">
                    <w:rPr>
                      <w:rStyle w:val="ms-rtecustom-articleheadline"/>
                      <w:color w:val="FF0000"/>
                    </w:rPr>
                    <w:t>is</w:t>
                  </w:r>
                  <w:proofErr w:type="gramEnd"/>
                  <w:r w:rsidRPr="00024125">
                    <w:rPr>
                      <w:rStyle w:val="ms-rtecustom-articleheadline"/>
                      <w:color w:val="FF0000"/>
                    </w:rPr>
                    <w:t xml:space="preserve"> Prior Learning Assessment and Recognition (PLAR)?</w:t>
                  </w:r>
                </w:p>
                <w:p w:rsidR="00A70B11" w:rsidRDefault="00A70B11" w:rsidP="00A70B11">
                  <w:pPr>
                    <w:pStyle w:val="NormalWeb"/>
                  </w:pPr>
                  <w:r>
                    <w:rPr>
                      <w:sz w:val="20"/>
                      <w:szCs w:val="20"/>
                    </w:rPr>
                    <w:t>Prior Learning Assessment and Recognition (PLAR) is a formal evaluation and accreditation process. Students may obtain credits towards the secondary school diploma (OSSD) for knowledge and skills that they have acquired outside of secondary school. This prior learning is assessed and evaluated to determine whether the student has met the provincial course expectations. The student may "challenge" a specific course for credit or may obtain credits through the "equivalency" process if they have credentials from schools outside Ontario.</w:t>
                  </w:r>
                </w:p>
                <w:p w:rsidR="00A70B11" w:rsidRDefault="00A70B11" w:rsidP="00A70B11">
                  <w:pPr>
                    <w:pStyle w:val="NormalWeb"/>
                  </w:pPr>
                  <w:r>
                    <w:rPr>
                      <w:rStyle w:val="ms-rtecustom-articleheadline"/>
                    </w:rPr>
                    <w:t>Am I Eligible To Challenge A Course For Credit?</w:t>
                  </w:r>
                </w:p>
                <w:p w:rsidR="00A70B11" w:rsidRDefault="00A70B11" w:rsidP="00A70B11">
                  <w:pPr>
                    <w:pStyle w:val="NormalWeb"/>
                  </w:pPr>
                  <w:r>
                    <w:rPr>
                      <w:sz w:val="20"/>
                      <w:szCs w:val="20"/>
                    </w:rPr>
                    <w:t xml:space="preserve">Secondary school students who are enrolled in a regular day school program in an Ontario secondary school may challenge a course for credit. </w:t>
                  </w:r>
                </w:p>
                <w:p w:rsidR="00A70B11" w:rsidRDefault="00A70B11" w:rsidP="00A70B11">
                  <w:pPr>
                    <w:pStyle w:val="NormalWeb"/>
                  </w:pPr>
                  <w:r>
                    <w:rPr>
                      <w:sz w:val="20"/>
                      <w:szCs w:val="20"/>
                    </w:rPr>
                    <w:t xml:space="preserve">Other students should visit </w:t>
                  </w:r>
                  <w:hyperlink r:id="rId12" w:history="1">
                    <w:r>
                      <w:rPr>
                        <w:rStyle w:val="Hyperlink"/>
                        <w:sz w:val="20"/>
                        <w:szCs w:val="20"/>
                      </w:rPr>
                      <w:t>www.garyallan.ca</w:t>
                    </w:r>
                  </w:hyperlink>
                  <w:r>
                    <w:rPr>
                      <w:sz w:val="20"/>
                      <w:szCs w:val="20"/>
                    </w:rPr>
                    <w:t xml:space="preserve"> for information related to the PLAR process for mature students.</w:t>
                  </w:r>
                </w:p>
                <w:p w:rsidR="00A70B11" w:rsidRDefault="00A70B11" w:rsidP="00A70B11">
                  <w:pPr>
                    <w:pStyle w:val="NormalWeb"/>
                  </w:pPr>
                  <w:r>
                    <w:rPr>
                      <w:rStyle w:val="ms-rtecustom-articleheadline"/>
                    </w:rPr>
                    <w:t>What Courses May I Challenge for Credit?</w:t>
                  </w:r>
                </w:p>
                <w:p w:rsidR="00A70B11" w:rsidRDefault="00A70B11" w:rsidP="00A70B11">
                  <w:pPr>
                    <w:pStyle w:val="NormalWeb"/>
                  </w:pPr>
                  <w:r>
                    <w:rPr>
                      <w:sz w:val="20"/>
                      <w:szCs w:val="20"/>
                    </w:rPr>
                    <w:t xml:space="preserve">Students may challenge for credit Grade 10, 11, or 12 courses that are taught in </w:t>
                  </w:r>
                  <w:proofErr w:type="spellStart"/>
                  <w:r>
                    <w:rPr>
                      <w:sz w:val="20"/>
                      <w:szCs w:val="20"/>
                    </w:rPr>
                    <w:t>Halton</w:t>
                  </w:r>
                  <w:proofErr w:type="spellEnd"/>
                  <w:r>
                    <w:rPr>
                      <w:sz w:val="20"/>
                      <w:szCs w:val="20"/>
                    </w:rPr>
                    <w:t xml:space="preserve"> and are developed from a provincial policy document.</w:t>
                  </w:r>
                </w:p>
                <w:p w:rsidR="00A70B11" w:rsidRDefault="00A70B11" w:rsidP="00A70B11">
                  <w:pPr>
                    <w:pStyle w:val="NormalWeb"/>
                  </w:pPr>
                  <w:r>
                    <w:rPr>
                      <w:rStyle w:val="ms-rtecustom-articleheadline"/>
                    </w:rPr>
                    <w:t>How Many Courses May I Challenge For Credit?</w:t>
                  </w:r>
                </w:p>
                <w:p w:rsidR="00A70B11" w:rsidRDefault="00A70B11" w:rsidP="00A70B11">
                  <w:pPr>
                    <w:pStyle w:val="NormalWeb"/>
                  </w:pPr>
                  <w:r>
                    <w:rPr>
                      <w:sz w:val="20"/>
                      <w:szCs w:val="20"/>
                    </w:rPr>
                    <w:t>Students may earn a maximum of four credits through the challenge process, including a maximum of two credits in any one discipline.</w:t>
                  </w:r>
                </w:p>
                <w:p w:rsidR="00A70B11" w:rsidRDefault="00A70B11" w:rsidP="00A70B11">
                  <w:pPr>
                    <w:pStyle w:val="NormalWeb"/>
                  </w:pPr>
                  <w:r>
                    <w:rPr>
                      <w:rStyle w:val="ms-rtecustom-articleheadline"/>
                    </w:rPr>
                    <w:t>Is Parental Permission Necessary To Apply For The Challenge Process?</w:t>
                  </w:r>
                </w:p>
                <w:p w:rsidR="00A70B11" w:rsidRDefault="00A70B11" w:rsidP="00A70B11">
                  <w:pPr>
                    <w:pStyle w:val="NormalWeb"/>
                  </w:pPr>
                  <w:r>
                    <w:rPr>
                      <w:sz w:val="20"/>
                      <w:szCs w:val="20"/>
                    </w:rPr>
                    <w:t>Students under the age of eighteen need parental approval before applying to challenge a credit for a course.</w:t>
                  </w:r>
                </w:p>
                <w:p w:rsidR="00A70B11" w:rsidRDefault="00A70B11" w:rsidP="00A70B11">
                  <w:pPr>
                    <w:pStyle w:val="NormalWeb"/>
                  </w:pPr>
                  <w:r>
                    <w:rPr>
                      <w:rStyle w:val="ms-rtecustom-articleheadline"/>
                    </w:rPr>
                    <w:t>Orientation Sessions</w:t>
                  </w:r>
                </w:p>
                <w:p w:rsidR="00A70B11" w:rsidRDefault="00A70B11" w:rsidP="00A70B11">
                  <w:pPr>
                    <w:pStyle w:val="NormalWeb"/>
                  </w:pPr>
                  <w:r>
                    <w:rPr>
                      <w:sz w:val="20"/>
                      <w:szCs w:val="20"/>
                    </w:rPr>
                    <w:t>An Orientation Session will be held to provide more information for students on </w:t>
                  </w:r>
                  <w:r>
                    <w:rPr>
                      <w:rStyle w:val="Strong"/>
                      <w:sz w:val="20"/>
                      <w:szCs w:val="20"/>
                    </w:rPr>
                    <w:t xml:space="preserve">Wednesday, April 3rd, 2013 from 7:00 pm to 8:00 pm </w:t>
                  </w:r>
                  <w:r>
                    <w:rPr>
                      <w:sz w:val="20"/>
                      <w:szCs w:val="20"/>
                    </w:rPr>
                    <w:t>at the New Street Education Centre, 3250 New St. Burlington. The session will be held in the Lockhart Room.</w:t>
                  </w:r>
                </w:p>
                <w:p w:rsidR="00A70B11" w:rsidRDefault="00A70B11" w:rsidP="00A70B11">
                  <w:pPr>
                    <w:pStyle w:val="NormalWeb"/>
                  </w:pPr>
                  <w:r>
                    <w:rPr>
                      <w:sz w:val="20"/>
                      <w:szCs w:val="20"/>
                    </w:rPr>
                    <w:t xml:space="preserve">All students who intend to challenge a course for credit </w:t>
                  </w:r>
                  <w:r>
                    <w:rPr>
                      <w:rStyle w:val="Strong"/>
                      <w:i/>
                      <w:iCs/>
                      <w:sz w:val="20"/>
                      <w:szCs w:val="20"/>
                    </w:rPr>
                    <w:t xml:space="preserve">must register for and attend </w:t>
                  </w:r>
                  <w:r>
                    <w:rPr>
                      <w:sz w:val="20"/>
                      <w:szCs w:val="20"/>
                    </w:rPr>
                    <w:t>the Orientation Session.</w:t>
                  </w:r>
                </w:p>
                <w:p w:rsidR="00A70B11" w:rsidRDefault="00A70B11" w:rsidP="00A70B11">
                  <w:pPr>
                    <w:pStyle w:val="NormalWeb"/>
                    <w:rPr>
                      <w:sz w:val="20"/>
                      <w:szCs w:val="20"/>
                    </w:rPr>
                  </w:pPr>
                  <w:r>
                    <w:rPr>
                      <w:sz w:val="20"/>
                      <w:szCs w:val="20"/>
                    </w:rPr>
                    <w:t xml:space="preserve">To register call Sharon </w:t>
                  </w:r>
                  <w:proofErr w:type="spellStart"/>
                  <w:r>
                    <w:rPr>
                      <w:sz w:val="20"/>
                      <w:szCs w:val="20"/>
                    </w:rPr>
                    <w:t>Wiebe</w:t>
                  </w:r>
                  <w:proofErr w:type="spellEnd"/>
                  <w:r>
                    <w:rPr>
                      <w:sz w:val="20"/>
                      <w:szCs w:val="20"/>
                    </w:rPr>
                    <w:t xml:space="preserve"> at 905-631-6120 Ext. 457 or email </w:t>
                  </w:r>
                  <w:hyperlink r:id="rId13" w:history="1">
                    <w:r>
                      <w:rPr>
                        <w:rStyle w:val="Hyperlink"/>
                        <w:sz w:val="20"/>
                        <w:szCs w:val="20"/>
                      </w:rPr>
                      <w:t>wiebes@hdsb.ca</w:t>
                    </w:r>
                  </w:hyperlink>
                  <w:r>
                    <w:rPr>
                      <w:sz w:val="20"/>
                      <w:szCs w:val="20"/>
                    </w:rPr>
                    <w:t xml:space="preserve"> </w:t>
                  </w:r>
                </w:p>
                <w:p w:rsidR="00A70B11" w:rsidRDefault="00A70B11" w:rsidP="00A70B11">
                  <w:pPr>
                    <w:pStyle w:val="NormalWeb"/>
                  </w:pPr>
                  <w:r>
                    <w:rPr>
                      <w:rStyle w:val="ms-rtecustom-articleheadline"/>
                    </w:rPr>
                    <w:t>How Do I Get Started?</w:t>
                  </w:r>
                </w:p>
                <w:p w:rsidR="00A70B11" w:rsidRDefault="00A70B11" w:rsidP="00A70B11">
                  <w:pPr>
                    <w:pStyle w:val="NormalWeb"/>
                  </w:pPr>
                  <w:r>
                    <w:rPr>
                      <w:sz w:val="20"/>
                      <w:szCs w:val="20"/>
                    </w:rPr>
                    <w:t xml:space="preserve">The first step is to attend the PLAR Orientation Session. All students who intend to challenge a course for credit must </w:t>
                  </w:r>
                  <w:r>
                    <w:rPr>
                      <w:sz w:val="20"/>
                      <w:szCs w:val="20"/>
                      <w:u w:val="single"/>
                    </w:rPr>
                    <w:t xml:space="preserve">register for and attend </w:t>
                  </w:r>
                  <w:r>
                    <w:rPr>
                      <w:sz w:val="20"/>
                      <w:szCs w:val="20"/>
                    </w:rPr>
                    <w:t>the Orientation Session on Wednesday, April 3rd, 2013.</w:t>
                  </w:r>
                </w:p>
                <w:p w:rsidR="00A70B11" w:rsidRDefault="00A70B11" w:rsidP="00A70B11">
                  <w:pPr>
                    <w:pStyle w:val="NormalWeb"/>
                  </w:pPr>
                  <w:r>
                    <w:rPr>
                      <w:sz w:val="20"/>
                      <w:szCs w:val="20"/>
                    </w:rPr>
                    <w:t>At the session you will be given more detailed information on making a formal application to challenge for credit. You will receive information on what documentation is required, how your application will be processed, how your tests and assessment will be conducted, how your results will be reported, appeal procedures, withdrawal policy and contact information.</w:t>
                  </w:r>
                </w:p>
                <w:p w:rsidR="00A70B11" w:rsidRDefault="00A70B11" w:rsidP="00A70B11">
                  <w:pPr>
                    <w:pStyle w:val="NormalWeb"/>
                  </w:pPr>
                  <w:r>
                    <w:rPr>
                      <w:rStyle w:val="ms-rtecustom-articleheadline"/>
                      <w:color w:val="01778F"/>
                    </w:rPr>
                    <w:t xml:space="preserve">Can I Get A Head-Start </w:t>
                  </w:r>
                  <w:r>
                    <w:rPr>
                      <w:rStyle w:val="ms-rtecustom-articleheadline"/>
                    </w:rPr>
                    <w:t>While I Am Waiting For The Session?</w:t>
                  </w:r>
                </w:p>
                <w:p w:rsidR="00A70B11" w:rsidRDefault="00A70B11" w:rsidP="00A70B11">
                  <w:pPr>
                    <w:pStyle w:val="NormalWeb"/>
                  </w:pPr>
                  <w:r>
                    <w:rPr>
                      <w:sz w:val="20"/>
                      <w:szCs w:val="20"/>
                    </w:rPr>
                    <w:t xml:space="preserve">A student may begin by gathering and organizing any evidence that demonstrates the knowledge and skills related to the course for challenge. For information on courses and course requirements visit the Ministry website at </w:t>
                  </w:r>
                  <w:hyperlink r:id="rId14" w:history="1">
                    <w:r>
                      <w:rPr>
                        <w:rStyle w:val="Hyperlink"/>
                        <w:sz w:val="20"/>
                        <w:szCs w:val="20"/>
                      </w:rPr>
                      <w:t>www.edu.gov.on.ca</w:t>
                    </w:r>
                  </w:hyperlink>
                  <w:r>
                    <w:t>.  </w:t>
                  </w:r>
                  <w:r>
                    <w:rPr>
                      <w:sz w:val="20"/>
                      <w:szCs w:val="20"/>
                    </w:rPr>
                    <w:t xml:space="preserve"> Information is available in English by clicking </w:t>
                  </w:r>
                  <w:hyperlink r:id="rId15" w:history="1">
                    <w:r>
                      <w:rPr>
                        <w:rStyle w:val="Hyperlink"/>
                        <w:sz w:val="20"/>
                        <w:szCs w:val="20"/>
                      </w:rPr>
                      <w:t>here</w:t>
                    </w:r>
                  </w:hyperlink>
                  <w:r>
                    <w:rPr>
                      <w:sz w:val="20"/>
                      <w:szCs w:val="20"/>
                    </w:rPr>
                    <w:t xml:space="preserve"> and in French by clicking </w:t>
                  </w:r>
                  <w:hyperlink r:id="rId16" w:history="1">
                    <w:r>
                      <w:rPr>
                        <w:rStyle w:val="Hyperlink"/>
                        <w:sz w:val="20"/>
                        <w:szCs w:val="20"/>
                      </w:rPr>
                      <w:t>here</w:t>
                    </w:r>
                  </w:hyperlink>
                  <w:r>
                    <w:rPr>
                      <w:sz w:val="20"/>
                      <w:szCs w:val="20"/>
                    </w:rPr>
                    <w:t>.  Course information can be searched by subject or by grade by clicking on the links that will appear in your browser.</w:t>
                  </w:r>
                </w:p>
                <w:p w:rsidR="00A70B11" w:rsidRDefault="00A70B11" w:rsidP="00A70B11">
                  <w:pPr>
                    <w:pStyle w:val="NormalWeb"/>
                  </w:pPr>
                  <w:r>
                    <w:rPr>
                      <w:sz w:val="20"/>
                      <w:szCs w:val="20"/>
                    </w:rPr>
                    <w:t>Examples of evidence may include letters of reference from teachers or community leaders, certificates, sample assignments, samples of original work, a portfolio, descriptions of programs, courses or experiences that support your application.</w:t>
                  </w:r>
                </w:p>
                <w:p w:rsidR="00A70B11" w:rsidRDefault="00A70B11" w:rsidP="00A70B11">
                  <w:pPr>
                    <w:pStyle w:val="NormalWeb"/>
                  </w:pPr>
                  <w:r>
                    <w:rPr>
                      <w:rStyle w:val="Strong"/>
                      <w:color w:val="408080"/>
                    </w:rPr>
                    <w:t>Am I Likely To Be a Successful Challenge Candidate?</w:t>
                  </w:r>
                </w:p>
                <w:p w:rsidR="00A70B11" w:rsidRDefault="00A70B11" w:rsidP="00A70B11">
                  <w:pPr>
                    <w:pStyle w:val="NormalWeb"/>
                  </w:pPr>
                  <w:r>
                    <w:rPr>
                      <w:sz w:val="20"/>
                      <w:szCs w:val="20"/>
                    </w:rPr>
                    <w:t xml:space="preserve">You must answer </w:t>
                  </w:r>
                  <w:r>
                    <w:rPr>
                      <w:rStyle w:val="Strong"/>
                      <w:sz w:val="20"/>
                      <w:szCs w:val="20"/>
                    </w:rPr>
                    <w:t>"NO"</w:t>
                  </w:r>
                  <w:r>
                    <w:rPr>
                      <w:sz w:val="20"/>
                      <w:szCs w:val="20"/>
                    </w:rPr>
                    <w:t xml:space="preserve"> to all of the following questions to be a likely PLAR Challenge candidate:</w:t>
                  </w:r>
                </w:p>
                <w:p w:rsidR="00A70B11" w:rsidRDefault="00A70B11" w:rsidP="00A70B11">
                  <w:pPr>
                    <w:numPr>
                      <w:ilvl w:val="0"/>
                      <w:numId w:val="6"/>
                    </w:numPr>
                    <w:spacing w:before="100" w:beforeAutospacing="1" w:after="100" w:afterAutospacing="1" w:line="240" w:lineRule="auto"/>
                  </w:pPr>
                  <w:r>
                    <w:rPr>
                      <w:sz w:val="20"/>
                      <w:szCs w:val="20"/>
                    </w:rPr>
                    <w:t xml:space="preserve">Have you already earned a credit in the course you want to challenge for credit? </w:t>
                  </w:r>
                </w:p>
                <w:p w:rsidR="00A70B11" w:rsidRDefault="00A70B11" w:rsidP="00A70B11">
                  <w:pPr>
                    <w:numPr>
                      <w:ilvl w:val="0"/>
                      <w:numId w:val="6"/>
                    </w:numPr>
                    <w:spacing w:before="100" w:beforeAutospacing="1" w:after="100" w:afterAutospacing="1" w:line="240" w:lineRule="auto"/>
                  </w:pPr>
                  <w:r>
                    <w:rPr>
                      <w:sz w:val="20"/>
                      <w:szCs w:val="20"/>
                    </w:rPr>
                    <w:t xml:space="preserve">Have you already earned a credit in a course similar to the course you want to challenge for credit? </w:t>
                  </w:r>
                </w:p>
                <w:p w:rsidR="00A70B11" w:rsidRDefault="00A70B11" w:rsidP="00A70B11">
                  <w:pPr>
                    <w:numPr>
                      <w:ilvl w:val="0"/>
                      <w:numId w:val="6"/>
                    </w:numPr>
                    <w:spacing w:before="100" w:beforeAutospacing="1" w:after="100" w:afterAutospacing="1" w:line="240" w:lineRule="auto"/>
                  </w:pPr>
                  <w:r>
                    <w:rPr>
                      <w:sz w:val="20"/>
                      <w:szCs w:val="20"/>
                    </w:rPr>
                    <w:t xml:space="preserve">Have you already received credit as part of a block of equivalency credits for the course you want to challenge for credit? </w:t>
                  </w:r>
                </w:p>
                <w:p w:rsidR="00A70B11" w:rsidRDefault="00A70B11" w:rsidP="00A70B11">
                  <w:pPr>
                    <w:numPr>
                      <w:ilvl w:val="0"/>
                      <w:numId w:val="6"/>
                    </w:numPr>
                    <w:spacing w:before="100" w:beforeAutospacing="1" w:after="100" w:afterAutospacing="1" w:line="240" w:lineRule="auto"/>
                  </w:pPr>
                  <w:r>
                    <w:rPr>
                      <w:sz w:val="20"/>
                      <w:szCs w:val="20"/>
                    </w:rPr>
                    <w:t xml:space="preserve">Have you previously failed this course? </w:t>
                  </w:r>
                </w:p>
                <w:p w:rsidR="00A70B11" w:rsidRDefault="00A70B11" w:rsidP="00A70B11">
                  <w:pPr>
                    <w:numPr>
                      <w:ilvl w:val="0"/>
                      <w:numId w:val="6"/>
                    </w:numPr>
                    <w:spacing w:before="100" w:beforeAutospacing="1" w:after="100" w:afterAutospacing="1" w:line="240" w:lineRule="auto"/>
                  </w:pPr>
                  <w:r>
                    <w:rPr>
                      <w:sz w:val="20"/>
                      <w:szCs w:val="20"/>
                    </w:rPr>
                    <w:t xml:space="preserve">Have you already earned a credit in English and want to challenge </w:t>
                  </w:r>
                  <w:proofErr w:type="gramStart"/>
                  <w:r>
                    <w:rPr>
                      <w:sz w:val="20"/>
                      <w:szCs w:val="20"/>
                    </w:rPr>
                    <w:t>an English</w:t>
                  </w:r>
                  <w:proofErr w:type="gramEnd"/>
                  <w:r>
                    <w:rPr>
                      <w:sz w:val="20"/>
                      <w:szCs w:val="20"/>
                    </w:rPr>
                    <w:t xml:space="preserve"> as a Second Language (ESL), or Anglais Pour </w:t>
                  </w:r>
                  <w:proofErr w:type="spellStart"/>
                  <w:r>
                    <w:rPr>
                      <w:sz w:val="20"/>
                      <w:szCs w:val="20"/>
                    </w:rPr>
                    <w:t>D</w:t>
                  </w:r>
                  <w:r>
                    <w:rPr>
                      <w:rFonts w:ascii="Arial" w:hAnsi="Arial" w:cs="Arial"/>
                      <w:sz w:val="20"/>
                      <w:szCs w:val="20"/>
                    </w:rPr>
                    <w:t>é</w:t>
                  </w:r>
                  <w:r>
                    <w:rPr>
                      <w:sz w:val="20"/>
                      <w:szCs w:val="20"/>
                    </w:rPr>
                    <w:t>butants</w:t>
                  </w:r>
                  <w:proofErr w:type="spellEnd"/>
                  <w:r>
                    <w:rPr>
                      <w:sz w:val="20"/>
                      <w:szCs w:val="20"/>
                    </w:rPr>
                    <w:t xml:space="preserve"> (APD)? </w:t>
                  </w:r>
                </w:p>
                <w:p w:rsidR="00A70B11" w:rsidRDefault="00A70B11" w:rsidP="00A70B11">
                  <w:pPr>
                    <w:numPr>
                      <w:ilvl w:val="0"/>
                      <w:numId w:val="6"/>
                    </w:numPr>
                    <w:spacing w:before="100" w:beforeAutospacing="1" w:after="100" w:afterAutospacing="1" w:line="240" w:lineRule="auto"/>
                  </w:pPr>
                  <w:r>
                    <w:rPr>
                      <w:sz w:val="20"/>
                      <w:szCs w:val="20"/>
                    </w:rPr>
                    <w:t xml:space="preserve">Have you already earned a credit in </w:t>
                  </w:r>
                  <w:proofErr w:type="spellStart"/>
                  <w:r>
                    <w:rPr>
                      <w:sz w:val="20"/>
                      <w:szCs w:val="20"/>
                    </w:rPr>
                    <w:t>Francais</w:t>
                  </w:r>
                  <w:proofErr w:type="spellEnd"/>
                  <w:r>
                    <w:rPr>
                      <w:sz w:val="20"/>
                      <w:szCs w:val="20"/>
                    </w:rPr>
                    <w:t xml:space="preserve"> and want to challenge French as a Second Language (FSL), Actualisation </w:t>
                  </w:r>
                  <w:proofErr w:type="spellStart"/>
                  <w:r>
                    <w:rPr>
                      <w:sz w:val="20"/>
                      <w:szCs w:val="20"/>
                    </w:rPr>
                    <w:t>Linquistique</w:t>
                  </w:r>
                  <w:proofErr w:type="spellEnd"/>
                  <w:r>
                    <w:rPr>
                      <w:sz w:val="20"/>
                      <w:szCs w:val="20"/>
                    </w:rPr>
                    <w:t xml:space="preserve"> en </w:t>
                  </w:r>
                  <w:proofErr w:type="spellStart"/>
                  <w:r>
                    <w:rPr>
                      <w:sz w:val="20"/>
                      <w:szCs w:val="20"/>
                    </w:rPr>
                    <w:t>Fran</w:t>
                  </w:r>
                  <w:r>
                    <w:rPr>
                      <w:rFonts w:ascii="Arial" w:hAnsi="Arial" w:cs="Arial"/>
                      <w:sz w:val="20"/>
                      <w:szCs w:val="20"/>
                    </w:rPr>
                    <w:t>ç</w:t>
                  </w:r>
                  <w:r>
                    <w:rPr>
                      <w:sz w:val="20"/>
                      <w:szCs w:val="20"/>
                    </w:rPr>
                    <w:t>ais</w:t>
                  </w:r>
                  <w:proofErr w:type="spellEnd"/>
                  <w:r>
                    <w:rPr>
                      <w:sz w:val="20"/>
                      <w:szCs w:val="20"/>
                    </w:rPr>
                    <w:t xml:space="preserve"> (ALF), or </w:t>
                  </w:r>
                  <w:proofErr w:type="spellStart"/>
                  <w:r>
                    <w:rPr>
                      <w:sz w:val="20"/>
                      <w:szCs w:val="20"/>
                    </w:rPr>
                    <w:t>Perfectionnement</w:t>
                  </w:r>
                  <w:proofErr w:type="spellEnd"/>
                  <w:r>
                    <w:rPr>
                      <w:sz w:val="20"/>
                      <w:szCs w:val="20"/>
                    </w:rPr>
                    <w:t xml:space="preserve"> du </w:t>
                  </w:r>
                  <w:proofErr w:type="spellStart"/>
                  <w:r>
                    <w:rPr>
                      <w:sz w:val="20"/>
                      <w:szCs w:val="20"/>
                    </w:rPr>
                    <w:t>Fran</w:t>
                  </w:r>
                  <w:r>
                    <w:rPr>
                      <w:rFonts w:ascii="Arial" w:hAnsi="Arial" w:cs="Arial"/>
                      <w:sz w:val="20"/>
                      <w:szCs w:val="20"/>
                    </w:rPr>
                    <w:t>ç</w:t>
                  </w:r>
                  <w:r>
                    <w:rPr>
                      <w:sz w:val="20"/>
                      <w:szCs w:val="20"/>
                    </w:rPr>
                    <w:t>ais</w:t>
                  </w:r>
                  <w:proofErr w:type="spellEnd"/>
                  <w:r>
                    <w:rPr>
                      <w:sz w:val="20"/>
                      <w:szCs w:val="20"/>
                    </w:rPr>
                    <w:t xml:space="preserve"> (PDF)? </w:t>
                  </w:r>
                </w:p>
                <w:p w:rsidR="00A70B11" w:rsidRDefault="00A70B11" w:rsidP="00A70B11">
                  <w:pPr>
                    <w:pStyle w:val="NormalWeb"/>
                  </w:pPr>
                  <w:r>
                    <w:rPr>
                      <w:sz w:val="20"/>
                      <w:szCs w:val="20"/>
                    </w:rPr>
                    <w:t xml:space="preserve">You must also answer </w:t>
                  </w:r>
                  <w:r>
                    <w:rPr>
                      <w:rStyle w:val="Strong"/>
                      <w:sz w:val="20"/>
                      <w:szCs w:val="20"/>
                    </w:rPr>
                    <w:t>"YES"</w:t>
                  </w:r>
                  <w:r>
                    <w:rPr>
                      <w:sz w:val="20"/>
                      <w:szCs w:val="20"/>
                    </w:rPr>
                    <w:t xml:space="preserve"> to all of the questions below to be a likely PLAR Challenge candidate</w:t>
                  </w:r>
                </w:p>
                <w:p w:rsidR="00A70B11" w:rsidRDefault="00A70B11" w:rsidP="00A70B11">
                  <w:pPr>
                    <w:numPr>
                      <w:ilvl w:val="0"/>
                      <w:numId w:val="7"/>
                    </w:numPr>
                    <w:spacing w:before="100" w:beforeAutospacing="1" w:after="100" w:afterAutospacing="1" w:line="240" w:lineRule="auto"/>
                  </w:pPr>
                  <w:r>
                    <w:rPr>
                      <w:sz w:val="20"/>
                      <w:szCs w:val="20"/>
                    </w:rPr>
                    <w:t xml:space="preserve">Do you plan to challenge the entire course for credit? </w:t>
                  </w:r>
                </w:p>
                <w:p w:rsidR="00A70B11" w:rsidRDefault="00A70B11" w:rsidP="00A70B11">
                  <w:pPr>
                    <w:numPr>
                      <w:ilvl w:val="0"/>
                      <w:numId w:val="7"/>
                    </w:numPr>
                    <w:spacing w:before="100" w:beforeAutospacing="1" w:after="100" w:afterAutospacing="1" w:line="240" w:lineRule="auto"/>
                  </w:pPr>
                  <w:r>
                    <w:rPr>
                      <w:sz w:val="20"/>
                      <w:szCs w:val="20"/>
                    </w:rPr>
                    <w:t xml:space="preserve">Have you met the pre-requisite requirements for the course you plan to challenge for credit? </w:t>
                  </w:r>
                </w:p>
                <w:p w:rsidR="00A70B11" w:rsidRDefault="00A70B11" w:rsidP="00A70B11">
                  <w:pPr>
                    <w:numPr>
                      <w:ilvl w:val="0"/>
                      <w:numId w:val="7"/>
                    </w:numPr>
                    <w:spacing w:before="100" w:beforeAutospacing="1" w:after="100" w:afterAutospacing="1" w:line="240" w:lineRule="auto"/>
                  </w:pPr>
                  <w:r>
                    <w:rPr>
                      <w:sz w:val="20"/>
                      <w:szCs w:val="20"/>
                    </w:rPr>
                    <w:t xml:space="preserve">Is your request to challenge for credit as part of your educational plans </w:t>
                  </w:r>
                  <w:proofErr w:type="gramStart"/>
                  <w:r>
                    <w:rPr>
                      <w:sz w:val="20"/>
                      <w:szCs w:val="20"/>
                    </w:rPr>
                    <w:t>fulfill</w:t>
                  </w:r>
                  <w:proofErr w:type="gramEnd"/>
                  <w:r>
                    <w:rPr>
                      <w:sz w:val="20"/>
                      <w:szCs w:val="20"/>
                    </w:rPr>
                    <w:t xml:space="preserve"> your educational goals? </w:t>
                  </w:r>
                </w:p>
                <w:p w:rsidR="00A70B11" w:rsidRDefault="00A70B11" w:rsidP="00A70B11">
                  <w:pPr>
                    <w:pStyle w:val="NormalWeb"/>
                  </w:pPr>
                  <w:r>
                    <w:rPr>
                      <w:rStyle w:val="ms-rtecustom-articleheadline"/>
                    </w:rPr>
                    <w:t>Additional Challenge Information</w:t>
                  </w:r>
                </w:p>
                <w:p w:rsidR="00A70B11" w:rsidRDefault="00A70B11" w:rsidP="00A70B11">
                  <w:pPr>
                    <w:pStyle w:val="NormalWeb"/>
                  </w:pPr>
                  <w:r>
                    <w:rPr>
                      <w:rStyle w:val="ms-rtecustom-articlebyline"/>
                    </w:rPr>
                    <w:t>Appeal Procedure</w:t>
                  </w:r>
                </w:p>
                <w:p w:rsidR="00A70B11" w:rsidRDefault="00A70B11" w:rsidP="00A70B11">
                  <w:pPr>
                    <w:pStyle w:val="NormalWeb"/>
                  </w:pPr>
                  <w:r>
                    <w:rPr>
                      <w:sz w:val="20"/>
                      <w:szCs w:val="20"/>
                    </w:rPr>
                    <w:t>In cases where there is a disagreement with the decision of the principal about whether a student should challenge for credit, an adult student or the parent/guardian of a student who is not an adult may ask the school area superintendent to review the matter.</w:t>
                  </w:r>
                </w:p>
                <w:p w:rsidR="00A70B11" w:rsidRDefault="00A70B11" w:rsidP="00A70B11">
                  <w:pPr>
                    <w:pStyle w:val="NormalWeb"/>
                  </w:pPr>
                  <w:r>
                    <w:rPr>
                      <w:rStyle w:val="ms-rtecustom-articlebyline"/>
                    </w:rPr>
                    <w:t>Repeating the Challenge</w:t>
                  </w:r>
                </w:p>
                <w:p w:rsidR="00A70B11" w:rsidRDefault="00A70B11" w:rsidP="00A70B11">
                  <w:pPr>
                    <w:pStyle w:val="NormalWeb"/>
                  </w:pPr>
                  <w:r>
                    <w:rPr>
                      <w:sz w:val="20"/>
                      <w:szCs w:val="20"/>
                    </w:rPr>
                    <w:t>A student may submit an application for challenge for a specific course for a second time after a reasonable interval, if the student can provide reasonable evidence of additional study and experience.</w:t>
                  </w:r>
                </w:p>
                <w:p w:rsidR="00A70B11" w:rsidRDefault="00A70B11" w:rsidP="00A70B11">
                  <w:pPr>
                    <w:pStyle w:val="NormalWeb"/>
                  </w:pPr>
                  <w:r>
                    <w:rPr>
                      <w:rStyle w:val="ms-rtecustom-articlebyline"/>
                    </w:rPr>
                    <w:t>Assessment and Evaluation</w:t>
                  </w:r>
                </w:p>
                <w:p w:rsidR="00A70B11" w:rsidRDefault="00A70B11" w:rsidP="00A70B11">
                  <w:pPr>
                    <w:pStyle w:val="NormalWeb"/>
                  </w:pPr>
                  <w:r>
                    <w:rPr>
                      <w:sz w:val="20"/>
                      <w:szCs w:val="20"/>
                    </w:rPr>
                    <w:t>Assessment and evaluation strategies will be based on curriculum expectations and achievement charts in the Ontario curriculum policy. They will include formal tests and other assessment strategies.</w:t>
                  </w:r>
                </w:p>
                <w:p w:rsidR="00A70B11" w:rsidRDefault="00A70B11" w:rsidP="00A70B11">
                  <w:pPr>
                    <w:pStyle w:val="NormalWeb"/>
                  </w:pPr>
                  <w:r>
                    <w:rPr>
                      <w:rStyle w:val="ms-rtecustom-articlebyline"/>
                    </w:rPr>
                    <w:t>Withdrawal Policy</w:t>
                  </w:r>
                </w:p>
                <w:p w:rsidR="00A70B11" w:rsidRDefault="00A70B11" w:rsidP="00A70B11">
                  <w:pPr>
                    <w:pStyle w:val="NormalWeb"/>
                  </w:pPr>
                  <w:r>
                    <w:rPr>
                      <w:sz w:val="20"/>
                      <w:szCs w:val="20"/>
                    </w:rPr>
                    <w:t>A student may withdraw from the challenge process prior to the final formal test without a notation on the student's Ontario Student Transcript (OST) or the Cumulative Tracking Record. Once students have entered the "final formal test" stage of the challenge process, and choose to withdraw from the process, a mark for grade 11 and 12 courses will be entered on the OST</w:t>
                  </w:r>
                  <w:proofErr w:type="gramStart"/>
                  <w:r>
                    <w:rPr>
                      <w:sz w:val="20"/>
                      <w:szCs w:val="20"/>
                    </w:rPr>
                    <w:t>  and</w:t>
                  </w:r>
                  <w:proofErr w:type="gramEnd"/>
                  <w:r>
                    <w:rPr>
                      <w:sz w:val="20"/>
                      <w:szCs w:val="20"/>
                    </w:rPr>
                    <w:t xml:space="preserve"> a mark for grade 10 to 12 courses will be entered on the PLAR Cumulative Tracking Record.</w:t>
                  </w:r>
                </w:p>
                <w:p w:rsidR="00A70B11" w:rsidRDefault="00A70B11" w:rsidP="00A70B11">
                  <w:pPr>
                    <w:pStyle w:val="NormalWeb"/>
                  </w:pPr>
                  <w:r>
                    <w:rPr>
                      <w:rStyle w:val="ms-rtecustom-articlebyline"/>
                    </w:rPr>
                    <w:t>Final Mark</w:t>
                  </w:r>
                </w:p>
                <w:p w:rsidR="00A70B11" w:rsidRDefault="00A70B11" w:rsidP="00A70B11">
                  <w:pPr>
                    <w:pStyle w:val="NormalWeb"/>
                  </w:pPr>
                  <w:r>
                    <w:rPr>
                      <w:sz w:val="20"/>
                      <w:szCs w:val="20"/>
                    </w:rPr>
                    <w:t xml:space="preserve">Only passing grades for </w:t>
                  </w:r>
                  <w:r>
                    <w:rPr>
                      <w:b/>
                      <w:bCs/>
                      <w:i/>
                      <w:iCs/>
                      <w:sz w:val="20"/>
                      <w:szCs w:val="20"/>
                    </w:rPr>
                    <w:t xml:space="preserve">grade 10 </w:t>
                  </w:r>
                  <w:r>
                    <w:rPr>
                      <w:sz w:val="20"/>
                      <w:szCs w:val="20"/>
                    </w:rPr>
                    <w:t>will be entered on the OST in the same manner as achievement in other courses without reference to PLAR.</w:t>
                  </w:r>
                </w:p>
                <w:p w:rsidR="00A70B11" w:rsidRDefault="00A70B11" w:rsidP="00A70B11">
                  <w:pPr>
                    <w:pStyle w:val="NormalWeb"/>
                  </w:pPr>
                  <w:r>
                    <w:rPr>
                      <w:sz w:val="20"/>
                      <w:szCs w:val="20"/>
                    </w:rPr>
                    <w:t xml:space="preserve">Passing and failing grades for </w:t>
                  </w:r>
                  <w:r>
                    <w:rPr>
                      <w:b/>
                      <w:bCs/>
                      <w:i/>
                      <w:iCs/>
                      <w:sz w:val="20"/>
                      <w:szCs w:val="20"/>
                    </w:rPr>
                    <w:t xml:space="preserve">grades 11 &amp; 12 </w:t>
                  </w:r>
                  <w:r>
                    <w:rPr>
                      <w:sz w:val="20"/>
                      <w:szCs w:val="20"/>
                    </w:rPr>
                    <w:t>will be entered on the OST in the same manner as achievement in other courses without reference to PLAR.</w:t>
                  </w:r>
                </w:p>
                <w:p w:rsidR="00A70B11" w:rsidRDefault="00A70B11" w:rsidP="00A70B11">
                  <w:pPr>
                    <w:pStyle w:val="NormalWeb"/>
                  </w:pPr>
                  <w:r>
                    <w:rPr>
                      <w:b/>
                      <w:bCs/>
                      <w:sz w:val="20"/>
                      <w:szCs w:val="20"/>
                    </w:rPr>
                    <w:t> </w:t>
                  </w:r>
                  <w:r>
                    <w:rPr>
                      <w:rStyle w:val="ms-rtecustom-articleheadline"/>
                      <w:b/>
                      <w:bCs/>
                      <w:sz w:val="20"/>
                      <w:szCs w:val="20"/>
                    </w:rPr>
                    <w:t>PLAR PACKAGE</w:t>
                  </w:r>
                </w:p>
                <w:p w:rsidR="00A70B11" w:rsidRDefault="00A70B11" w:rsidP="00A70B11">
                  <w:pPr>
                    <w:pStyle w:val="NormalWeb"/>
                  </w:pPr>
                  <w:r>
                    <w:rPr>
                      <w:sz w:val="20"/>
                      <w:szCs w:val="20"/>
                    </w:rPr>
                    <w:t xml:space="preserve">The following components of the PLAR package must be completed and submitted to your principal by </w:t>
                  </w:r>
                  <w:r>
                    <w:rPr>
                      <w:rStyle w:val="Strong"/>
                      <w:sz w:val="20"/>
                      <w:szCs w:val="20"/>
                    </w:rPr>
                    <w:t>Thursday April 25th, 2013 at 4:00 p.m.</w:t>
                  </w:r>
                </w:p>
                <w:p w:rsidR="00A70B11" w:rsidRDefault="00A70B11" w:rsidP="00A70B11">
                  <w:pPr>
                    <w:numPr>
                      <w:ilvl w:val="1"/>
                      <w:numId w:val="8"/>
                    </w:numPr>
                    <w:spacing w:before="100" w:beforeAutospacing="1" w:after="100" w:afterAutospacing="1" w:line="240" w:lineRule="auto"/>
                  </w:pPr>
                  <w:r>
                    <w:rPr>
                      <w:sz w:val="20"/>
                      <w:szCs w:val="20"/>
                    </w:rPr>
                    <w:t>PLAR Challenge Application Form</w:t>
                  </w:r>
                </w:p>
                <w:p w:rsidR="00A70B11" w:rsidRDefault="00A70B11" w:rsidP="00A70B11">
                  <w:pPr>
                    <w:numPr>
                      <w:ilvl w:val="1"/>
                      <w:numId w:val="8"/>
                    </w:numPr>
                    <w:spacing w:before="100" w:beforeAutospacing="1" w:after="100" w:afterAutospacing="1" w:line="240" w:lineRule="auto"/>
                  </w:pPr>
                  <w:r>
                    <w:rPr>
                      <w:sz w:val="20"/>
                      <w:szCs w:val="20"/>
                    </w:rPr>
                    <w:t>Ontario Student Transcript</w:t>
                  </w:r>
                </w:p>
                <w:p w:rsidR="00A70B11" w:rsidRDefault="00A70B11" w:rsidP="00A70B11">
                  <w:pPr>
                    <w:numPr>
                      <w:ilvl w:val="1"/>
                      <w:numId w:val="8"/>
                    </w:numPr>
                    <w:spacing w:before="100" w:beforeAutospacing="1" w:after="100" w:afterAutospacing="1" w:line="240" w:lineRule="auto"/>
                  </w:pPr>
                  <w:r>
                    <w:rPr>
                      <w:sz w:val="20"/>
                      <w:szCs w:val="20"/>
                    </w:rPr>
                    <w:t>Knowledge and Skills Profile: Evidence of Relevant Learning</w:t>
                  </w:r>
                </w:p>
                <w:p w:rsidR="00A70B11" w:rsidRDefault="00A70B11" w:rsidP="00A70B11">
                  <w:pPr>
                    <w:numPr>
                      <w:ilvl w:val="1"/>
                      <w:numId w:val="8"/>
                    </w:numPr>
                    <w:spacing w:before="100" w:beforeAutospacing="1" w:after="100" w:afterAutospacing="1" w:line="240" w:lineRule="auto"/>
                  </w:pPr>
                  <w:r>
                    <w:rPr>
                      <w:sz w:val="20"/>
                      <w:szCs w:val="20"/>
                    </w:rPr>
                    <w:t xml:space="preserve">Knowledge &amp; Skills Profile: Reference Form 1 </w:t>
                  </w:r>
                  <w:r>
                    <w:rPr>
                      <w:rStyle w:val="Emphasis"/>
                      <w:sz w:val="20"/>
                      <w:szCs w:val="20"/>
                    </w:rPr>
                    <w:t>(mandatory)</w:t>
                  </w:r>
                  <w:r>
                    <w:rPr>
                      <w:sz w:val="20"/>
                      <w:szCs w:val="20"/>
                    </w:rPr>
                    <w:t xml:space="preserve"> &amp; Form 2 </w:t>
                  </w:r>
                  <w:r>
                    <w:rPr>
                      <w:rStyle w:val="Emphasis"/>
                      <w:sz w:val="20"/>
                      <w:szCs w:val="20"/>
                    </w:rPr>
                    <w:t>(optional)</w:t>
                  </w:r>
                </w:p>
                <w:p w:rsidR="00A70B11" w:rsidRDefault="00A70B11" w:rsidP="00A70B11">
                  <w:pPr>
                    <w:numPr>
                      <w:ilvl w:val="1"/>
                      <w:numId w:val="8"/>
                    </w:numPr>
                    <w:spacing w:before="100" w:beforeAutospacing="1" w:after="100" w:afterAutospacing="1" w:line="240" w:lineRule="auto"/>
                  </w:pPr>
                  <w:r>
                    <w:rPr>
                      <w:sz w:val="20"/>
                      <w:szCs w:val="20"/>
                    </w:rPr>
                    <w:t xml:space="preserve">Knowledge &amp; Skills Profile: Sample Products </w:t>
                  </w:r>
                  <w:r>
                    <w:rPr>
                      <w:rStyle w:val="Emphasis"/>
                      <w:sz w:val="20"/>
                      <w:szCs w:val="20"/>
                    </w:rPr>
                    <w:t>(optional)</w:t>
                  </w:r>
                </w:p>
                <w:p w:rsidR="00A70B11" w:rsidRDefault="00A70B11" w:rsidP="00A70B11">
                  <w:pPr>
                    <w:numPr>
                      <w:ilvl w:val="1"/>
                      <w:numId w:val="8"/>
                    </w:numPr>
                    <w:spacing w:before="100" w:beforeAutospacing="1" w:after="100" w:afterAutospacing="1" w:line="240" w:lineRule="auto"/>
                  </w:pPr>
                  <w:r>
                    <w:rPr>
                      <w:sz w:val="20"/>
                      <w:szCs w:val="20"/>
                    </w:rPr>
                    <w:t xml:space="preserve">Individual Education Plan </w:t>
                  </w:r>
                  <w:r>
                    <w:rPr>
                      <w:rStyle w:val="Emphasis"/>
                      <w:sz w:val="20"/>
                      <w:szCs w:val="20"/>
                    </w:rPr>
                    <w:t>(where applicable)</w:t>
                  </w:r>
                </w:p>
                <w:p w:rsidR="00A70B11" w:rsidRDefault="00A70B11" w:rsidP="00A70B11">
                  <w:pPr>
                    <w:numPr>
                      <w:ilvl w:val="1"/>
                      <w:numId w:val="8"/>
                    </w:numPr>
                    <w:spacing w:before="100" w:beforeAutospacing="1" w:after="100" w:afterAutospacing="1" w:line="240" w:lineRule="auto"/>
                  </w:pPr>
                  <w:r>
                    <w:rPr>
                      <w:sz w:val="20"/>
                      <w:szCs w:val="20"/>
                    </w:rPr>
                    <w:t>Student Paragraph</w:t>
                  </w:r>
                </w:p>
                <w:p w:rsidR="00A70B11" w:rsidRDefault="00A70B11" w:rsidP="00A70B11">
                  <w:pPr>
                    <w:numPr>
                      <w:ilvl w:val="1"/>
                      <w:numId w:val="8"/>
                    </w:numPr>
                    <w:spacing w:before="100" w:beforeAutospacing="1" w:after="100" w:afterAutospacing="1" w:line="240" w:lineRule="auto"/>
                  </w:pPr>
                  <w:r>
                    <w:rPr>
                      <w:sz w:val="20"/>
                      <w:szCs w:val="20"/>
                    </w:rPr>
                    <w:t xml:space="preserve">PLAR Cumulative Tracking Record </w:t>
                  </w:r>
                  <w:r>
                    <w:rPr>
                      <w:rStyle w:val="Emphasis"/>
                      <w:sz w:val="20"/>
                      <w:szCs w:val="20"/>
                    </w:rPr>
                    <w:t>(if you have previously attained a credit through the PLAR process)</w:t>
                  </w:r>
                </w:p>
                <w:p w:rsidR="00A70B11" w:rsidRDefault="00A70B11" w:rsidP="00A70B11">
                  <w:pPr>
                    <w:pStyle w:val="NormalWeb"/>
                  </w:pPr>
                  <w:r>
                    <w:t> </w:t>
                  </w:r>
                </w:p>
              </w:tc>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900"/>
                  </w:tblGrid>
                  <w:tr w:rsidR="00A70B11">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1900"/>
                        </w:tblGrid>
                        <w:tr w:rsidR="00A70B11">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900"/>
                              </w:tblGrid>
                              <w:tr w:rsidR="00A70B11">
                                <w:trPr>
                                  <w:tblCellSpacing w:w="0" w:type="dxa"/>
                                </w:trPr>
                                <w:tc>
                                  <w:tcPr>
                                    <w:tcW w:w="5000" w:type="pct"/>
                                    <w:vAlign w:val="center"/>
                                    <w:hideMark/>
                                  </w:tcPr>
                                  <w:p w:rsidR="00A70B11" w:rsidRDefault="00A70B11">
                                    <w:pPr>
                                      <w:pStyle w:val="Heading3"/>
                                    </w:pPr>
                                    <w:r>
                                      <w:t>Quick Links</w:t>
                                    </w:r>
                                  </w:p>
                                </w:tc>
                              </w:tr>
                            </w:tbl>
                            <w:p w:rsidR="00A70B11" w:rsidRDefault="00A70B11">
                              <w:pPr>
                                <w:rPr>
                                  <w:sz w:val="24"/>
                                  <w:szCs w:val="24"/>
                                </w:rPr>
                              </w:pPr>
                            </w:p>
                          </w:tc>
                        </w:tr>
                        <w:tr w:rsidR="00A70B11">
                          <w:trPr>
                            <w:tblCellSpacing w:w="0" w:type="dxa"/>
                          </w:trPr>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1900"/>
                              </w:tblGrid>
                              <w:tr w:rsidR="00A70B11" w:rsidTr="00A70B11">
                                <w:trPr>
                                  <w:tblCellSpacing w:w="0" w:type="dxa"/>
                                </w:trPr>
                                <w:tc>
                                  <w:tcPr>
                                    <w:tcW w:w="5000" w:type="pct"/>
                                    <w:hideMark/>
                                  </w:tcPr>
                                  <w:p w:rsidR="00A70B11" w:rsidRDefault="00024125" w:rsidP="00A70B11">
                                    <w:hyperlink r:id="rId17" w:history="1">
                                      <w:r w:rsidR="00A70B11">
                                        <w:rPr>
                                          <w:rStyle w:val="Hyperlink"/>
                                        </w:rPr>
                                        <w:t>Bronte Creek Project (Outdoor Education)</w:t>
                                      </w:r>
                                    </w:hyperlink>
                                  </w:p>
                                  <w:p w:rsidR="00A70B11" w:rsidRDefault="00024125" w:rsidP="00A70B11">
                                    <w:hyperlink r:id="rId18" w:history="1">
                                      <w:r w:rsidR="00A70B11">
                                        <w:rPr>
                                          <w:rStyle w:val="Hyperlink"/>
                                        </w:rPr>
                                        <w:t>Gary Allan HS (Adult, Alternative and Con. Ed.)</w:t>
                                      </w:r>
                                    </w:hyperlink>
                                  </w:p>
                                  <w:p w:rsidR="00A70B11" w:rsidRDefault="00024125" w:rsidP="00A70B11">
                                    <w:hyperlink r:id="rId19" w:history="1">
                                      <w:r w:rsidR="00A70B11">
                                        <w:rPr>
                                          <w:rStyle w:val="Hyperlink"/>
                                        </w:rPr>
                                        <w:t>School to Career &amp; Apprenticeship Programs</w:t>
                                      </w:r>
                                    </w:hyperlink>
                                  </w:p>
                                  <w:p w:rsidR="00A70B11" w:rsidRDefault="00024125" w:rsidP="00A70B11">
                                    <w:hyperlink r:id="rId20" w:history="1">
                                      <w:r w:rsidR="00A70B11">
                                        <w:rPr>
                                          <w:rStyle w:val="Hyperlink"/>
                                        </w:rPr>
                                        <w:t>The Centre for Skills Development and Training</w:t>
                                      </w:r>
                                    </w:hyperlink>
                                  </w:p>
                                  <w:p w:rsidR="00A70B11" w:rsidRDefault="00024125" w:rsidP="00A70B11">
                                    <w:hyperlink r:id="rId21" w:history="1">
                                      <w:r w:rsidR="00A70B11">
                                        <w:rPr>
                                          <w:rStyle w:val="Hyperlink"/>
                                        </w:rPr>
                                        <w:t>Bay Area Learning School Program</w:t>
                                      </w:r>
                                    </w:hyperlink>
                                  </w:p>
                                  <w:p w:rsidR="00A70B11" w:rsidRDefault="00024125" w:rsidP="00A70B11">
                                    <w:hyperlink r:id="rId22" w:history="1">
                                      <w:proofErr w:type="spellStart"/>
                                      <w:r w:rsidR="00A70B11">
                                        <w:rPr>
                                          <w:rStyle w:val="Hyperlink"/>
                                        </w:rPr>
                                        <w:t>Halton</w:t>
                                      </w:r>
                                      <w:proofErr w:type="spellEnd"/>
                                      <w:r w:rsidR="00A70B11">
                                        <w:rPr>
                                          <w:rStyle w:val="Hyperlink"/>
                                        </w:rPr>
                                        <w:t xml:space="preserve"> eLearning (Online Learning) Website</w:t>
                                      </w:r>
                                    </w:hyperlink>
                                  </w:p>
                                  <w:p w:rsidR="00A70B11" w:rsidRDefault="00024125" w:rsidP="00A70B11">
                                    <w:hyperlink r:id="rId23" w:history="1">
                                      <w:r w:rsidR="00A70B11">
                                        <w:rPr>
                                          <w:rStyle w:val="Hyperlink"/>
                                        </w:rPr>
                                        <w:t>Transcript Requests</w:t>
                                      </w:r>
                                    </w:hyperlink>
                                  </w:p>
                                  <w:p w:rsidR="00A70B11" w:rsidRDefault="00024125" w:rsidP="00A70B11">
                                    <w:hyperlink r:id="rId24" w:history="1">
                                      <w:r w:rsidR="00A70B11">
                                        <w:rPr>
                                          <w:rStyle w:val="Hyperlink"/>
                                        </w:rPr>
                                        <w:t>Special Education Helpful Links</w:t>
                                      </w:r>
                                    </w:hyperlink>
                                  </w:p>
                                  <w:p w:rsidR="00A70B11" w:rsidRDefault="00024125" w:rsidP="00A70B11">
                                    <w:pPr>
                                      <w:rPr>
                                        <w:sz w:val="24"/>
                                        <w:szCs w:val="24"/>
                                      </w:rPr>
                                    </w:pPr>
                                    <w:hyperlink r:id="rId25" w:history="1">
                                      <w:r w:rsidR="00A70B11">
                                        <w:rPr>
                                          <w:rStyle w:val="Hyperlink"/>
                                        </w:rPr>
                                        <w:t>Vision testing for Kindergarten students</w:t>
                                      </w:r>
                                    </w:hyperlink>
                                  </w:p>
                                </w:tc>
                              </w:tr>
                            </w:tbl>
                            <w:p w:rsidR="00A70B11" w:rsidRDefault="00A70B11">
                              <w:pPr>
                                <w:rPr>
                                  <w:sz w:val="24"/>
                                  <w:szCs w:val="24"/>
                                </w:rPr>
                              </w:pPr>
                            </w:p>
                          </w:tc>
                        </w:tr>
                      </w:tbl>
                      <w:p w:rsidR="00A70B11" w:rsidRDefault="00A70B11">
                        <w:pPr>
                          <w:rPr>
                            <w:sz w:val="24"/>
                            <w:szCs w:val="24"/>
                          </w:rPr>
                        </w:pPr>
                      </w:p>
                    </w:tc>
                  </w:tr>
                  <w:tr w:rsidR="00A70B11">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1900"/>
                        </w:tblGrid>
                        <w:tr w:rsidR="00A70B11">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900"/>
                              </w:tblGrid>
                              <w:tr w:rsidR="00A70B11">
                                <w:trPr>
                                  <w:tblCellSpacing w:w="0" w:type="dxa"/>
                                </w:trPr>
                                <w:tc>
                                  <w:tcPr>
                                    <w:tcW w:w="5000" w:type="pct"/>
                                    <w:vAlign w:val="center"/>
                                    <w:hideMark/>
                                  </w:tcPr>
                                  <w:p w:rsidR="00A70B11" w:rsidRDefault="00A70B11">
                                    <w:pPr>
                                      <w:pStyle w:val="Heading3"/>
                                    </w:pPr>
                                    <w:r>
                                      <w:t>Downloads</w:t>
                                    </w:r>
                                  </w:p>
                                </w:tc>
                              </w:tr>
                            </w:tbl>
                            <w:p w:rsidR="00A70B11" w:rsidRDefault="00A70B11">
                              <w:pPr>
                                <w:rPr>
                                  <w:sz w:val="24"/>
                                  <w:szCs w:val="24"/>
                                </w:rPr>
                              </w:pPr>
                            </w:p>
                          </w:tc>
                        </w:tr>
                        <w:tr w:rsidR="00A70B11">
                          <w:trPr>
                            <w:tblCellSpacing w:w="0" w:type="dxa"/>
                          </w:trPr>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1900"/>
                              </w:tblGrid>
                              <w:tr w:rsidR="00A70B11" w:rsidTr="00A70B11">
                                <w:trPr>
                                  <w:tblCellSpacing w:w="0" w:type="dxa"/>
                                </w:trPr>
                                <w:tc>
                                  <w:tcPr>
                                    <w:tcW w:w="5000" w:type="pct"/>
                                    <w:hideMark/>
                                  </w:tcPr>
                                  <w:p w:rsidR="00A70B11" w:rsidRDefault="00A70B11" w:rsidP="00A70B11">
                                    <w:r>
                                      <w:rPr>
                                        <w:noProof/>
                                        <w:color w:val="0000FF"/>
                                        <w:lang w:eastAsia="en-CA"/>
                                      </w:rPr>
                                      <w:drawing>
                                        <wp:inline distT="0" distB="0" distL="0" distR="0">
                                          <wp:extent cx="160020" cy="160020"/>
                                          <wp:effectExtent l="0" t="0" r="0" b="0"/>
                                          <wp:docPr id="7" name="Picture 7" descr="http://www.hdsb.ca/_layouts/images/ICPDF.GIF">
                                            <a:hlinkClick xmlns:a="http://schemas.openxmlformats.org/drawingml/2006/main" r:id="rId2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dsb.ca/_layouts/images/ICPDF.GIF">
                                                    <a:hlinkClick r:id="rId26" tgtFrame="&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rsidR="00A70B11" w:rsidRDefault="00024125" w:rsidP="00A70B11">
                                    <w:hyperlink r:id="rId28" w:history="1">
                                      <w:r w:rsidR="00A70B11">
                                        <w:rPr>
                                          <w:rStyle w:val="Hyperlink"/>
                                        </w:rPr>
                                        <w:t>PLAR Application Form 2012 - 2013.pdf</w:t>
                                      </w:r>
                                    </w:hyperlink>
                                  </w:p>
                                  <w:p w:rsidR="00A70B11" w:rsidRDefault="00A70B11" w:rsidP="00A70B11">
                                    <w:r>
                                      <w:rPr>
                                        <w:noProof/>
                                        <w:color w:val="0000FF"/>
                                        <w:lang w:eastAsia="en-CA"/>
                                      </w:rPr>
                                      <w:drawing>
                                        <wp:inline distT="0" distB="0" distL="0" distR="0">
                                          <wp:extent cx="160020" cy="160020"/>
                                          <wp:effectExtent l="0" t="0" r="0" b="0"/>
                                          <wp:docPr id="6" name="Picture 6" descr="http://www.hdsb.ca/_layouts/images/ICPDF.GIF">
                                            <a:hlinkClick xmlns:a="http://schemas.openxmlformats.org/drawingml/2006/main" r:id="rId29"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dsb.ca/_layouts/images/ICPDF.GIF">
                                                    <a:hlinkClick r:id="rId29" tgtFrame="&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rsidR="00A70B11" w:rsidRDefault="00024125" w:rsidP="00A70B11">
                                    <w:hyperlink r:id="rId30" w:history="1">
                                      <w:r w:rsidR="00A70B11">
                                        <w:rPr>
                                          <w:rStyle w:val="Hyperlink"/>
                                        </w:rPr>
                                        <w:t>PLAR Evidence of Relevant Learning Form 2012 - 2013.pdf</w:t>
                                      </w:r>
                                    </w:hyperlink>
                                  </w:p>
                                  <w:p w:rsidR="00A70B11" w:rsidRDefault="00A70B11" w:rsidP="00A70B11">
                                    <w:r>
                                      <w:rPr>
                                        <w:noProof/>
                                        <w:color w:val="0000FF"/>
                                        <w:lang w:eastAsia="en-CA"/>
                                      </w:rPr>
                                      <w:drawing>
                                        <wp:inline distT="0" distB="0" distL="0" distR="0">
                                          <wp:extent cx="160020" cy="160020"/>
                                          <wp:effectExtent l="0" t="0" r="0" b="0"/>
                                          <wp:docPr id="5" name="Picture 5" descr="http://www.hdsb.ca/_layouts/images/ICPDF.GIF">
                                            <a:hlinkClick xmlns:a="http://schemas.openxmlformats.org/drawingml/2006/main" r:id="rId3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dsb.ca/_layouts/images/ICPDF.GIF">
                                                    <a:hlinkClick r:id="rId31" tgtFrame="&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rsidR="00A70B11" w:rsidRDefault="00024125" w:rsidP="00A70B11">
                                    <w:hyperlink r:id="rId32" w:history="1">
                                      <w:r w:rsidR="00A70B11">
                                        <w:rPr>
                                          <w:rStyle w:val="Hyperlink"/>
                                        </w:rPr>
                                        <w:t>PLAR PACKAGE Info Sheet 2012 - 2013.pdf</w:t>
                                      </w:r>
                                    </w:hyperlink>
                                  </w:p>
                                  <w:p w:rsidR="00A70B11" w:rsidRDefault="00A70B11" w:rsidP="00A70B11">
                                    <w:r>
                                      <w:rPr>
                                        <w:noProof/>
                                        <w:color w:val="0000FF"/>
                                        <w:lang w:eastAsia="en-CA"/>
                                      </w:rPr>
                                      <w:drawing>
                                        <wp:inline distT="0" distB="0" distL="0" distR="0">
                                          <wp:extent cx="160020" cy="160020"/>
                                          <wp:effectExtent l="0" t="0" r="0" b="0"/>
                                          <wp:docPr id="4" name="Picture 4" descr="http://www.hdsb.ca/_layouts/images/ICPDF.GIF">
                                            <a:hlinkClick xmlns:a="http://schemas.openxmlformats.org/drawingml/2006/main" r:id="rId3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hdsb.ca/_layouts/images/ICPDF.GIF">
                                                    <a:hlinkClick r:id="rId33" tgtFrame="&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rsidR="00A70B11" w:rsidRDefault="00024125" w:rsidP="00A70B11">
                                    <w:hyperlink r:id="rId34" w:history="1">
                                      <w:r w:rsidR="00A70B11">
                                        <w:rPr>
                                          <w:rStyle w:val="Hyperlink"/>
                                        </w:rPr>
                                        <w:t>PLAR Reference Form 1 2012 - 2013.pdf</w:t>
                                      </w:r>
                                    </w:hyperlink>
                                  </w:p>
                                  <w:p w:rsidR="00A70B11" w:rsidRDefault="00A70B11" w:rsidP="00A70B11">
                                    <w:r>
                                      <w:rPr>
                                        <w:noProof/>
                                        <w:color w:val="0000FF"/>
                                        <w:lang w:eastAsia="en-CA"/>
                                      </w:rPr>
                                      <w:drawing>
                                        <wp:inline distT="0" distB="0" distL="0" distR="0">
                                          <wp:extent cx="160020" cy="160020"/>
                                          <wp:effectExtent l="0" t="0" r="0" b="0"/>
                                          <wp:docPr id="3" name="Picture 3" descr="http://www.hdsb.ca/_layouts/images/ICPDF.GIF">
                                            <a:hlinkClick xmlns:a="http://schemas.openxmlformats.org/drawingml/2006/main" r:id="rId3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hdsb.ca/_layouts/images/ICPDF.GIF">
                                                    <a:hlinkClick r:id="rId35" tgtFrame="&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rsidR="00A70B11" w:rsidRDefault="00024125" w:rsidP="00A70B11">
                                    <w:hyperlink r:id="rId36" w:history="1">
                                      <w:r w:rsidR="00A70B11">
                                        <w:rPr>
                                          <w:rStyle w:val="Hyperlink"/>
                                        </w:rPr>
                                        <w:t>PLAR Reference Form 2 2012 - 2013.pdf</w:t>
                                      </w:r>
                                    </w:hyperlink>
                                  </w:p>
                                  <w:p w:rsidR="00A70B11" w:rsidRDefault="00A70B11" w:rsidP="00A70B11">
                                    <w:r>
                                      <w:rPr>
                                        <w:noProof/>
                                        <w:color w:val="0000FF"/>
                                        <w:lang w:eastAsia="en-CA"/>
                                      </w:rPr>
                                      <w:drawing>
                                        <wp:inline distT="0" distB="0" distL="0" distR="0">
                                          <wp:extent cx="160020" cy="160020"/>
                                          <wp:effectExtent l="0" t="0" r="0" b="0"/>
                                          <wp:docPr id="2" name="Picture 2" descr="http://www.hdsb.ca/_layouts/images/ICPDF.GIF">
                                            <a:hlinkClick xmlns:a="http://schemas.openxmlformats.org/drawingml/2006/main" r:id="rId37"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hdsb.ca/_layouts/images/ICPDF.GIF">
                                                    <a:hlinkClick r:id="rId37" tgtFrame="&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r>
                                  </w:p>
                                  <w:p w:rsidR="00A70B11" w:rsidRDefault="00024125" w:rsidP="00A70B11">
                                    <w:pPr>
                                      <w:rPr>
                                        <w:sz w:val="24"/>
                                        <w:szCs w:val="24"/>
                                      </w:rPr>
                                    </w:pPr>
                                    <w:hyperlink r:id="rId38" w:history="1">
                                      <w:r w:rsidR="00A70B11">
                                        <w:rPr>
                                          <w:rStyle w:val="Hyperlink"/>
                                        </w:rPr>
                                        <w:t>PLAR Sample Product Form 2012 - 2013.pdf</w:t>
                                      </w:r>
                                    </w:hyperlink>
                                  </w:p>
                                </w:tc>
                              </w:tr>
                            </w:tbl>
                            <w:p w:rsidR="00A70B11" w:rsidRDefault="00A70B11">
                              <w:pPr>
                                <w:rPr>
                                  <w:sz w:val="24"/>
                                  <w:szCs w:val="24"/>
                                </w:rPr>
                              </w:pPr>
                            </w:p>
                          </w:tc>
                        </w:tr>
                      </w:tbl>
                      <w:p w:rsidR="00A70B11" w:rsidRDefault="00A70B11">
                        <w:pPr>
                          <w:rPr>
                            <w:sz w:val="24"/>
                            <w:szCs w:val="24"/>
                          </w:rPr>
                        </w:pPr>
                      </w:p>
                    </w:tc>
                  </w:tr>
                </w:tbl>
                <w:p w:rsidR="00A70B11" w:rsidRDefault="00A70B11" w:rsidP="00A70B11">
                  <w:pPr>
                    <w:rPr>
                      <w:sz w:val="24"/>
                      <w:szCs w:val="24"/>
                    </w:rPr>
                  </w:pPr>
                  <w:r>
                    <w:t> </w:t>
                  </w:r>
                </w:p>
              </w:tc>
            </w:tr>
          </w:tbl>
          <w:p w:rsidR="00A70B11" w:rsidRDefault="00A70B11">
            <w:pPr>
              <w:rPr>
                <w:sz w:val="24"/>
                <w:szCs w:val="24"/>
              </w:rPr>
            </w:pPr>
          </w:p>
        </w:tc>
      </w:tr>
    </w:tbl>
    <w:p w:rsidR="00A70B11" w:rsidRDefault="00A70B11" w:rsidP="00A70B11">
      <w:pPr>
        <w:rPr>
          <w:vanish/>
        </w:rPr>
      </w:pPr>
    </w:p>
    <w:tbl>
      <w:tblPr>
        <w:tblW w:w="11400" w:type="dxa"/>
        <w:tblCellSpacing w:w="0" w:type="dxa"/>
        <w:tblCellMar>
          <w:left w:w="0" w:type="dxa"/>
          <w:right w:w="0" w:type="dxa"/>
        </w:tblCellMar>
        <w:tblLook w:val="04A0" w:firstRow="1" w:lastRow="0" w:firstColumn="1" w:lastColumn="0" w:noHBand="0" w:noVBand="1"/>
      </w:tblPr>
      <w:tblGrid>
        <w:gridCol w:w="40"/>
        <w:gridCol w:w="11360"/>
      </w:tblGrid>
      <w:tr w:rsidR="00A70B11" w:rsidTr="00A70B11">
        <w:trPr>
          <w:tblCellSpacing w:w="0" w:type="dxa"/>
        </w:trPr>
        <w:tc>
          <w:tcPr>
            <w:tcW w:w="0" w:type="auto"/>
            <w:vAlign w:val="center"/>
            <w:hideMark/>
          </w:tcPr>
          <w:p w:rsidR="00A70B11" w:rsidRDefault="00A70B11">
            <w:pPr>
              <w:rPr>
                <w:sz w:val="24"/>
                <w:szCs w:val="24"/>
              </w:rPr>
            </w:pPr>
          </w:p>
        </w:tc>
        <w:tc>
          <w:tcPr>
            <w:tcW w:w="0" w:type="auto"/>
            <w:vAlign w:val="center"/>
            <w:hideMark/>
          </w:tcPr>
          <w:p w:rsidR="00A70B11" w:rsidRDefault="00A70B11">
            <w:pPr>
              <w:jc w:val="right"/>
              <w:rPr>
                <w:sz w:val="24"/>
                <w:szCs w:val="24"/>
              </w:rPr>
            </w:pPr>
            <w:r>
              <w:t xml:space="preserve">Powered by </w:t>
            </w:r>
            <w:r>
              <w:rPr>
                <w:noProof/>
                <w:color w:val="0000FF"/>
                <w:lang w:eastAsia="en-CA"/>
              </w:rPr>
              <w:drawing>
                <wp:inline distT="0" distB="0" distL="0" distR="0">
                  <wp:extent cx="381000" cy="144780"/>
                  <wp:effectExtent l="0" t="0" r="0" b="7620"/>
                  <wp:docPr id="1" name="Picture 1" descr="Cyberplex">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yberplex">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 cy="144780"/>
                          </a:xfrm>
                          <a:prstGeom prst="rect">
                            <a:avLst/>
                          </a:prstGeom>
                          <a:noFill/>
                          <a:ln>
                            <a:noFill/>
                          </a:ln>
                        </pic:spPr>
                      </pic:pic>
                    </a:graphicData>
                  </a:graphic>
                </wp:inline>
              </w:drawing>
            </w:r>
          </w:p>
        </w:tc>
      </w:tr>
    </w:tbl>
    <w:p w:rsidR="00980E68" w:rsidRDefault="00980E68" w:rsidP="00980E68">
      <w:pPr>
        <w:pStyle w:val="Heading2"/>
        <w:jc w:val="center"/>
      </w:pPr>
      <w:r>
        <w:rPr>
          <w:color w:val="0000FF"/>
        </w:rPr>
        <w:t>APPENDIX 16: Challenge for Credit: Policies and Guidelines</w:t>
      </w:r>
      <w:r>
        <w:rPr>
          <w:rStyle w:val="Strong"/>
          <w:b/>
          <w:bCs/>
        </w:rPr>
        <w:t xml:space="preserve"> </w:t>
      </w:r>
    </w:p>
    <w:p w:rsidR="00980E68" w:rsidRDefault="00980E68" w:rsidP="00980E68">
      <w:pPr>
        <w:pStyle w:val="NormalWeb"/>
      </w:pPr>
      <w:r>
        <w:t> </w:t>
      </w:r>
      <w:r>
        <w:rPr>
          <w:rStyle w:val="Strong"/>
          <w:color w:val="0080FF"/>
          <w:u w:val="single"/>
        </w:rPr>
        <w:t>Background</w:t>
      </w:r>
    </w:p>
    <w:p w:rsidR="00980E68" w:rsidRDefault="00980E68" w:rsidP="00980E68">
      <w:pPr>
        <w:pStyle w:val="NormalWeb"/>
      </w:pPr>
      <w:r>
        <w:t>The Department of Education recognizes that students may have already acquired the knowledge, skills and attitudes that an existing course seeks to develop. Challenge for credit provides a process for students to demonstrate that they have achieved learning outcomes as defined in the Program of Studies and the curriculum guide for a directly-related course. Normally, students who challenge for credit would be considered exceptional achievers in the area of challenge.</w:t>
      </w:r>
    </w:p>
    <w:p w:rsidR="00980E68" w:rsidRDefault="00980E68" w:rsidP="00980E68">
      <w:pPr>
        <w:pStyle w:val="NormalWeb"/>
      </w:pPr>
      <w:r>
        <w:rPr>
          <w:rStyle w:val="Strong"/>
          <w:color w:val="0080FF"/>
          <w:u w:val="single"/>
        </w:rPr>
        <w:t>Policy</w:t>
      </w:r>
    </w:p>
    <w:p w:rsidR="00980E68" w:rsidRDefault="00980E68" w:rsidP="00980E68">
      <w:pPr>
        <w:pStyle w:val="NormalWeb"/>
      </w:pPr>
      <w:proofErr w:type="gramStart"/>
      <w:r>
        <w:t>Any individual wishing to challenge a course for credit must register or already be registered with a school offering the high school program.</w:t>
      </w:r>
      <w:proofErr w:type="gramEnd"/>
    </w:p>
    <w:p w:rsidR="00980E68" w:rsidRDefault="00980E68" w:rsidP="00980E68">
      <w:pPr>
        <w:numPr>
          <w:ilvl w:val="0"/>
          <w:numId w:val="9"/>
        </w:numPr>
        <w:spacing w:before="100" w:beforeAutospacing="1" w:after="100" w:afterAutospacing="1" w:line="240" w:lineRule="auto"/>
      </w:pPr>
      <w:r>
        <w:t>Challenge for credit is applicable only to provincially approved or authorized senior high school courses.</w:t>
      </w:r>
    </w:p>
    <w:p w:rsidR="00980E68" w:rsidRDefault="00980E68" w:rsidP="00980E68">
      <w:pPr>
        <w:numPr>
          <w:ilvl w:val="0"/>
          <w:numId w:val="9"/>
        </w:numPr>
        <w:spacing w:before="100" w:beforeAutospacing="1" w:after="100" w:afterAutospacing="1" w:line="240" w:lineRule="auto"/>
      </w:pPr>
      <w:r>
        <w:t>Students may challenge for no more than four credits in any given year. However a maximum of eight challenge credits can be used towards a High School Graduation Diploma.</w:t>
      </w:r>
    </w:p>
    <w:p w:rsidR="00980E68" w:rsidRDefault="00980E68" w:rsidP="00980E68">
      <w:pPr>
        <w:numPr>
          <w:ilvl w:val="0"/>
          <w:numId w:val="9"/>
        </w:numPr>
        <w:spacing w:before="100" w:beforeAutospacing="1" w:after="100" w:afterAutospacing="1" w:line="240" w:lineRule="auto"/>
      </w:pPr>
      <w:r>
        <w:t xml:space="preserve">Courses for which a student has already received credit are not eligible for challenge for credit. Challenge for credit is not intended as a way to improve a course mark. </w:t>
      </w:r>
      <w:r>
        <w:rPr>
          <w:u w:val="single"/>
        </w:rPr>
        <w:t xml:space="preserve">Similarly, challenge for credit is not intended as a process by which a student can challenge a lower level course in the same subject. </w:t>
      </w:r>
    </w:p>
    <w:p w:rsidR="00980E68" w:rsidRDefault="00980E68" w:rsidP="00980E68">
      <w:pPr>
        <w:numPr>
          <w:ilvl w:val="0"/>
          <w:numId w:val="9"/>
        </w:numPr>
        <w:spacing w:before="100" w:beforeAutospacing="1" w:after="100" w:afterAutospacing="1" w:line="240" w:lineRule="auto"/>
      </w:pPr>
      <w:r>
        <w:t>Challenges for credit will be given a mark in the same form as other courses evaluated by the school for submission to the Department.</w:t>
      </w:r>
    </w:p>
    <w:p w:rsidR="00980E68" w:rsidRDefault="00980E68" w:rsidP="00980E68">
      <w:pPr>
        <w:numPr>
          <w:ilvl w:val="0"/>
          <w:numId w:val="9"/>
        </w:numPr>
        <w:spacing w:before="100" w:beforeAutospacing="1" w:after="100" w:afterAutospacing="1" w:line="240" w:lineRule="auto"/>
      </w:pPr>
      <w:r>
        <w:t>Schools must establish a challenge committee made up of the principal, teacher, parent/guardian (if applicable) and a district representative, if necessary, to deal with each challenge request.</w:t>
      </w:r>
    </w:p>
    <w:p w:rsidR="00980E68" w:rsidRDefault="00980E68" w:rsidP="00980E68">
      <w:pPr>
        <w:numPr>
          <w:ilvl w:val="0"/>
          <w:numId w:val="9"/>
        </w:numPr>
        <w:spacing w:before="100" w:beforeAutospacing="1" w:after="100" w:afterAutospacing="1" w:line="240" w:lineRule="auto"/>
      </w:pPr>
      <w:r>
        <w:t>In courses with a provincial examination the challenge for credit must include the writing of this examination.</w:t>
      </w:r>
    </w:p>
    <w:p w:rsidR="00980E68" w:rsidRDefault="00980E68" w:rsidP="00980E68">
      <w:pPr>
        <w:pStyle w:val="NormalWeb"/>
      </w:pPr>
      <w:r>
        <w:rPr>
          <w:color w:val="0080FF"/>
          <w:u w:val="single"/>
        </w:rPr>
        <w:t>Guidelines</w:t>
      </w:r>
    </w:p>
    <w:p w:rsidR="00980E68" w:rsidRDefault="00980E68" w:rsidP="00980E68">
      <w:pPr>
        <w:pStyle w:val="NormalWeb"/>
      </w:pPr>
      <w:r>
        <w:t xml:space="preserve">Challenge for credit will involve a five step process: </w:t>
      </w:r>
    </w:p>
    <w:p w:rsidR="00980E68" w:rsidRDefault="00980E68" w:rsidP="00980E68">
      <w:pPr>
        <w:numPr>
          <w:ilvl w:val="0"/>
          <w:numId w:val="10"/>
        </w:numPr>
        <w:spacing w:before="100" w:beforeAutospacing="1" w:after="100" w:afterAutospacing="1" w:line="240" w:lineRule="auto"/>
      </w:pPr>
      <w:r>
        <w:t xml:space="preserve">notice of intent to challenge </w:t>
      </w:r>
    </w:p>
    <w:p w:rsidR="00980E68" w:rsidRDefault="00980E68" w:rsidP="00980E68">
      <w:pPr>
        <w:numPr>
          <w:ilvl w:val="0"/>
          <w:numId w:val="10"/>
        </w:numPr>
        <w:spacing w:before="100" w:beforeAutospacing="1" w:after="100" w:afterAutospacing="1" w:line="240" w:lineRule="auto"/>
      </w:pPr>
      <w:r>
        <w:t xml:space="preserve">meeting of challenge committee </w:t>
      </w:r>
    </w:p>
    <w:p w:rsidR="00980E68" w:rsidRDefault="00980E68" w:rsidP="00980E68">
      <w:pPr>
        <w:numPr>
          <w:ilvl w:val="0"/>
          <w:numId w:val="10"/>
        </w:numPr>
        <w:spacing w:before="100" w:beforeAutospacing="1" w:after="100" w:afterAutospacing="1" w:line="240" w:lineRule="auto"/>
      </w:pPr>
      <w:r>
        <w:t xml:space="preserve">development of an evaluation plan </w:t>
      </w:r>
    </w:p>
    <w:p w:rsidR="00980E68" w:rsidRDefault="00980E68" w:rsidP="00980E68">
      <w:pPr>
        <w:numPr>
          <w:ilvl w:val="0"/>
          <w:numId w:val="10"/>
        </w:numPr>
        <w:spacing w:before="100" w:beforeAutospacing="1" w:after="100" w:afterAutospacing="1" w:line="240" w:lineRule="auto"/>
      </w:pPr>
      <w:r>
        <w:t>provision of evidence of learning</w:t>
      </w:r>
    </w:p>
    <w:p w:rsidR="00980E68" w:rsidRDefault="00980E68" w:rsidP="00980E68">
      <w:pPr>
        <w:numPr>
          <w:ilvl w:val="0"/>
          <w:numId w:val="10"/>
        </w:numPr>
        <w:spacing w:before="100" w:beforeAutospacing="1" w:after="100" w:afterAutospacing="1" w:line="240" w:lineRule="auto"/>
      </w:pPr>
      <w:r>
        <w:t>evaluation</w:t>
      </w:r>
    </w:p>
    <w:p w:rsidR="00980E68" w:rsidRDefault="00980E68" w:rsidP="00980E68">
      <w:pPr>
        <w:pStyle w:val="NormalWeb"/>
      </w:pPr>
      <w:r>
        <w:t xml:space="preserve">1. </w:t>
      </w:r>
      <w:r>
        <w:rPr>
          <w:rStyle w:val="Strong"/>
        </w:rPr>
        <w:t>Notice of Intent to Challenge</w:t>
      </w:r>
    </w:p>
    <w:p w:rsidR="00980E68" w:rsidRDefault="00980E68" w:rsidP="00980E68">
      <w:pPr>
        <w:pStyle w:val="NormalWeb"/>
      </w:pPr>
      <w:r>
        <w:t>A student completes a notice of intent form as prescribed by the school board and submits it to the school with a copy sent to the office of High School Certification.</w:t>
      </w:r>
    </w:p>
    <w:p w:rsidR="00980E68" w:rsidRDefault="00980E68" w:rsidP="00980E68">
      <w:pPr>
        <w:pStyle w:val="NormalWeb"/>
      </w:pPr>
      <w:r>
        <w:t xml:space="preserve">2. </w:t>
      </w:r>
      <w:r>
        <w:rPr>
          <w:rStyle w:val="Strong"/>
        </w:rPr>
        <w:t>Consultation between student and challenge committee</w:t>
      </w:r>
    </w:p>
    <w:p w:rsidR="00980E68" w:rsidRDefault="00980E68" w:rsidP="00980E68">
      <w:pPr>
        <w:pStyle w:val="NormalWeb"/>
      </w:pPr>
      <w:r>
        <w:t>After a student has given the school notice of intent to challenge for credit a meeting shall be held with the student, his/her parent or guardian (if applicable) and district personnel if necessary. If a number of students challenge for the same credit, the meeting may be held in a group format. The purpose of the meeting is to outline the process and the requirements for a successful challenge.</w:t>
      </w:r>
    </w:p>
    <w:p w:rsidR="00980E68" w:rsidRDefault="00980E68" w:rsidP="00980E68">
      <w:pPr>
        <w:pStyle w:val="NormalWeb"/>
      </w:pPr>
      <w:r>
        <w:t xml:space="preserve">3. </w:t>
      </w:r>
      <w:r>
        <w:rPr>
          <w:rStyle w:val="Strong"/>
        </w:rPr>
        <w:t>Development of an Evaluation Plan</w:t>
      </w:r>
    </w:p>
    <w:p w:rsidR="00980E68" w:rsidRDefault="00980E68" w:rsidP="00980E68">
      <w:pPr>
        <w:pStyle w:val="NormalWeb"/>
      </w:pPr>
      <w:r>
        <w:t>This should be a formal plan which clearly outlines the type of assessment measures, how they will be administered and the level of performance which will be required of the student. It must be consistent with the evaluation plan for a regularly taught course.</w:t>
      </w:r>
    </w:p>
    <w:p w:rsidR="00980E68" w:rsidRDefault="00980E68" w:rsidP="00980E68">
      <w:pPr>
        <w:pStyle w:val="NormalWeb"/>
      </w:pPr>
      <w:r>
        <w:t xml:space="preserve">4. </w:t>
      </w:r>
      <w:r>
        <w:rPr>
          <w:rStyle w:val="Strong"/>
        </w:rPr>
        <w:t>Evidence of Learning</w:t>
      </w:r>
    </w:p>
    <w:p w:rsidR="00980E68" w:rsidRDefault="00980E68" w:rsidP="00980E68">
      <w:pPr>
        <w:pStyle w:val="NormalWeb"/>
      </w:pPr>
      <w:r>
        <w:t xml:space="preserve">Students must provide evidence that they have acquired the learning necessary to meet the outcomes of the course. The evidence should be organized in such a way that it based on the prescribed outcomes and may include such things </w:t>
      </w:r>
      <w:proofErr w:type="gramStart"/>
      <w:r>
        <w:t>as :</w:t>
      </w:r>
      <w:proofErr w:type="gramEnd"/>
    </w:p>
    <w:p w:rsidR="00980E68" w:rsidRDefault="00980E68" w:rsidP="00980E68">
      <w:pPr>
        <w:numPr>
          <w:ilvl w:val="0"/>
          <w:numId w:val="11"/>
        </w:numPr>
        <w:spacing w:before="100" w:beforeAutospacing="1" w:after="100" w:afterAutospacing="1" w:line="240" w:lineRule="auto"/>
      </w:pPr>
      <w:r>
        <w:t>a portfolio containing the description of activities, experiences, reading and other items as necessary, which indicate the attainment of the outcomes, or</w:t>
      </w:r>
    </w:p>
    <w:p w:rsidR="00980E68" w:rsidRDefault="00980E68" w:rsidP="00980E68">
      <w:pPr>
        <w:numPr>
          <w:ilvl w:val="0"/>
          <w:numId w:val="11"/>
        </w:numPr>
        <w:spacing w:before="100" w:beforeAutospacing="1" w:after="100" w:afterAutospacing="1" w:line="240" w:lineRule="auto"/>
      </w:pPr>
      <w:r>
        <w:t>an appropriate demonstration or performance, if applicable, or</w:t>
      </w:r>
    </w:p>
    <w:p w:rsidR="00980E68" w:rsidRDefault="00980E68" w:rsidP="00980E68">
      <w:pPr>
        <w:numPr>
          <w:ilvl w:val="0"/>
          <w:numId w:val="11"/>
        </w:numPr>
        <w:spacing w:before="100" w:beforeAutospacing="1" w:after="100" w:afterAutospacing="1" w:line="240" w:lineRule="auto"/>
      </w:pPr>
      <w:proofErr w:type="gramStart"/>
      <w:r>
        <w:t>the</w:t>
      </w:r>
      <w:proofErr w:type="gramEnd"/>
      <w:r>
        <w:t xml:space="preserve"> written support of at least one person with recognized expertise.</w:t>
      </w:r>
    </w:p>
    <w:p w:rsidR="00980E68" w:rsidRDefault="00980E68" w:rsidP="00980E68">
      <w:pPr>
        <w:pStyle w:val="NormalWeb"/>
      </w:pPr>
      <w:r>
        <w:t>In the area of the challenge (e.g. teacher, district personnel or local expert)</w:t>
      </w:r>
    </w:p>
    <w:p w:rsidR="00980E68" w:rsidRDefault="00980E68" w:rsidP="00980E68">
      <w:pPr>
        <w:pStyle w:val="NormalWeb"/>
      </w:pPr>
      <w:r>
        <w:t xml:space="preserve">5. </w:t>
      </w:r>
      <w:r>
        <w:rPr>
          <w:rStyle w:val="Strong"/>
        </w:rPr>
        <w:t>Evaluation</w:t>
      </w:r>
    </w:p>
    <w:p w:rsidR="00980E68" w:rsidRDefault="00980E68" w:rsidP="00980E68">
      <w:pPr>
        <w:pStyle w:val="NormalWeb"/>
      </w:pPr>
      <w:r>
        <w:t xml:space="preserve">Challenge for credit is intended to be </w:t>
      </w:r>
      <w:r>
        <w:rPr>
          <w:u w:val="single"/>
        </w:rPr>
        <w:t>a thorough process</w:t>
      </w:r>
      <w:r>
        <w:t>. To ensure adequate and valid evaluation of achievement, a variety of strategies should be used. Appropriate evaluation strategies may include the following: a portfolio of student work; laboratory/skills demonstration; oral/aural performances; tests/exams; interviews; documented learning.</w:t>
      </w:r>
    </w:p>
    <w:p w:rsidR="00980E68" w:rsidRDefault="00980E68" w:rsidP="00980E68">
      <w:pPr>
        <w:pStyle w:val="NormalWeb"/>
      </w:pPr>
      <w:r>
        <w:t xml:space="preserve">The evaluation of the challenge for credit is carried out by a school or teaching personnel of the region or school. Subject area specialists </w:t>
      </w:r>
      <w:r>
        <w:rPr>
          <w:u w:val="single"/>
        </w:rPr>
        <w:t xml:space="preserve">with acknowledged expertise </w:t>
      </w:r>
      <w:r>
        <w:t xml:space="preserve">outside of the school (e.g. artists, musicians, mathematicians) may be invited </w:t>
      </w:r>
      <w:r>
        <w:rPr>
          <w:u w:val="single"/>
        </w:rPr>
        <w:t>by the district or school</w:t>
      </w:r>
      <w:r>
        <w:t xml:space="preserve"> to assist teaching personnel responsible for the evaluation.</w:t>
      </w:r>
    </w:p>
    <w:p w:rsidR="00980E68" w:rsidRDefault="00980E68" w:rsidP="00980E68">
      <w:pPr>
        <w:pStyle w:val="NormalWeb"/>
      </w:pPr>
      <w:r>
        <w:rPr>
          <w:rStyle w:val="Strong"/>
          <w:color w:val="0080FF"/>
          <w:u w:val="single"/>
        </w:rPr>
        <w:t>Time Frame</w:t>
      </w:r>
    </w:p>
    <w:p w:rsidR="00980E68" w:rsidRDefault="00980E68" w:rsidP="00980E68">
      <w:pPr>
        <w:pStyle w:val="NormalWeb"/>
      </w:pPr>
      <w:r>
        <w:t>The notice of intent to challenge for credit must be completed at the beginning of the school year/semester. School Board policy may establish specific dates for accepting and reviewing challenge applications. Others may decide challenges must be completed at specific times so that courses can be planned for the upcoming year. If a small number of students are requesting challenge, scheduling the challenge process at the convenience of all participants may be more manageable than setting specified time. It is recommended that the time frame for the challenge process should not normally exceed four weeks from the consultation step.</w:t>
      </w:r>
    </w:p>
    <w:p w:rsidR="00CD3AD2" w:rsidRDefault="00980E68" w:rsidP="00CD3AD2">
      <w:pPr>
        <w:pStyle w:val="NormalWeb"/>
      </w:pPr>
      <w:r>
        <w:br/>
      </w:r>
      <w:r w:rsidR="00CD3AD2">
        <w:t>This memorandum does not apply to mature students.</w:t>
      </w:r>
      <w:hyperlink r:id="rId41" w:anchor="3" w:history="1">
        <w:r w:rsidR="00CD3AD2">
          <w:rPr>
            <w:rStyle w:val="Hyperlink"/>
            <w:b/>
            <w:bCs/>
            <w:vertAlign w:val="superscript"/>
          </w:rPr>
          <w:t>3</w:t>
        </w:r>
      </w:hyperlink>
      <w:r w:rsidR="00CD3AD2">
        <w:t xml:space="preserve"> Mature students who return to secondary school before the beginning of the 2003</w:t>
      </w:r>
      <w:r w:rsidR="00CD3AD2">
        <w:rPr>
          <w:rFonts w:ascii="Tahoma" w:hAnsi="Tahoma" w:cs="Tahoma"/>
        </w:rPr>
        <w:t>�</w:t>
      </w:r>
      <w:r w:rsidR="00CD3AD2">
        <w:t xml:space="preserve">4 school year will continue to have their placement determined according to the requirements set out in </w:t>
      </w:r>
      <w:r w:rsidR="00CD3AD2">
        <w:rPr>
          <w:rStyle w:val="Emphasis"/>
        </w:rPr>
        <w:t>Ontario Schools, Intermediate and Senior Divisions (Grades 7</w:t>
      </w:r>
      <w:r w:rsidR="00CD3AD2">
        <w:rPr>
          <w:rStyle w:val="Emphasis"/>
          <w:rFonts w:ascii="Tahoma" w:hAnsi="Tahoma" w:cs="Tahoma"/>
        </w:rPr>
        <w:t>�</w:t>
      </w:r>
      <w:r w:rsidR="00CD3AD2">
        <w:rPr>
          <w:rStyle w:val="Emphasis"/>
        </w:rPr>
        <w:t>12/OACs): Program and Diploma Requirements, 1989</w:t>
      </w:r>
      <w:r w:rsidR="00CD3AD2">
        <w:t>, rev. ed. (OSIS), section 6.14: Equivalent Standing for Mature Students.</w:t>
      </w:r>
    </w:p>
    <w:p w:rsidR="00A70B11" w:rsidRPr="00024125" w:rsidRDefault="00080FE3">
      <w:pPr>
        <w:rPr>
          <w:color w:val="FF0000"/>
        </w:rPr>
      </w:pPr>
      <w:r w:rsidRPr="00024125">
        <w:rPr>
          <w:color w:val="FF0000"/>
        </w:rPr>
        <w:t>UPEI</w:t>
      </w:r>
    </w:p>
    <w:p w:rsidR="00080FE3" w:rsidRPr="00024125" w:rsidRDefault="00080FE3">
      <w:pPr>
        <w:rPr>
          <w:color w:val="FF0000"/>
        </w:rPr>
      </w:pPr>
      <w:r w:rsidRPr="00024125">
        <w:rPr>
          <w:color w:val="FF0000"/>
        </w:rPr>
        <w:t>HOLLAND COLLEGE</w:t>
      </w:r>
      <w:bookmarkStart w:id="3" w:name="_GoBack"/>
      <w:bookmarkEnd w:id="3"/>
    </w:p>
    <w:p w:rsidR="00080FE3" w:rsidRPr="00024125" w:rsidRDefault="00080FE3">
      <w:pPr>
        <w:rPr>
          <w:color w:val="FF0000"/>
        </w:rPr>
      </w:pPr>
      <w:r w:rsidRPr="00024125">
        <w:rPr>
          <w:color w:val="FF0000"/>
        </w:rPr>
        <w:t>DEPT OF EDUCATION</w:t>
      </w:r>
    </w:p>
    <w:p w:rsidR="00080FE3" w:rsidRPr="00024125" w:rsidRDefault="00080FE3">
      <w:pPr>
        <w:rPr>
          <w:color w:val="FF0000"/>
        </w:rPr>
      </w:pPr>
      <w:r w:rsidRPr="00024125">
        <w:rPr>
          <w:color w:val="FF0000"/>
        </w:rPr>
        <w:t>ALGONQUIN</w:t>
      </w:r>
    </w:p>
    <w:p w:rsidR="00080FE3" w:rsidRDefault="00080FE3"/>
    <w:p w:rsidR="00080FE3" w:rsidRPr="00024125" w:rsidRDefault="00080FE3">
      <w:pPr>
        <w:rPr>
          <w:color w:val="FF0000"/>
        </w:rPr>
      </w:pPr>
      <w:r w:rsidRPr="00024125">
        <w:rPr>
          <w:color w:val="FF0000"/>
        </w:rPr>
        <w:t>NOVA SCOTIA</w:t>
      </w:r>
    </w:p>
    <w:sectPr w:rsidR="00080FE3" w:rsidRPr="000241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35452"/>
    <w:multiLevelType w:val="multilevel"/>
    <w:tmpl w:val="2BC8F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853F67"/>
    <w:multiLevelType w:val="multilevel"/>
    <w:tmpl w:val="44280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0B70ED"/>
    <w:multiLevelType w:val="multilevel"/>
    <w:tmpl w:val="2B8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1A2F08"/>
    <w:multiLevelType w:val="multilevel"/>
    <w:tmpl w:val="036E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A467FB1"/>
    <w:multiLevelType w:val="multilevel"/>
    <w:tmpl w:val="1BD4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02120A2"/>
    <w:multiLevelType w:val="multilevel"/>
    <w:tmpl w:val="4722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19D08D4"/>
    <w:multiLevelType w:val="multilevel"/>
    <w:tmpl w:val="B74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8804893"/>
    <w:multiLevelType w:val="multilevel"/>
    <w:tmpl w:val="F7FA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022D90"/>
    <w:multiLevelType w:val="multilevel"/>
    <w:tmpl w:val="69C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8255DE"/>
    <w:multiLevelType w:val="multilevel"/>
    <w:tmpl w:val="FA4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97284B"/>
    <w:multiLevelType w:val="multilevel"/>
    <w:tmpl w:val="DFF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7"/>
  </w:num>
  <w:num w:numId="5">
    <w:abstractNumId w:val="4"/>
  </w:num>
  <w:num w:numId="6">
    <w:abstractNumId w:val="2"/>
  </w:num>
  <w:num w:numId="7">
    <w:abstractNumId w:val="8"/>
  </w:num>
  <w:num w:numId="8">
    <w:abstractNumId w:val="1"/>
  </w:num>
  <w:num w:numId="9">
    <w:abstractNumId w:val="9"/>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602"/>
    <w:rsid w:val="00024125"/>
    <w:rsid w:val="00080FE3"/>
    <w:rsid w:val="000C6A18"/>
    <w:rsid w:val="00281EE3"/>
    <w:rsid w:val="00332939"/>
    <w:rsid w:val="00396F57"/>
    <w:rsid w:val="00511E4C"/>
    <w:rsid w:val="00980E68"/>
    <w:rsid w:val="00A70B11"/>
    <w:rsid w:val="00A91602"/>
    <w:rsid w:val="00BE6605"/>
    <w:rsid w:val="00CD3A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80E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91602"/>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1602"/>
    <w:rPr>
      <w:rFonts w:ascii="Times New Roman" w:eastAsia="Times New Roman" w:hAnsi="Times New Roman" w:cs="Times New Roman"/>
      <w:b/>
      <w:bCs/>
      <w:sz w:val="27"/>
      <w:szCs w:val="27"/>
      <w:lang w:eastAsia="en-CA"/>
    </w:rPr>
  </w:style>
  <w:style w:type="paragraph" w:styleId="NormalWeb">
    <w:name w:val="Normal (Web)"/>
    <w:basedOn w:val="Normal"/>
    <w:uiPriority w:val="99"/>
    <w:unhideWhenUsed/>
    <w:rsid w:val="00A9160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A91602"/>
    <w:rPr>
      <w:color w:val="0000FF"/>
      <w:u w:val="single"/>
    </w:rPr>
  </w:style>
  <w:style w:type="character" w:styleId="Strong">
    <w:name w:val="Strong"/>
    <w:basedOn w:val="DefaultParagraphFont"/>
    <w:uiPriority w:val="22"/>
    <w:qFormat/>
    <w:rsid w:val="000C6A18"/>
    <w:rPr>
      <w:b/>
      <w:bCs/>
    </w:rPr>
  </w:style>
  <w:style w:type="character" w:customStyle="1" w:styleId="ms-rtecustom-articletitle">
    <w:name w:val="ms-rtecustom-articletitle"/>
    <w:basedOn w:val="DefaultParagraphFont"/>
    <w:rsid w:val="00A70B11"/>
  </w:style>
  <w:style w:type="character" w:customStyle="1" w:styleId="ms-rtecustom-articleheadline">
    <w:name w:val="ms-rtecustom-articleheadline"/>
    <w:basedOn w:val="DefaultParagraphFont"/>
    <w:rsid w:val="00A70B11"/>
  </w:style>
  <w:style w:type="character" w:styleId="Emphasis">
    <w:name w:val="Emphasis"/>
    <w:basedOn w:val="DefaultParagraphFont"/>
    <w:uiPriority w:val="20"/>
    <w:qFormat/>
    <w:rsid w:val="00A70B11"/>
    <w:rPr>
      <w:i/>
      <w:iCs/>
    </w:rPr>
  </w:style>
  <w:style w:type="character" w:customStyle="1" w:styleId="ms-rtecustom-articlebyline">
    <w:name w:val="ms-rtecustom-articlebyline"/>
    <w:basedOn w:val="DefaultParagraphFont"/>
    <w:rsid w:val="00A70B11"/>
  </w:style>
  <w:style w:type="paragraph" w:styleId="BalloonText">
    <w:name w:val="Balloon Text"/>
    <w:basedOn w:val="Normal"/>
    <w:link w:val="BalloonTextChar"/>
    <w:uiPriority w:val="99"/>
    <w:semiHidden/>
    <w:unhideWhenUsed/>
    <w:rsid w:val="00A70B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B11"/>
    <w:rPr>
      <w:rFonts w:ascii="Tahoma" w:hAnsi="Tahoma" w:cs="Tahoma"/>
      <w:sz w:val="16"/>
      <w:szCs w:val="16"/>
    </w:rPr>
  </w:style>
  <w:style w:type="character" w:customStyle="1" w:styleId="Heading2Char">
    <w:name w:val="Heading 2 Char"/>
    <w:basedOn w:val="DefaultParagraphFont"/>
    <w:link w:val="Heading2"/>
    <w:uiPriority w:val="9"/>
    <w:semiHidden/>
    <w:rsid w:val="00980E6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80E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91602"/>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1602"/>
    <w:rPr>
      <w:rFonts w:ascii="Times New Roman" w:eastAsia="Times New Roman" w:hAnsi="Times New Roman" w:cs="Times New Roman"/>
      <w:b/>
      <w:bCs/>
      <w:sz w:val="27"/>
      <w:szCs w:val="27"/>
      <w:lang w:eastAsia="en-CA"/>
    </w:rPr>
  </w:style>
  <w:style w:type="paragraph" w:styleId="NormalWeb">
    <w:name w:val="Normal (Web)"/>
    <w:basedOn w:val="Normal"/>
    <w:uiPriority w:val="99"/>
    <w:unhideWhenUsed/>
    <w:rsid w:val="00A9160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A91602"/>
    <w:rPr>
      <w:color w:val="0000FF"/>
      <w:u w:val="single"/>
    </w:rPr>
  </w:style>
  <w:style w:type="character" w:styleId="Strong">
    <w:name w:val="Strong"/>
    <w:basedOn w:val="DefaultParagraphFont"/>
    <w:uiPriority w:val="22"/>
    <w:qFormat/>
    <w:rsid w:val="000C6A18"/>
    <w:rPr>
      <w:b/>
      <w:bCs/>
    </w:rPr>
  </w:style>
  <w:style w:type="character" w:customStyle="1" w:styleId="ms-rtecustom-articletitle">
    <w:name w:val="ms-rtecustom-articletitle"/>
    <w:basedOn w:val="DefaultParagraphFont"/>
    <w:rsid w:val="00A70B11"/>
  </w:style>
  <w:style w:type="character" w:customStyle="1" w:styleId="ms-rtecustom-articleheadline">
    <w:name w:val="ms-rtecustom-articleheadline"/>
    <w:basedOn w:val="DefaultParagraphFont"/>
    <w:rsid w:val="00A70B11"/>
  </w:style>
  <w:style w:type="character" w:styleId="Emphasis">
    <w:name w:val="Emphasis"/>
    <w:basedOn w:val="DefaultParagraphFont"/>
    <w:uiPriority w:val="20"/>
    <w:qFormat/>
    <w:rsid w:val="00A70B11"/>
    <w:rPr>
      <w:i/>
      <w:iCs/>
    </w:rPr>
  </w:style>
  <w:style w:type="character" w:customStyle="1" w:styleId="ms-rtecustom-articlebyline">
    <w:name w:val="ms-rtecustom-articlebyline"/>
    <w:basedOn w:val="DefaultParagraphFont"/>
    <w:rsid w:val="00A70B11"/>
  </w:style>
  <w:style w:type="paragraph" w:styleId="BalloonText">
    <w:name w:val="Balloon Text"/>
    <w:basedOn w:val="Normal"/>
    <w:link w:val="BalloonTextChar"/>
    <w:uiPriority w:val="99"/>
    <w:semiHidden/>
    <w:unhideWhenUsed/>
    <w:rsid w:val="00A70B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B11"/>
    <w:rPr>
      <w:rFonts w:ascii="Tahoma" w:hAnsi="Tahoma" w:cs="Tahoma"/>
      <w:sz w:val="16"/>
      <w:szCs w:val="16"/>
    </w:rPr>
  </w:style>
  <w:style w:type="character" w:customStyle="1" w:styleId="Heading2Char">
    <w:name w:val="Heading 2 Char"/>
    <w:basedOn w:val="DefaultParagraphFont"/>
    <w:link w:val="Heading2"/>
    <w:uiPriority w:val="9"/>
    <w:semiHidden/>
    <w:rsid w:val="00980E6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3507">
      <w:bodyDiv w:val="1"/>
      <w:marLeft w:val="0"/>
      <w:marRight w:val="0"/>
      <w:marTop w:val="0"/>
      <w:marBottom w:val="0"/>
      <w:divBdr>
        <w:top w:val="none" w:sz="0" w:space="0" w:color="auto"/>
        <w:left w:val="none" w:sz="0" w:space="0" w:color="auto"/>
        <w:bottom w:val="none" w:sz="0" w:space="0" w:color="auto"/>
        <w:right w:val="none" w:sz="0" w:space="0" w:color="auto"/>
      </w:divBdr>
      <w:divsChild>
        <w:div w:id="322589424">
          <w:marLeft w:val="0"/>
          <w:marRight w:val="0"/>
          <w:marTop w:val="0"/>
          <w:marBottom w:val="0"/>
          <w:divBdr>
            <w:top w:val="none" w:sz="0" w:space="0" w:color="auto"/>
            <w:left w:val="none" w:sz="0" w:space="0" w:color="auto"/>
            <w:bottom w:val="none" w:sz="0" w:space="0" w:color="auto"/>
            <w:right w:val="none" w:sz="0" w:space="0" w:color="auto"/>
          </w:divBdr>
          <w:divsChild>
            <w:div w:id="1855681818">
              <w:marLeft w:val="0"/>
              <w:marRight w:val="0"/>
              <w:marTop w:val="0"/>
              <w:marBottom w:val="0"/>
              <w:divBdr>
                <w:top w:val="none" w:sz="0" w:space="0" w:color="auto"/>
                <w:left w:val="none" w:sz="0" w:space="0" w:color="auto"/>
                <w:bottom w:val="none" w:sz="0" w:space="0" w:color="auto"/>
                <w:right w:val="none" w:sz="0" w:space="0" w:color="auto"/>
              </w:divBdr>
              <w:divsChild>
                <w:div w:id="9990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1179">
          <w:marLeft w:val="0"/>
          <w:marRight w:val="0"/>
          <w:marTop w:val="0"/>
          <w:marBottom w:val="0"/>
          <w:divBdr>
            <w:top w:val="none" w:sz="0" w:space="0" w:color="auto"/>
            <w:left w:val="none" w:sz="0" w:space="0" w:color="auto"/>
            <w:bottom w:val="none" w:sz="0" w:space="0" w:color="auto"/>
            <w:right w:val="none" w:sz="0" w:space="0" w:color="auto"/>
          </w:divBdr>
          <w:divsChild>
            <w:div w:id="17977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4490">
      <w:bodyDiv w:val="1"/>
      <w:marLeft w:val="0"/>
      <w:marRight w:val="0"/>
      <w:marTop w:val="0"/>
      <w:marBottom w:val="0"/>
      <w:divBdr>
        <w:top w:val="none" w:sz="0" w:space="0" w:color="auto"/>
        <w:left w:val="none" w:sz="0" w:space="0" w:color="auto"/>
        <w:bottom w:val="none" w:sz="0" w:space="0" w:color="auto"/>
        <w:right w:val="none" w:sz="0" w:space="0" w:color="auto"/>
      </w:divBdr>
      <w:divsChild>
        <w:div w:id="442766640">
          <w:marLeft w:val="0"/>
          <w:marRight w:val="0"/>
          <w:marTop w:val="0"/>
          <w:marBottom w:val="0"/>
          <w:divBdr>
            <w:top w:val="none" w:sz="0" w:space="0" w:color="auto"/>
            <w:left w:val="none" w:sz="0" w:space="0" w:color="auto"/>
            <w:bottom w:val="none" w:sz="0" w:space="0" w:color="auto"/>
            <w:right w:val="none" w:sz="0" w:space="0" w:color="auto"/>
          </w:divBdr>
        </w:div>
        <w:div w:id="1336957121">
          <w:marLeft w:val="0"/>
          <w:marRight w:val="0"/>
          <w:marTop w:val="0"/>
          <w:marBottom w:val="0"/>
          <w:divBdr>
            <w:top w:val="none" w:sz="0" w:space="0" w:color="auto"/>
            <w:left w:val="none" w:sz="0" w:space="0" w:color="auto"/>
            <w:bottom w:val="none" w:sz="0" w:space="0" w:color="auto"/>
            <w:right w:val="none" w:sz="0" w:space="0" w:color="auto"/>
          </w:divBdr>
        </w:div>
      </w:divsChild>
    </w:div>
    <w:div w:id="326439590">
      <w:bodyDiv w:val="1"/>
      <w:marLeft w:val="0"/>
      <w:marRight w:val="0"/>
      <w:marTop w:val="0"/>
      <w:marBottom w:val="0"/>
      <w:divBdr>
        <w:top w:val="none" w:sz="0" w:space="0" w:color="auto"/>
        <w:left w:val="none" w:sz="0" w:space="0" w:color="auto"/>
        <w:bottom w:val="none" w:sz="0" w:space="0" w:color="auto"/>
        <w:right w:val="none" w:sz="0" w:space="0" w:color="auto"/>
      </w:divBdr>
      <w:divsChild>
        <w:div w:id="1282761966">
          <w:marLeft w:val="0"/>
          <w:marRight w:val="0"/>
          <w:marTop w:val="0"/>
          <w:marBottom w:val="0"/>
          <w:divBdr>
            <w:top w:val="none" w:sz="0" w:space="0" w:color="auto"/>
            <w:left w:val="none" w:sz="0" w:space="0" w:color="auto"/>
            <w:bottom w:val="none" w:sz="0" w:space="0" w:color="auto"/>
            <w:right w:val="none" w:sz="0" w:space="0" w:color="auto"/>
          </w:divBdr>
          <w:divsChild>
            <w:div w:id="225339795">
              <w:marLeft w:val="0"/>
              <w:marRight w:val="0"/>
              <w:marTop w:val="0"/>
              <w:marBottom w:val="0"/>
              <w:divBdr>
                <w:top w:val="none" w:sz="0" w:space="0" w:color="auto"/>
                <w:left w:val="none" w:sz="0" w:space="0" w:color="auto"/>
                <w:bottom w:val="none" w:sz="0" w:space="0" w:color="auto"/>
                <w:right w:val="none" w:sz="0" w:space="0" w:color="auto"/>
              </w:divBdr>
              <w:divsChild>
                <w:div w:id="5244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7133">
          <w:marLeft w:val="0"/>
          <w:marRight w:val="0"/>
          <w:marTop w:val="0"/>
          <w:marBottom w:val="0"/>
          <w:divBdr>
            <w:top w:val="none" w:sz="0" w:space="0" w:color="auto"/>
            <w:left w:val="none" w:sz="0" w:space="0" w:color="auto"/>
            <w:bottom w:val="none" w:sz="0" w:space="0" w:color="auto"/>
            <w:right w:val="none" w:sz="0" w:space="0" w:color="auto"/>
          </w:divBdr>
          <w:divsChild>
            <w:div w:id="4642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1349">
      <w:bodyDiv w:val="1"/>
      <w:marLeft w:val="0"/>
      <w:marRight w:val="0"/>
      <w:marTop w:val="0"/>
      <w:marBottom w:val="0"/>
      <w:divBdr>
        <w:top w:val="none" w:sz="0" w:space="0" w:color="auto"/>
        <w:left w:val="none" w:sz="0" w:space="0" w:color="auto"/>
        <w:bottom w:val="none" w:sz="0" w:space="0" w:color="auto"/>
        <w:right w:val="none" w:sz="0" w:space="0" w:color="auto"/>
      </w:divBdr>
      <w:divsChild>
        <w:div w:id="67319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3001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4093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66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82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8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380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570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398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985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020686">
      <w:bodyDiv w:val="1"/>
      <w:marLeft w:val="0"/>
      <w:marRight w:val="0"/>
      <w:marTop w:val="0"/>
      <w:marBottom w:val="0"/>
      <w:divBdr>
        <w:top w:val="none" w:sz="0" w:space="0" w:color="auto"/>
        <w:left w:val="none" w:sz="0" w:space="0" w:color="auto"/>
        <w:bottom w:val="none" w:sz="0" w:space="0" w:color="auto"/>
        <w:right w:val="none" w:sz="0" w:space="0" w:color="auto"/>
      </w:divBdr>
      <w:divsChild>
        <w:div w:id="1845971383">
          <w:marLeft w:val="0"/>
          <w:marRight w:val="0"/>
          <w:marTop w:val="0"/>
          <w:marBottom w:val="0"/>
          <w:divBdr>
            <w:top w:val="none" w:sz="0" w:space="0" w:color="auto"/>
            <w:left w:val="none" w:sz="0" w:space="0" w:color="auto"/>
            <w:bottom w:val="none" w:sz="0" w:space="0" w:color="auto"/>
            <w:right w:val="none" w:sz="0" w:space="0" w:color="auto"/>
          </w:divBdr>
          <w:divsChild>
            <w:div w:id="1712994961">
              <w:marLeft w:val="0"/>
              <w:marRight w:val="0"/>
              <w:marTop w:val="0"/>
              <w:marBottom w:val="0"/>
              <w:divBdr>
                <w:top w:val="none" w:sz="0" w:space="0" w:color="auto"/>
                <w:left w:val="none" w:sz="0" w:space="0" w:color="auto"/>
                <w:bottom w:val="none" w:sz="0" w:space="0" w:color="auto"/>
                <w:right w:val="none" w:sz="0" w:space="0" w:color="auto"/>
              </w:divBdr>
              <w:divsChild>
                <w:div w:id="21091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6749">
          <w:marLeft w:val="0"/>
          <w:marRight w:val="0"/>
          <w:marTop w:val="0"/>
          <w:marBottom w:val="0"/>
          <w:divBdr>
            <w:top w:val="none" w:sz="0" w:space="0" w:color="auto"/>
            <w:left w:val="none" w:sz="0" w:space="0" w:color="auto"/>
            <w:bottom w:val="none" w:sz="0" w:space="0" w:color="auto"/>
            <w:right w:val="none" w:sz="0" w:space="0" w:color="auto"/>
          </w:divBdr>
          <w:divsChild>
            <w:div w:id="316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96508">
      <w:bodyDiv w:val="1"/>
      <w:marLeft w:val="0"/>
      <w:marRight w:val="0"/>
      <w:marTop w:val="0"/>
      <w:marBottom w:val="0"/>
      <w:divBdr>
        <w:top w:val="none" w:sz="0" w:space="0" w:color="auto"/>
        <w:left w:val="none" w:sz="0" w:space="0" w:color="auto"/>
        <w:bottom w:val="none" w:sz="0" w:space="0" w:color="auto"/>
        <w:right w:val="none" w:sz="0" w:space="0" w:color="auto"/>
      </w:divBdr>
      <w:divsChild>
        <w:div w:id="1790663691">
          <w:marLeft w:val="0"/>
          <w:marRight w:val="0"/>
          <w:marTop w:val="0"/>
          <w:marBottom w:val="0"/>
          <w:divBdr>
            <w:top w:val="none" w:sz="0" w:space="0" w:color="auto"/>
            <w:left w:val="none" w:sz="0" w:space="0" w:color="auto"/>
            <w:bottom w:val="none" w:sz="0" w:space="0" w:color="auto"/>
            <w:right w:val="none" w:sz="0" w:space="0" w:color="auto"/>
          </w:divBdr>
        </w:div>
        <w:div w:id="261381957">
          <w:marLeft w:val="0"/>
          <w:marRight w:val="0"/>
          <w:marTop w:val="0"/>
          <w:marBottom w:val="0"/>
          <w:divBdr>
            <w:top w:val="none" w:sz="0" w:space="0" w:color="auto"/>
            <w:left w:val="none" w:sz="0" w:space="0" w:color="auto"/>
            <w:bottom w:val="none" w:sz="0" w:space="0" w:color="auto"/>
            <w:right w:val="none" w:sz="0" w:space="0" w:color="auto"/>
          </w:divBdr>
          <w:divsChild>
            <w:div w:id="1191722962">
              <w:marLeft w:val="0"/>
              <w:marRight w:val="0"/>
              <w:marTop w:val="0"/>
              <w:marBottom w:val="0"/>
              <w:divBdr>
                <w:top w:val="none" w:sz="0" w:space="0" w:color="auto"/>
                <w:left w:val="none" w:sz="0" w:space="0" w:color="auto"/>
                <w:bottom w:val="none" w:sz="0" w:space="0" w:color="auto"/>
                <w:right w:val="none" w:sz="0" w:space="0" w:color="auto"/>
              </w:divBdr>
            </w:div>
            <w:div w:id="1800685428">
              <w:marLeft w:val="0"/>
              <w:marRight w:val="0"/>
              <w:marTop w:val="0"/>
              <w:marBottom w:val="0"/>
              <w:divBdr>
                <w:top w:val="none" w:sz="0" w:space="0" w:color="auto"/>
                <w:left w:val="none" w:sz="0" w:space="0" w:color="auto"/>
                <w:bottom w:val="none" w:sz="0" w:space="0" w:color="auto"/>
                <w:right w:val="none" w:sz="0" w:space="0" w:color="auto"/>
              </w:divBdr>
            </w:div>
            <w:div w:id="953251982">
              <w:marLeft w:val="0"/>
              <w:marRight w:val="0"/>
              <w:marTop w:val="0"/>
              <w:marBottom w:val="0"/>
              <w:divBdr>
                <w:top w:val="none" w:sz="0" w:space="0" w:color="auto"/>
                <w:left w:val="none" w:sz="0" w:space="0" w:color="auto"/>
                <w:bottom w:val="none" w:sz="0" w:space="0" w:color="auto"/>
                <w:right w:val="none" w:sz="0" w:space="0" w:color="auto"/>
              </w:divBdr>
            </w:div>
            <w:div w:id="109470695">
              <w:marLeft w:val="0"/>
              <w:marRight w:val="0"/>
              <w:marTop w:val="0"/>
              <w:marBottom w:val="0"/>
              <w:divBdr>
                <w:top w:val="none" w:sz="0" w:space="0" w:color="auto"/>
                <w:left w:val="none" w:sz="0" w:space="0" w:color="auto"/>
                <w:bottom w:val="none" w:sz="0" w:space="0" w:color="auto"/>
                <w:right w:val="none" w:sz="0" w:space="0" w:color="auto"/>
              </w:divBdr>
            </w:div>
            <w:div w:id="1050417651">
              <w:marLeft w:val="0"/>
              <w:marRight w:val="0"/>
              <w:marTop w:val="0"/>
              <w:marBottom w:val="0"/>
              <w:divBdr>
                <w:top w:val="none" w:sz="0" w:space="0" w:color="auto"/>
                <w:left w:val="none" w:sz="0" w:space="0" w:color="auto"/>
                <w:bottom w:val="none" w:sz="0" w:space="0" w:color="auto"/>
                <w:right w:val="none" w:sz="0" w:space="0" w:color="auto"/>
              </w:divBdr>
            </w:div>
            <w:div w:id="356393509">
              <w:marLeft w:val="0"/>
              <w:marRight w:val="0"/>
              <w:marTop w:val="0"/>
              <w:marBottom w:val="0"/>
              <w:divBdr>
                <w:top w:val="none" w:sz="0" w:space="0" w:color="auto"/>
                <w:left w:val="none" w:sz="0" w:space="0" w:color="auto"/>
                <w:bottom w:val="none" w:sz="0" w:space="0" w:color="auto"/>
                <w:right w:val="none" w:sz="0" w:space="0" w:color="auto"/>
              </w:divBdr>
            </w:div>
            <w:div w:id="1990550069">
              <w:marLeft w:val="0"/>
              <w:marRight w:val="0"/>
              <w:marTop w:val="0"/>
              <w:marBottom w:val="0"/>
              <w:divBdr>
                <w:top w:val="none" w:sz="0" w:space="0" w:color="auto"/>
                <w:left w:val="none" w:sz="0" w:space="0" w:color="auto"/>
                <w:bottom w:val="none" w:sz="0" w:space="0" w:color="auto"/>
                <w:right w:val="none" w:sz="0" w:space="0" w:color="auto"/>
              </w:divBdr>
            </w:div>
            <w:div w:id="1027298333">
              <w:marLeft w:val="0"/>
              <w:marRight w:val="0"/>
              <w:marTop w:val="0"/>
              <w:marBottom w:val="0"/>
              <w:divBdr>
                <w:top w:val="none" w:sz="0" w:space="0" w:color="auto"/>
                <w:left w:val="none" w:sz="0" w:space="0" w:color="auto"/>
                <w:bottom w:val="none" w:sz="0" w:space="0" w:color="auto"/>
                <w:right w:val="none" w:sz="0" w:space="0" w:color="auto"/>
              </w:divBdr>
            </w:div>
            <w:div w:id="1812287632">
              <w:marLeft w:val="0"/>
              <w:marRight w:val="0"/>
              <w:marTop w:val="0"/>
              <w:marBottom w:val="0"/>
              <w:divBdr>
                <w:top w:val="none" w:sz="0" w:space="0" w:color="auto"/>
                <w:left w:val="none" w:sz="0" w:space="0" w:color="auto"/>
                <w:bottom w:val="none" w:sz="0" w:space="0" w:color="auto"/>
                <w:right w:val="none" w:sz="0" w:space="0" w:color="auto"/>
              </w:divBdr>
            </w:div>
          </w:divsChild>
        </w:div>
        <w:div w:id="131871178">
          <w:marLeft w:val="0"/>
          <w:marRight w:val="0"/>
          <w:marTop w:val="0"/>
          <w:marBottom w:val="0"/>
          <w:divBdr>
            <w:top w:val="none" w:sz="0" w:space="0" w:color="auto"/>
            <w:left w:val="none" w:sz="0" w:space="0" w:color="auto"/>
            <w:bottom w:val="none" w:sz="0" w:space="0" w:color="auto"/>
            <w:right w:val="none" w:sz="0" w:space="0" w:color="auto"/>
          </w:divBdr>
          <w:divsChild>
            <w:div w:id="343166045">
              <w:marLeft w:val="0"/>
              <w:marRight w:val="0"/>
              <w:marTop w:val="0"/>
              <w:marBottom w:val="0"/>
              <w:divBdr>
                <w:top w:val="none" w:sz="0" w:space="0" w:color="auto"/>
                <w:left w:val="none" w:sz="0" w:space="0" w:color="auto"/>
                <w:bottom w:val="none" w:sz="0" w:space="0" w:color="auto"/>
                <w:right w:val="none" w:sz="0" w:space="0" w:color="auto"/>
              </w:divBdr>
              <w:divsChild>
                <w:div w:id="599532416">
                  <w:marLeft w:val="0"/>
                  <w:marRight w:val="0"/>
                  <w:marTop w:val="0"/>
                  <w:marBottom w:val="0"/>
                  <w:divBdr>
                    <w:top w:val="none" w:sz="0" w:space="0" w:color="auto"/>
                    <w:left w:val="none" w:sz="0" w:space="0" w:color="auto"/>
                    <w:bottom w:val="none" w:sz="0" w:space="0" w:color="auto"/>
                    <w:right w:val="none" w:sz="0" w:space="0" w:color="auto"/>
                  </w:divBdr>
                </w:div>
                <w:div w:id="1805079562">
                  <w:marLeft w:val="0"/>
                  <w:marRight w:val="0"/>
                  <w:marTop w:val="0"/>
                  <w:marBottom w:val="0"/>
                  <w:divBdr>
                    <w:top w:val="none" w:sz="0" w:space="0" w:color="auto"/>
                    <w:left w:val="none" w:sz="0" w:space="0" w:color="auto"/>
                    <w:bottom w:val="none" w:sz="0" w:space="0" w:color="auto"/>
                    <w:right w:val="none" w:sz="0" w:space="0" w:color="auto"/>
                  </w:divBdr>
                </w:div>
              </w:divsChild>
            </w:div>
            <w:div w:id="971521645">
              <w:marLeft w:val="0"/>
              <w:marRight w:val="0"/>
              <w:marTop w:val="0"/>
              <w:marBottom w:val="0"/>
              <w:divBdr>
                <w:top w:val="none" w:sz="0" w:space="0" w:color="auto"/>
                <w:left w:val="none" w:sz="0" w:space="0" w:color="auto"/>
                <w:bottom w:val="none" w:sz="0" w:space="0" w:color="auto"/>
                <w:right w:val="none" w:sz="0" w:space="0" w:color="auto"/>
              </w:divBdr>
              <w:divsChild>
                <w:div w:id="646394787">
                  <w:marLeft w:val="0"/>
                  <w:marRight w:val="0"/>
                  <w:marTop w:val="0"/>
                  <w:marBottom w:val="0"/>
                  <w:divBdr>
                    <w:top w:val="none" w:sz="0" w:space="0" w:color="auto"/>
                    <w:left w:val="none" w:sz="0" w:space="0" w:color="auto"/>
                    <w:bottom w:val="none" w:sz="0" w:space="0" w:color="auto"/>
                    <w:right w:val="none" w:sz="0" w:space="0" w:color="auto"/>
                  </w:divBdr>
                </w:div>
                <w:div w:id="2092850407">
                  <w:marLeft w:val="0"/>
                  <w:marRight w:val="0"/>
                  <w:marTop w:val="0"/>
                  <w:marBottom w:val="0"/>
                  <w:divBdr>
                    <w:top w:val="none" w:sz="0" w:space="0" w:color="auto"/>
                    <w:left w:val="none" w:sz="0" w:space="0" w:color="auto"/>
                    <w:bottom w:val="none" w:sz="0" w:space="0" w:color="auto"/>
                    <w:right w:val="none" w:sz="0" w:space="0" w:color="auto"/>
                  </w:divBdr>
                </w:div>
              </w:divsChild>
            </w:div>
            <w:div w:id="1790590041">
              <w:marLeft w:val="0"/>
              <w:marRight w:val="0"/>
              <w:marTop w:val="0"/>
              <w:marBottom w:val="0"/>
              <w:divBdr>
                <w:top w:val="none" w:sz="0" w:space="0" w:color="auto"/>
                <w:left w:val="none" w:sz="0" w:space="0" w:color="auto"/>
                <w:bottom w:val="none" w:sz="0" w:space="0" w:color="auto"/>
                <w:right w:val="none" w:sz="0" w:space="0" w:color="auto"/>
              </w:divBdr>
              <w:divsChild>
                <w:div w:id="1915971438">
                  <w:marLeft w:val="0"/>
                  <w:marRight w:val="0"/>
                  <w:marTop w:val="0"/>
                  <w:marBottom w:val="0"/>
                  <w:divBdr>
                    <w:top w:val="none" w:sz="0" w:space="0" w:color="auto"/>
                    <w:left w:val="none" w:sz="0" w:space="0" w:color="auto"/>
                    <w:bottom w:val="none" w:sz="0" w:space="0" w:color="auto"/>
                    <w:right w:val="none" w:sz="0" w:space="0" w:color="auto"/>
                  </w:divBdr>
                </w:div>
                <w:div w:id="26562538">
                  <w:marLeft w:val="0"/>
                  <w:marRight w:val="0"/>
                  <w:marTop w:val="0"/>
                  <w:marBottom w:val="0"/>
                  <w:divBdr>
                    <w:top w:val="none" w:sz="0" w:space="0" w:color="auto"/>
                    <w:left w:val="none" w:sz="0" w:space="0" w:color="auto"/>
                    <w:bottom w:val="none" w:sz="0" w:space="0" w:color="auto"/>
                    <w:right w:val="none" w:sz="0" w:space="0" w:color="auto"/>
                  </w:divBdr>
                </w:div>
              </w:divsChild>
            </w:div>
            <w:div w:id="1489243425">
              <w:marLeft w:val="0"/>
              <w:marRight w:val="0"/>
              <w:marTop w:val="0"/>
              <w:marBottom w:val="0"/>
              <w:divBdr>
                <w:top w:val="none" w:sz="0" w:space="0" w:color="auto"/>
                <w:left w:val="none" w:sz="0" w:space="0" w:color="auto"/>
                <w:bottom w:val="none" w:sz="0" w:space="0" w:color="auto"/>
                <w:right w:val="none" w:sz="0" w:space="0" w:color="auto"/>
              </w:divBdr>
              <w:divsChild>
                <w:div w:id="1024983726">
                  <w:marLeft w:val="0"/>
                  <w:marRight w:val="0"/>
                  <w:marTop w:val="0"/>
                  <w:marBottom w:val="0"/>
                  <w:divBdr>
                    <w:top w:val="none" w:sz="0" w:space="0" w:color="auto"/>
                    <w:left w:val="none" w:sz="0" w:space="0" w:color="auto"/>
                    <w:bottom w:val="none" w:sz="0" w:space="0" w:color="auto"/>
                    <w:right w:val="none" w:sz="0" w:space="0" w:color="auto"/>
                  </w:divBdr>
                </w:div>
                <w:div w:id="1431268575">
                  <w:marLeft w:val="0"/>
                  <w:marRight w:val="0"/>
                  <w:marTop w:val="0"/>
                  <w:marBottom w:val="0"/>
                  <w:divBdr>
                    <w:top w:val="none" w:sz="0" w:space="0" w:color="auto"/>
                    <w:left w:val="none" w:sz="0" w:space="0" w:color="auto"/>
                    <w:bottom w:val="none" w:sz="0" w:space="0" w:color="auto"/>
                    <w:right w:val="none" w:sz="0" w:space="0" w:color="auto"/>
                  </w:divBdr>
                </w:div>
              </w:divsChild>
            </w:div>
            <w:div w:id="1632050362">
              <w:marLeft w:val="0"/>
              <w:marRight w:val="0"/>
              <w:marTop w:val="0"/>
              <w:marBottom w:val="0"/>
              <w:divBdr>
                <w:top w:val="none" w:sz="0" w:space="0" w:color="auto"/>
                <w:left w:val="none" w:sz="0" w:space="0" w:color="auto"/>
                <w:bottom w:val="none" w:sz="0" w:space="0" w:color="auto"/>
                <w:right w:val="none" w:sz="0" w:space="0" w:color="auto"/>
              </w:divBdr>
              <w:divsChild>
                <w:div w:id="1123041822">
                  <w:marLeft w:val="0"/>
                  <w:marRight w:val="0"/>
                  <w:marTop w:val="0"/>
                  <w:marBottom w:val="0"/>
                  <w:divBdr>
                    <w:top w:val="none" w:sz="0" w:space="0" w:color="auto"/>
                    <w:left w:val="none" w:sz="0" w:space="0" w:color="auto"/>
                    <w:bottom w:val="none" w:sz="0" w:space="0" w:color="auto"/>
                    <w:right w:val="none" w:sz="0" w:space="0" w:color="auto"/>
                  </w:divBdr>
                </w:div>
                <w:div w:id="176430418">
                  <w:marLeft w:val="0"/>
                  <w:marRight w:val="0"/>
                  <w:marTop w:val="0"/>
                  <w:marBottom w:val="0"/>
                  <w:divBdr>
                    <w:top w:val="none" w:sz="0" w:space="0" w:color="auto"/>
                    <w:left w:val="none" w:sz="0" w:space="0" w:color="auto"/>
                    <w:bottom w:val="none" w:sz="0" w:space="0" w:color="auto"/>
                    <w:right w:val="none" w:sz="0" w:space="0" w:color="auto"/>
                  </w:divBdr>
                </w:div>
              </w:divsChild>
            </w:div>
            <w:div w:id="295841745">
              <w:marLeft w:val="0"/>
              <w:marRight w:val="0"/>
              <w:marTop w:val="0"/>
              <w:marBottom w:val="0"/>
              <w:divBdr>
                <w:top w:val="none" w:sz="0" w:space="0" w:color="auto"/>
                <w:left w:val="none" w:sz="0" w:space="0" w:color="auto"/>
                <w:bottom w:val="none" w:sz="0" w:space="0" w:color="auto"/>
                <w:right w:val="none" w:sz="0" w:space="0" w:color="auto"/>
              </w:divBdr>
              <w:divsChild>
                <w:div w:id="364407179">
                  <w:marLeft w:val="0"/>
                  <w:marRight w:val="0"/>
                  <w:marTop w:val="0"/>
                  <w:marBottom w:val="0"/>
                  <w:divBdr>
                    <w:top w:val="none" w:sz="0" w:space="0" w:color="auto"/>
                    <w:left w:val="none" w:sz="0" w:space="0" w:color="auto"/>
                    <w:bottom w:val="none" w:sz="0" w:space="0" w:color="auto"/>
                    <w:right w:val="none" w:sz="0" w:space="0" w:color="auto"/>
                  </w:divBdr>
                </w:div>
                <w:div w:id="4544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2535">
          <w:marLeft w:val="0"/>
          <w:marRight w:val="0"/>
          <w:marTop w:val="0"/>
          <w:marBottom w:val="0"/>
          <w:divBdr>
            <w:top w:val="none" w:sz="0" w:space="0" w:color="auto"/>
            <w:left w:val="none" w:sz="0" w:space="0" w:color="auto"/>
            <w:bottom w:val="none" w:sz="0" w:space="0" w:color="auto"/>
            <w:right w:val="none" w:sz="0" w:space="0" w:color="auto"/>
          </w:divBdr>
          <w:divsChild>
            <w:div w:id="18595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0769">
      <w:bodyDiv w:val="1"/>
      <w:marLeft w:val="0"/>
      <w:marRight w:val="0"/>
      <w:marTop w:val="0"/>
      <w:marBottom w:val="0"/>
      <w:divBdr>
        <w:top w:val="none" w:sz="0" w:space="0" w:color="auto"/>
        <w:left w:val="none" w:sz="0" w:space="0" w:color="auto"/>
        <w:bottom w:val="none" w:sz="0" w:space="0" w:color="auto"/>
        <w:right w:val="none" w:sz="0" w:space="0" w:color="auto"/>
      </w:divBdr>
    </w:div>
    <w:div w:id="1994527205">
      <w:bodyDiv w:val="1"/>
      <w:marLeft w:val="0"/>
      <w:marRight w:val="0"/>
      <w:marTop w:val="0"/>
      <w:marBottom w:val="0"/>
      <w:divBdr>
        <w:top w:val="none" w:sz="0" w:space="0" w:color="auto"/>
        <w:left w:val="none" w:sz="0" w:space="0" w:color="auto"/>
        <w:bottom w:val="none" w:sz="0" w:space="0" w:color="auto"/>
        <w:right w:val="none" w:sz="0" w:space="0" w:color="auto"/>
      </w:divBdr>
      <w:divsChild>
        <w:div w:id="846867678">
          <w:marLeft w:val="0"/>
          <w:marRight w:val="0"/>
          <w:marTop w:val="0"/>
          <w:marBottom w:val="0"/>
          <w:divBdr>
            <w:top w:val="none" w:sz="0" w:space="0" w:color="auto"/>
            <w:left w:val="none" w:sz="0" w:space="0" w:color="auto"/>
            <w:bottom w:val="none" w:sz="0" w:space="0" w:color="auto"/>
            <w:right w:val="none" w:sz="0" w:space="0" w:color="auto"/>
          </w:divBdr>
          <w:divsChild>
            <w:div w:id="545533916">
              <w:marLeft w:val="0"/>
              <w:marRight w:val="0"/>
              <w:marTop w:val="0"/>
              <w:marBottom w:val="0"/>
              <w:divBdr>
                <w:top w:val="none" w:sz="0" w:space="0" w:color="auto"/>
                <w:left w:val="none" w:sz="0" w:space="0" w:color="auto"/>
                <w:bottom w:val="none" w:sz="0" w:space="0" w:color="auto"/>
                <w:right w:val="none" w:sz="0" w:space="0" w:color="auto"/>
              </w:divBdr>
              <w:divsChild>
                <w:div w:id="448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8432">
          <w:marLeft w:val="0"/>
          <w:marRight w:val="0"/>
          <w:marTop w:val="0"/>
          <w:marBottom w:val="0"/>
          <w:divBdr>
            <w:top w:val="none" w:sz="0" w:space="0" w:color="auto"/>
            <w:left w:val="none" w:sz="0" w:space="0" w:color="auto"/>
            <w:bottom w:val="none" w:sz="0" w:space="0" w:color="auto"/>
            <w:right w:val="none" w:sz="0" w:space="0" w:color="auto"/>
          </w:divBdr>
          <w:divsChild>
            <w:div w:id="13999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wiebes@hdsb.ca" TargetMode="External"/><Relationship Id="rId18" Type="http://schemas.openxmlformats.org/officeDocument/2006/relationships/hyperlink" Target="http://www.garyallan.ca/" TargetMode="External"/><Relationship Id="rId26" Type="http://schemas.openxmlformats.org/officeDocument/2006/relationships/hyperlink" Target="http://www.hdsb.ca/Programs/Prior%20Learning%20Assessment%20and%20Recognition/PLAR%20Application%20Form%202012%20-%202013.pdf" TargetMode="External"/><Relationship Id="rId39" Type="http://schemas.openxmlformats.org/officeDocument/2006/relationships/hyperlink" Target="http://www.cyberplex.com/" TargetMode="External"/><Relationship Id="rId21" Type="http://schemas.openxmlformats.org/officeDocument/2006/relationships/hyperlink" Target="http://www.thecentre.on.ca/default.asp" TargetMode="External"/><Relationship Id="rId34" Type="http://schemas.openxmlformats.org/officeDocument/2006/relationships/hyperlink" Target="http://www.hdsb.ca/Programs/Prior%20Learning%20Assessment%20and%20Recognition/PLAR%20Reference%20Form%201%202012%20-%202013.pdf" TargetMode="External"/><Relationship Id="rId42" Type="http://schemas.openxmlformats.org/officeDocument/2006/relationships/fontTable" Target="fontTable.xml"/><Relationship Id="rId7" Type="http://schemas.openxmlformats.org/officeDocument/2006/relationships/hyperlink" Target="http://www2.athabascau.ca/contact/list/coordinators.php" TargetMode="External"/><Relationship Id="rId2" Type="http://schemas.openxmlformats.org/officeDocument/2006/relationships/styles" Target="styles.xml"/><Relationship Id="rId16" Type="http://schemas.openxmlformats.org/officeDocument/2006/relationships/hyperlink" Target="http://www.edu.gov.on.ca/fre/curriculum/secondary/" TargetMode="External"/><Relationship Id="rId20" Type="http://schemas.openxmlformats.org/officeDocument/2006/relationships/hyperlink" Target="http://www.thecentre.on.ca/" TargetMode="External"/><Relationship Id="rId29" Type="http://schemas.openxmlformats.org/officeDocument/2006/relationships/hyperlink" Target="http://www.hdsb.ca/Programs/Prior%20Learning%20Assessment%20and%20Recognition/PLAR%20Evidence%20of%20Relevant%20Learning%20Form%202012%20-%202013.pdf" TargetMode="External"/><Relationship Id="rId41" Type="http://schemas.openxmlformats.org/officeDocument/2006/relationships/hyperlink" Target="http://www.edu.gov.on.ca/extra/eng/ppm/129.html" TargetMode="External"/><Relationship Id="rId1" Type="http://schemas.openxmlformats.org/officeDocument/2006/relationships/numbering" Target="numbering.xml"/><Relationship Id="rId6" Type="http://schemas.openxmlformats.org/officeDocument/2006/relationships/hyperlink" Target="http://www.athabascau.ca/course/ug_subject/index.php" TargetMode="External"/><Relationship Id="rId11" Type="http://schemas.openxmlformats.org/officeDocument/2006/relationships/hyperlink" Target="http://www.mun.ca/regoff/calendar/sectionNo=REGS-1369" TargetMode="External"/><Relationship Id="rId24" Type="http://schemas.openxmlformats.org/officeDocument/2006/relationships/hyperlink" Target="http://www.hdsb.ca/AboutUs/SpecialEducation/Pages/SpecialEdHelpfulLinks.aspx" TargetMode="External"/><Relationship Id="rId32" Type="http://schemas.openxmlformats.org/officeDocument/2006/relationships/hyperlink" Target="http://www.hdsb.ca/Programs/Prior%20Learning%20Assessment%20and%20Recognition/PLAR%20PACKAGE%20Info%20Sheet%202012%20-%202013.pdf" TargetMode="External"/><Relationship Id="rId37" Type="http://schemas.openxmlformats.org/officeDocument/2006/relationships/hyperlink" Target="http://www.hdsb.ca/Programs/Prior%20Learning%20Assessment%20and%20Recognition/PLAR%20Sample%20Product%20Form%202012%20-%202013.pdf" TargetMode="External"/><Relationship Id="rId40"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hyperlink" Target="http://www.edu.gov.on.ca/eng/curriculum/secondary/index.html" TargetMode="External"/><Relationship Id="rId23" Type="http://schemas.openxmlformats.org/officeDocument/2006/relationships/hyperlink" Target="http://www.hdsb.ca/Programs/Pages/OntarioStudentTranscript.aspx" TargetMode="External"/><Relationship Id="rId28" Type="http://schemas.openxmlformats.org/officeDocument/2006/relationships/hyperlink" Target="http://www.hdsb.ca/Programs/Prior%20Learning%20Assessment%20and%20Recognition/PLAR%20Application%20Form%202012%20-%202013.pdf" TargetMode="External"/><Relationship Id="rId36" Type="http://schemas.openxmlformats.org/officeDocument/2006/relationships/hyperlink" Target="http://www.hdsb.ca/Programs/Prior%20Learning%20Assessment%20and%20Recognition/PLAR%20Reference%20Form%202%202012%20-%202013.pdf" TargetMode="External"/><Relationship Id="rId10" Type="http://schemas.openxmlformats.org/officeDocument/2006/relationships/hyperlink" Target="http://www.mun.ca/regoff/calendar/sectionNo=REGS-0508" TargetMode="External"/><Relationship Id="rId19" Type="http://schemas.openxmlformats.org/officeDocument/2006/relationships/hyperlink" Target="http://www.schooltocareer.ca/" TargetMode="External"/><Relationship Id="rId31" Type="http://schemas.openxmlformats.org/officeDocument/2006/relationships/hyperlink" Target="http://www.hdsb.ca/Programs/Prior%20Learning%20Assessment%20and%20Recognition/PLAR%20PACKAGE%20Info%20Sheet%202012%20-%202013.pdf" TargetMode="External"/><Relationship Id="rId4" Type="http://schemas.openxmlformats.org/officeDocument/2006/relationships/settings" Target="settings.xml"/><Relationship Id="rId9" Type="http://schemas.openxmlformats.org/officeDocument/2006/relationships/hyperlink" Target="http://www.mun.ca/regoff/calendar/sectionNo=REGS-0508" TargetMode="External"/><Relationship Id="rId14" Type="http://schemas.openxmlformats.org/officeDocument/2006/relationships/hyperlink" Target="http://www.edu.gov.on.ca/" TargetMode="External"/><Relationship Id="rId22" Type="http://schemas.openxmlformats.org/officeDocument/2006/relationships/hyperlink" Target="https://sites.google.com/site/hdsbelearning/" TargetMode="External"/><Relationship Id="rId27" Type="http://schemas.openxmlformats.org/officeDocument/2006/relationships/image" Target="media/image1.gif"/><Relationship Id="rId30" Type="http://schemas.openxmlformats.org/officeDocument/2006/relationships/hyperlink" Target="http://www.hdsb.ca/Programs/Prior%20Learning%20Assessment%20and%20Recognition/PLAR%20Evidence%20of%20Relevant%20Learning%20Form%202012%20-%202013.pdf" TargetMode="External"/><Relationship Id="rId35" Type="http://schemas.openxmlformats.org/officeDocument/2006/relationships/hyperlink" Target="http://www.hdsb.ca/Programs/Prior%20Learning%20Assessment%20and%20Recognition/PLAR%20Reference%20Form%202%202012%20-%202013.pdf" TargetMode="External"/><Relationship Id="rId43" Type="http://schemas.openxmlformats.org/officeDocument/2006/relationships/theme" Target="theme/theme1.xml"/><Relationship Id="rId8" Type="http://schemas.openxmlformats.org/officeDocument/2006/relationships/hyperlink" Target="http://www.mun.ca/regoff/calendar/sectionNo=REGS-0474" TargetMode="External"/><Relationship Id="rId3" Type="http://schemas.microsoft.com/office/2007/relationships/stylesWithEffects" Target="stylesWithEffects.xml"/><Relationship Id="rId12" Type="http://schemas.openxmlformats.org/officeDocument/2006/relationships/hyperlink" Target="http://www.garyallan.ca/" TargetMode="External"/><Relationship Id="rId17" Type="http://schemas.openxmlformats.org/officeDocument/2006/relationships/hyperlink" Target="http://www.brontecreekproject.org/" TargetMode="External"/><Relationship Id="rId25" Type="http://schemas.openxmlformats.org/officeDocument/2006/relationships/hyperlink" Target="http://www.eyeseeeyelearn.ca" TargetMode="External"/><Relationship Id="rId33" Type="http://schemas.openxmlformats.org/officeDocument/2006/relationships/hyperlink" Target="http://www.hdsb.ca/Programs/Prior%20Learning%20Assessment%20and%20Recognition/PLAR%20Reference%20Form%201%202012%20-%202013.pdf" TargetMode="External"/><Relationship Id="rId38" Type="http://schemas.openxmlformats.org/officeDocument/2006/relationships/hyperlink" Target="http://www.hdsb.ca/Programs/Prior%20Learning%20Assessment%20and%20Recognition/PLAR%20Sample%20Product%20Form%202012%20-%2020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3066</Words>
  <Characters>17477</Characters>
  <Application>Microsoft Office Word</Application>
  <DocSecurity>0</DocSecurity>
  <Lines>145</Lines>
  <Paragraphs>41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
      <vt:lpstr>        </vt:lpstr>
      <vt:lpstr>        </vt:lpstr>
      <vt:lpstr>        CHALLENGE FOR CREDIT</vt:lpstr>
      <vt:lpstr>        </vt:lpstr>
      <vt:lpstr>        5.2.3 Challenge for Credit</vt:lpstr>
      <vt:lpstr>    APPENDIX 16: Challenge for Credit: Policies and Guidelines </vt:lpstr>
    </vt:vector>
  </TitlesOfParts>
  <Company>Hewlett-Packard</Company>
  <LinksUpToDate>false</LinksUpToDate>
  <CharactersWithSpaces>20502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3</cp:revision>
  <dcterms:created xsi:type="dcterms:W3CDTF">2013-03-23T21:13:00Z</dcterms:created>
  <dcterms:modified xsi:type="dcterms:W3CDTF">2014-07-28T07:45:00Z</dcterms:modified>
</cp:coreProperties>
</file>