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34CAC" w14:textId="708DE5CC" w:rsidR="00290D0F" w:rsidRDefault="00290D0F" w:rsidP="00290D0F">
      <w:pPr>
        <w:spacing w:after="0"/>
      </w:pPr>
      <w:r>
        <w:t>About Education</w:t>
      </w:r>
    </w:p>
    <w:p w14:paraId="57BB6DD4" w14:textId="145FC963" w:rsidR="00290D0F" w:rsidRDefault="00290D0F" w:rsidP="00290D0F">
      <w:pPr>
        <w:spacing w:after="0"/>
      </w:pPr>
      <w:r>
        <w:t>Glendenning Notes</w:t>
      </w:r>
    </w:p>
    <w:p w14:paraId="3B4471BC" w14:textId="0FD50645" w:rsidR="00290D0F" w:rsidRDefault="00290D0F" w:rsidP="00290D0F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290D0F">
        <w:rPr>
          <w:b/>
          <w:bCs/>
          <w:color w:val="FF0000"/>
          <w:sz w:val="48"/>
          <w:szCs w:val="48"/>
        </w:rPr>
        <w:t>THRIVE</w:t>
      </w:r>
    </w:p>
    <w:p w14:paraId="661F2D7D" w14:textId="77777777" w:rsidR="00290D0F" w:rsidRDefault="00290D0F" w:rsidP="00290D0F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2C0CAAA1" w14:textId="064420A2" w:rsidR="00290D0F" w:rsidRDefault="00290D0F" w:rsidP="00290D0F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Skills all students need to thrive – Gayle Allen</w:t>
      </w:r>
    </w:p>
    <w:p w14:paraId="7BF81669" w14:textId="609097AF" w:rsidR="00290D0F" w:rsidRDefault="00290D0F" w:rsidP="00290D0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Communi</w:t>
      </w:r>
      <w:r w:rsidR="000F1507">
        <w:rPr>
          <w:b/>
          <w:bCs/>
          <w:color w:val="000000" w:themeColor="text1"/>
          <w:sz w:val="28"/>
          <w:szCs w:val="28"/>
        </w:rPr>
        <w:t>c</w:t>
      </w:r>
      <w:r>
        <w:rPr>
          <w:b/>
          <w:bCs/>
          <w:color w:val="000000" w:themeColor="text1"/>
          <w:sz w:val="28"/>
          <w:szCs w:val="28"/>
        </w:rPr>
        <w:t>ation</w:t>
      </w:r>
    </w:p>
    <w:p w14:paraId="23A01EEB" w14:textId="3C761B79" w:rsidR="00290D0F" w:rsidRDefault="00290D0F" w:rsidP="00290D0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Critical thinking</w:t>
      </w:r>
    </w:p>
    <w:p w14:paraId="60472F89" w14:textId="765DE990" w:rsidR="00290D0F" w:rsidRDefault="00290D0F" w:rsidP="00290D0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Ownership</w:t>
      </w:r>
    </w:p>
    <w:p w14:paraId="32022A60" w14:textId="2411120C" w:rsidR="00290D0F" w:rsidRDefault="00290D0F" w:rsidP="00290D0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Lead</w:t>
      </w:r>
      <w:r w:rsidR="00F27FA8">
        <w:rPr>
          <w:b/>
          <w:bCs/>
          <w:color w:val="000000" w:themeColor="text1"/>
          <w:sz w:val="28"/>
          <w:szCs w:val="28"/>
        </w:rPr>
        <w:t>e</w:t>
      </w:r>
      <w:r>
        <w:rPr>
          <w:b/>
          <w:bCs/>
          <w:color w:val="000000" w:themeColor="text1"/>
          <w:sz w:val="28"/>
          <w:szCs w:val="28"/>
        </w:rPr>
        <w:t>rship</w:t>
      </w:r>
    </w:p>
    <w:p w14:paraId="0F262279" w14:textId="2B584381" w:rsidR="00290D0F" w:rsidRDefault="00290D0F" w:rsidP="00290D0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Crea</w:t>
      </w:r>
      <w:r w:rsidR="00580084">
        <w:rPr>
          <w:b/>
          <w:bCs/>
          <w:color w:val="000000" w:themeColor="text1"/>
          <w:sz w:val="28"/>
          <w:szCs w:val="28"/>
        </w:rPr>
        <w:t>t</w:t>
      </w:r>
      <w:r>
        <w:rPr>
          <w:b/>
          <w:bCs/>
          <w:color w:val="000000" w:themeColor="text1"/>
          <w:sz w:val="28"/>
          <w:szCs w:val="28"/>
        </w:rPr>
        <w:t>ive probl</w:t>
      </w:r>
      <w:r w:rsidR="00580084">
        <w:rPr>
          <w:b/>
          <w:bCs/>
          <w:color w:val="000000" w:themeColor="text1"/>
          <w:sz w:val="28"/>
          <w:szCs w:val="28"/>
        </w:rPr>
        <w:t>em</w:t>
      </w:r>
      <w:r>
        <w:rPr>
          <w:b/>
          <w:bCs/>
          <w:color w:val="000000" w:themeColor="text1"/>
          <w:sz w:val="28"/>
          <w:szCs w:val="28"/>
        </w:rPr>
        <w:t>, solving</w:t>
      </w:r>
    </w:p>
    <w:p w14:paraId="4073EAB6" w14:textId="12782921" w:rsidR="00290D0F" w:rsidRDefault="00290D0F" w:rsidP="00290D0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proofErr w:type="spellStart"/>
      <w:r>
        <w:rPr>
          <w:b/>
          <w:bCs/>
          <w:color w:val="000000" w:themeColor="text1"/>
          <w:sz w:val="28"/>
          <w:szCs w:val="28"/>
        </w:rPr>
        <w:t>Self directed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learning</w:t>
      </w:r>
    </w:p>
    <w:p w14:paraId="5C5DCC01" w14:textId="6B096AAC" w:rsidR="00290D0F" w:rsidRDefault="00290D0F" w:rsidP="00290D0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Curi</w:t>
      </w:r>
      <w:r w:rsidR="00580084">
        <w:rPr>
          <w:b/>
          <w:bCs/>
          <w:color w:val="000000" w:themeColor="text1"/>
          <w:sz w:val="28"/>
          <w:szCs w:val="28"/>
        </w:rPr>
        <w:t>o</w:t>
      </w:r>
      <w:r>
        <w:rPr>
          <w:b/>
          <w:bCs/>
          <w:color w:val="000000" w:themeColor="text1"/>
          <w:sz w:val="28"/>
          <w:szCs w:val="28"/>
        </w:rPr>
        <w:t>sity</w:t>
      </w:r>
    </w:p>
    <w:p w14:paraId="0F83A6E5" w14:textId="66DF8C93" w:rsidR="00290D0F" w:rsidRDefault="00290D0F" w:rsidP="00290D0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Collaboration</w:t>
      </w:r>
    </w:p>
    <w:p w14:paraId="6A44CB75" w14:textId="0C9BD05D" w:rsidR="00290D0F" w:rsidRDefault="00290D0F" w:rsidP="00290D0F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High threshold for uncertainty</w:t>
      </w:r>
    </w:p>
    <w:p w14:paraId="483CB3D4" w14:textId="77777777" w:rsidR="00580084" w:rsidRDefault="00580084" w:rsidP="00580084">
      <w:pPr>
        <w:spacing w:after="0"/>
        <w:rPr>
          <w:b/>
          <w:bCs/>
          <w:color w:val="000000" w:themeColor="text1"/>
          <w:sz w:val="28"/>
          <w:szCs w:val="28"/>
        </w:rPr>
      </w:pPr>
    </w:p>
    <w:p w14:paraId="60010979" w14:textId="2A9A647D" w:rsidR="00580084" w:rsidRDefault="00580084" w:rsidP="00580084">
      <w:pPr>
        <w:spacing w:after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Next </w:t>
      </w:r>
      <w:r w:rsidR="00F27FA8">
        <w:rPr>
          <w:b/>
          <w:bCs/>
          <w:color w:val="000000" w:themeColor="text1"/>
          <w:sz w:val="28"/>
          <w:szCs w:val="28"/>
        </w:rPr>
        <w:t>st</w:t>
      </w:r>
      <w:r>
        <w:rPr>
          <w:b/>
          <w:bCs/>
          <w:color w:val="000000" w:themeColor="text1"/>
          <w:sz w:val="28"/>
          <w:szCs w:val="28"/>
        </w:rPr>
        <w:t>eps (OECD 2030) – see original)</w:t>
      </w:r>
    </w:p>
    <w:p w14:paraId="309CA034" w14:textId="04C040ED" w:rsidR="00580084" w:rsidRPr="00580084" w:rsidRDefault="00580084" w:rsidP="00580084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  <w:sz w:val="28"/>
          <w:szCs w:val="28"/>
        </w:rPr>
      </w:pPr>
      <w:proofErr w:type="gramStart"/>
      <w:r>
        <w:rPr>
          <w:b/>
          <w:bCs/>
          <w:color w:val="000000" w:themeColor="text1"/>
          <w:sz w:val="28"/>
          <w:szCs w:val="28"/>
        </w:rPr>
        <w:t xml:space="preserve">National,   </w:t>
      </w:r>
      <w:proofErr w:type="gramEnd"/>
      <w:r>
        <w:rPr>
          <w:b/>
          <w:bCs/>
          <w:color w:val="000000" w:themeColor="text1"/>
          <w:sz w:val="28"/>
          <w:szCs w:val="28"/>
        </w:rPr>
        <w:t>regional and  local governments share</w:t>
      </w:r>
    </w:p>
    <w:sectPr w:rsidR="00580084" w:rsidRPr="00580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E4A32"/>
    <w:multiLevelType w:val="hybridMultilevel"/>
    <w:tmpl w:val="297AA4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2089A"/>
    <w:multiLevelType w:val="hybridMultilevel"/>
    <w:tmpl w:val="3FC86F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819626">
    <w:abstractNumId w:val="0"/>
  </w:num>
  <w:num w:numId="2" w16cid:durableId="420031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0F"/>
    <w:rsid w:val="000F1507"/>
    <w:rsid w:val="0021250A"/>
    <w:rsid w:val="00290D0F"/>
    <w:rsid w:val="00580084"/>
    <w:rsid w:val="00F2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02063"/>
  <w15:chartTrackingRefBased/>
  <w15:docId w15:val="{9ACC42E8-C6C4-497F-B6A4-26C140F54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2023-09-18T14:58:00Z</cp:lastPrinted>
  <dcterms:created xsi:type="dcterms:W3CDTF">2023-09-18T13:51:00Z</dcterms:created>
  <dcterms:modified xsi:type="dcterms:W3CDTF">2023-09-18T16:43:00Z</dcterms:modified>
</cp:coreProperties>
</file>