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768" w:rsidRDefault="00331768" w:rsidP="00331768">
      <w:pPr>
        <w:spacing w:after="0"/>
        <w:rPr>
          <w:rFonts w:ascii="Calibri" w:hAnsi="Calibri"/>
          <w:lang w:val="en-US"/>
        </w:rPr>
      </w:pPr>
      <w:r>
        <w:rPr>
          <w:b/>
          <w:i/>
          <w:noProof/>
          <w:color w:val="C00000"/>
          <w:sz w:val="56"/>
          <w:szCs w:val="56"/>
          <w:lang w:eastAsia="en-CA"/>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381FFE" w:rsidRDefault="00FF34F9" w:rsidP="00331768">
      <w:pPr>
        <w:spacing w:after="0"/>
        <w:jc w:val="right"/>
        <w:rPr>
          <w:b/>
          <w:lang w:val="en-US"/>
        </w:rPr>
      </w:pPr>
      <w:r>
        <w:rPr>
          <w:rFonts w:ascii="Calibri" w:hAnsi="Calibri"/>
          <w:lang w:val="en-US"/>
        </w:rPr>
        <w:t>1-3-</w:t>
      </w:r>
      <w:r w:rsidR="00331768">
        <w:rPr>
          <w:rFonts w:ascii="Calibri" w:hAnsi="Calibri"/>
          <w:lang w:val="en-US"/>
        </w:rPr>
        <w:t>2</w:t>
      </w:r>
      <w:r w:rsidR="0036334B">
        <w:rPr>
          <w:rFonts w:ascii="Calibri" w:hAnsi="Calibri"/>
          <w:lang w:val="en-US"/>
        </w:rPr>
        <w:t>-A</w:t>
      </w:r>
      <w:bookmarkStart w:id="0" w:name="_GoBack"/>
      <w:bookmarkEnd w:id="0"/>
    </w:p>
    <w:p w:rsidR="00381FFE" w:rsidRPr="004945C2" w:rsidRDefault="00381FFE" w:rsidP="00381FFE">
      <w:pPr>
        <w:spacing w:after="0" w:line="240" w:lineRule="auto"/>
        <w:jc w:val="center"/>
        <w:rPr>
          <w:b/>
          <w:lang w:val="en-US"/>
        </w:rPr>
      </w:pPr>
      <w:proofErr w:type="gramStart"/>
      <w:r w:rsidRPr="004945C2">
        <w:rPr>
          <w:b/>
          <w:lang w:val="en-US"/>
        </w:rPr>
        <w:t>Education 20/20 Inc.</w:t>
      </w:r>
      <w:proofErr w:type="gramEnd"/>
    </w:p>
    <w:p w:rsidR="00381FFE" w:rsidRDefault="00381FFE" w:rsidP="00381FFE">
      <w:pPr>
        <w:spacing w:after="0" w:line="240" w:lineRule="auto"/>
        <w:jc w:val="center"/>
        <w:rPr>
          <w:b/>
          <w:lang w:val="en-US"/>
        </w:rPr>
      </w:pPr>
      <w:r>
        <w:rPr>
          <w:b/>
          <w:lang w:val="en-US"/>
        </w:rPr>
        <w:t>Preparedness 2- Skills of Citizenship</w:t>
      </w:r>
    </w:p>
    <w:p w:rsidR="00381FFE" w:rsidRDefault="00381FFE" w:rsidP="00381FFE">
      <w:pPr>
        <w:spacing w:after="0" w:line="240" w:lineRule="auto"/>
        <w:rPr>
          <w:b/>
          <w:lang w:val="en-US"/>
        </w:rPr>
      </w:pPr>
      <w:r>
        <w:rPr>
          <w:b/>
          <w:lang w:val="en-US"/>
        </w:rPr>
        <w:t>Introduction:</w:t>
      </w:r>
    </w:p>
    <w:p w:rsidR="00381FFE" w:rsidRPr="000E1AED" w:rsidRDefault="00381FFE" w:rsidP="00381FFE">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 xml:space="preserve">issues that directly affect them; the report, </w:t>
      </w:r>
      <w:proofErr w:type="gramStart"/>
      <w:r w:rsidRPr="000E1AED">
        <w:rPr>
          <w:rFonts w:ascii="Calibri" w:eastAsia="Times New Roman" w:hAnsi="Calibri" w:cs="Times New Roman"/>
          <w:bCs/>
          <w:kern w:val="36"/>
          <w:lang w:eastAsia="en-CA"/>
        </w:rPr>
        <w:t>T</w:t>
      </w:r>
      <w:r w:rsidRPr="000E1AED">
        <w:rPr>
          <w:rFonts w:ascii="Calibri" w:eastAsia="Times New Roman" w:hAnsi="Calibri" w:cs="Times New Roman"/>
          <w:bCs/>
          <w:kern w:val="36"/>
          <w:u w:val="single"/>
          <w:lang w:eastAsia="en-CA"/>
        </w:rPr>
        <w:t>aking</w:t>
      </w:r>
      <w:proofErr w:type="gramEnd"/>
      <w:r w:rsidRPr="000E1AED">
        <w:rPr>
          <w:rFonts w:ascii="Calibri" w:eastAsia="Times New Roman" w:hAnsi="Calibri" w:cs="Times New Roman"/>
          <w:bCs/>
          <w:kern w:val="36"/>
          <w:u w:val="single"/>
          <w:lang w:eastAsia="en-CA"/>
        </w:rPr>
        <w:t xml:space="preserve">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381FFE" w:rsidRPr="000E1AED" w:rsidRDefault="00381FFE" w:rsidP="00381FFE">
      <w:pPr>
        <w:spacing w:after="0" w:line="240" w:lineRule="auto"/>
        <w:jc w:val="center"/>
        <w:rPr>
          <w:rFonts w:ascii="Calibri" w:hAnsi="Calibri" w:cs="Helvetica"/>
        </w:rPr>
      </w:pPr>
    </w:p>
    <w:p w:rsidR="00381FFE" w:rsidRPr="000E1AED" w:rsidRDefault="00381FFE" w:rsidP="00381FFE">
      <w:pPr>
        <w:spacing w:after="0" w:line="240" w:lineRule="auto"/>
        <w:jc w:val="center"/>
        <w:rPr>
          <w:b/>
          <w:i/>
          <w:lang w:val="en-US"/>
        </w:rPr>
      </w:pPr>
      <w:r w:rsidRPr="000E1AED">
        <w:rPr>
          <w:b/>
          <w:i/>
          <w:lang w:val="en-US"/>
        </w:rPr>
        <w:t>“</w:t>
      </w:r>
      <w:proofErr w:type="gramStart"/>
      <w:r w:rsidRPr="000E1AED">
        <w:rPr>
          <w:b/>
          <w:i/>
          <w:lang w:val="en-US"/>
        </w:rPr>
        <w:t>preparedness</w:t>
      </w:r>
      <w:proofErr w:type="gramEnd"/>
      <w:r w:rsidRPr="000E1AED">
        <w:rPr>
          <w:b/>
          <w:i/>
          <w:lang w:val="en-US"/>
        </w:rPr>
        <w:t xml:space="preserve"> gaps with regard to readiness for</w:t>
      </w:r>
    </w:p>
    <w:p w:rsidR="00381FFE" w:rsidRPr="000E1AED" w:rsidRDefault="00381FFE" w:rsidP="00381FFE">
      <w:pPr>
        <w:spacing w:after="0" w:line="240" w:lineRule="auto"/>
        <w:jc w:val="center"/>
        <w:rPr>
          <w:b/>
          <w:lang w:val="en-US"/>
        </w:rPr>
      </w:pPr>
      <w:proofErr w:type="gramStart"/>
      <w:r w:rsidRPr="000E1AED">
        <w:rPr>
          <w:b/>
          <w:i/>
          <w:lang w:val="en-US"/>
        </w:rPr>
        <w:t>post-</w:t>
      </w:r>
      <w:proofErr w:type="gramEnd"/>
      <w:r w:rsidRPr="000E1AED">
        <w:rPr>
          <w:b/>
          <w:i/>
          <w:lang w:val="en-US"/>
        </w:rPr>
        <w:t xml:space="preserve"> secondary study and the workplace” </w:t>
      </w:r>
      <w:r w:rsidRPr="000E1AED">
        <w:rPr>
          <w:b/>
          <w:lang w:val="en-US"/>
        </w:rPr>
        <w:t>– Vital Signs, CFPEI, 2013</w:t>
      </w:r>
    </w:p>
    <w:p w:rsidR="00381FFE" w:rsidRPr="000E1AED" w:rsidRDefault="00381FFE" w:rsidP="00381FFE">
      <w:pPr>
        <w:spacing w:after="0" w:line="240" w:lineRule="auto"/>
        <w:jc w:val="center"/>
        <w:rPr>
          <w:b/>
          <w:lang w:val="en-US"/>
        </w:rPr>
      </w:pPr>
    </w:p>
    <w:p w:rsidR="00381FFE" w:rsidRDefault="00381FFE" w:rsidP="00381FFE">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cation 20/20 organized f</w:t>
      </w:r>
      <w:r>
        <w:rPr>
          <w:rFonts w:ascii="Calibri" w:hAnsi="Calibri"/>
        </w:rPr>
        <w:t>ive</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number of conclusions and recommendations of which the recommendation below triggered this proposal. </w:t>
      </w:r>
    </w:p>
    <w:p w:rsidR="00381FFE" w:rsidRDefault="00381FFE" w:rsidP="00381FFE">
      <w:pPr>
        <w:spacing w:line="240" w:lineRule="auto"/>
        <w:jc w:val="both"/>
        <w:outlineLvl w:val="0"/>
        <w:rPr>
          <w:rFonts w:ascii="Calibri" w:hAnsi="Calibri"/>
          <w:b/>
          <w:u w:val="single"/>
        </w:rPr>
      </w:pPr>
    </w:p>
    <w:p w:rsidR="00381FFE" w:rsidRDefault="00381FFE" w:rsidP="00381FFE">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proofErr w:type="gramStart"/>
      <w:r>
        <w:rPr>
          <w:b/>
          <w:i/>
        </w:rPr>
        <w:t>,  Education</w:t>
      </w:r>
      <w:proofErr w:type="gramEnd"/>
      <w:r>
        <w:rPr>
          <w:b/>
          <w:i/>
        </w:rPr>
        <w:t xml:space="preserve"> 20/20 Inc., Occasional Paper No. 1)</w:t>
      </w:r>
    </w:p>
    <w:p w:rsidR="00381FFE" w:rsidRDefault="00381FFE" w:rsidP="00381FFE">
      <w:pPr>
        <w:spacing w:after="0" w:line="240" w:lineRule="auto"/>
        <w:jc w:val="both"/>
        <w:outlineLvl w:val="0"/>
        <w:rPr>
          <w:rFonts w:ascii="Calibri" w:hAnsi="Calibri"/>
        </w:rPr>
      </w:pPr>
      <w:r>
        <w:rPr>
          <w:rFonts w:ascii="Calibri" w:hAnsi="Calibri"/>
        </w:rPr>
        <w:t>Education 20/</w:t>
      </w:r>
      <w:proofErr w:type="gramStart"/>
      <w:r>
        <w:rPr>
          <w:rFonts w:ascii="Calibri" w:hAnsi="Calibri"/>
        </w:rPr>
        <w:t>20  has</w:t>
      </w:r>
      <w:proofErr w:type="gramEnd"/>
      <w:r>
        <w:rPr>
          <w:rFonts w:ascii="Calibri" w:hAnsi="Calibri"/>
        </w:rPr>
        <w:t xml:space="preserve"> continued its exploration under the title, “citizenship skills” meaning those required of any citizens and considered to be a basic foundation for life changes that are likely to occur including skills needed for entrance into employment and expected for acceptance into postsecondary studies.  </w:t>
      </w:r>
    </w:p>
    <w:p w:rsidR="00381FFE" w:rsidRDefault="00381FFE" w:rsidP="00381FFE">
      <w:pPr>
        <w:spacing w:after="0" w:line="240" w:lineRule="auto"/>
        <w:rPr>
          <w:b/>
          <w:color w:val="000000" w:themeColor="text1"/>
        </w:rPr>
      </w:pPr>
    </w:p>
    <w:p w:rsidR="00381FFE" w:rsidRPr="003E085F" w:rsidRDefault="00381FFE" w:rsidP="00381FFE">
      <w:pPr>
        <w:spacing w:after="0" w:line="240" w:lineRule="auto"/>
        <w:rPr>
          <w:color w:val="000000" w:themeColor="text1"/>
        </w:rPr>
      </w:pPr>
      <w:r>
        <w:rPr>
          <w:color w:val="000000" w:themeColor="text1"/>
        </w:rPr>
        <w:t>Based on our explorations, it is the view of Education 20/20 that:</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The math gap is real</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Low basic skill levels on PEI are an issue</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are dragging down </w:t>
      </w:r>
      <w:r w:rsidRPr="000A0336">
        <w:rPr>
          <w:color w:val="000000" w:themeColor="text1"/>
        </w:rPr>
        <w:t>the economy of P</w:t>
      </w:r>
      <w:r>
        <w:rPr>
          <w:color w:val="000000" w:themeColor="text1"/>
        </w:rPr>
        <w:t>EI</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Basic skill levels are not consistently defined</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Skills thought to have been learned while in high school, are being taught again in Adult Basic Education program at Holland College. </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PEI lacks a master list of recognized basic skills</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PEI lacks a single body to give direction to its education efforts</w:t>
      </w:r>
    </w:p>
    <w:p w:rsidR="00381FFE" w:rsidRDefault="00381FFE" w:rsidP="00381FFE">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381FFE" w:rsidRDefault="00381FFE" w:rsidP="00381FFE">
      <w:pPr>
        <w:suppressAutoHyphens/>
        <w:autoSpaceDN w:val="0"/>
        <w:spacing w:after="0" w:line="240" w:lineRule="auto"/>
        <w:textAlignment w:val="baseline"/>
        <w:rPr>
          <w:color w:val="000000" w:themeColor="text1"/>
        </w:rPr>
      </w:pPr>
    </w:p>
    <w:p w:rsidR="00331768" w:rsidRDefault="00381FFE" w:rsidP="00331768">
      <w:pPr>
        <w:suppressAutoHyphens/>
        <w:autoSpaceDN w:val="0"/>
        <w:spacing w:after="0" w:line="240" w:lineRule="auto"/>
        <w:textAlignment w:val="baseline"/>
        <w:rPr>
          <w:b/>
          <w:color w:val="000000" w:themeColor="text1"/>
        </w:rPr>
      </w:pPr>
      <w:r w:rsidRPr="00E54BBD">
        <w:rPr>
          <w:b/>
          <w:color w:val="000000" w:themeColor="text1"/>
        </w:rPr>
        <w:t>Propos</w:t>
      </w:r>
      <w:r>
        <w:rPr>
          <w:b/>
          <w:color w:val="000000" w:themeColor="text1"/>
        </w:rPr>
        <w:t>al</w:t>
      </w:r>
      <w:r w:rsidRPr="00E54BBD">
        <w:rPr>
          <w:b/>
          <w:color w:val="000000" w:themeColor="text1"/>
        </w:rPr>
        <w:t>:</w:t>
      </w:r>
      <w:r>
        <w:rPr>
          <w:color w:val="000000" w:themeColor="text1"/>
        </w:rPr>
        <w:t xml:space="preserve">   </w:t>
      </w:r>
      <w:r w:rsidRPr="00381FFE">
        <w:rPr>
          <w:b/>
          <w:color w:val="000000" w:themeColor="text1"/>
        </w:rPr>
        <w:t>That Education 20/20 Inc. take steps to</w:t>
      </w:r>
      <w:r w:rsidR="00331768">
        <w:rPr>
          <w:b/>
          <w:color w:val="000000" w:themeColor="text1"/>
        </w:rPr>
        <w:t xml:space="preserve"> </w:t>
      </w:r>
      <w:proofErr w:type="gramStart"/>
      <w:r w:rsidR="00331768">
        <w:rPr>
          <w:b/>
          <w:color w:val="000000" w:themeColor="text1"/>
        </w:rPr>
        <w:t xml:space="preserve">identify </w:t>
      </w:r>
      <w:r w:rsidRPr="00381FFE">
        <w:rPr>
          <w:b/>
          <w:color w:val="000000" w:themeColor="text1"/>
        </w:rPr>
        <w:t xml:space="preserve"> the</w:t>
      </w:r>
      <w:proofErr w:type="gramEnd"/>
      <w:r w:rsidRPr="00381FFE">
        <w:rPr>
          <w:b/>
          <w:color w:val="000000" w:themeColor="text1"/>
        </w:rPr>
        <w:t xml:space="preserve"> nature, extent and causes of the</w:t>
      </w:r>
    </w:p>
    <w:p w:rsidR="00873522" w:rsidRDefault="00331768" w:rsidP="00331768">
      <w:pPr>
        <w:suppressAutoHyphens/>
        <w:autoSpaceDN w:val="0"/>
        <w:spacing w:after="0" w:line="240" w:lineRule="auto"/>
        <w:ind w:left="720"/>
        <w:textAlignment w:val="baseline"/>
      </w:pPr>
      <w:r>
        <w:rPr>
          <w:b/>
          <w:color w:val="000000" w:themeColor="text1"/>
        </w:rPr>
        <w:t xml:space="preserve">     </w:t>
      </w:r>
      <w:r w:rsidR="00381FFE" w:rsidRPr="00381FFE">
        <w:rPr>
          <w:b/>
          <w:color w:val="000000" w:themeColor="text1"/>
        </w:rPr>
        <w:t xml:space="preserve"> </w:t>
      </w:r>
      <w:proofErr w:type="gramStart"/>
      <w:r w:rsidR="00381FFE" w:rsidRPr="00381FFE">
        <w:rPr>
          <w:b/>
          <w:color w:val="000000" w:themeColor="text1"/>
        </w:rPr>
        <w:t>gap</w:t>
      </w:r>
      <w:proofErr w:type="gramEnd"/>
      <w:r>
        <w:rPr>
          <w:b/>
          <w:color w:val="000000" w:themeColor="text1"/>
        </w:rPr>
        <w:t xml:space="preserve"> identified on the CFPEI survey</w:t>
      </w:r>
      <w:r w:rsidR="00381FFE" w:rsidRPr="00381FFE">
        <w:rPr>
          <w:b/>
          <w:color w:val="000000" w:themeColor="text1"/>
        </w:rPr>
        <w:t>.</w:t>
      </w:r>
    </w:p>
    <w:sectPr w:rsidR="00873522" w:rsidSect="00331768">
      <w:headerReference w:type="even" r:id="rId10"/>
      <w:headerReference w:type="default" r:id="rId11"/>
      <w:footerReference w:type="even" r:id="rId12"/>
      <w:footerReference w:type="default" r:id="rId13"/>
      <w:headerReference w:type="first" r:id="rId14"/>
      <w:footerReference w:type="first" r:id="rId15"/>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41D" w:rsidRDefault="00EE341D" w:rsidP="007237E9">
      <w:pPr>
        <w:spacing w:after="0" w:line="240" w:lineRule="auto"/>
      </w:pPr>
      <w:r>
        <w:separator/>
      </w:r>
    </w:p>
  </w:endnote>
  <w:endnote w:type="continuationSeparator" w:id="0">
    <w:p w:rsidR="00EE341D" w:rsidRDefault="00EE341D"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7E9" w:rsidRDefault="007237E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7E9" w:rsidRDefault="007237E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7E9" w:rsidRDefault="007237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41D" w:rsidRDefault="00EE341D" w:rsidP="007237E9">
      <w:pPr>
        <w:spacing w:after="0" w:line="240" w:lineRule="auto"/>
      </w:pPr>
      <w:r>
        <w:separator/>
      </w:r>
    </w:p>
  </w:footnote>
  <w:footnote w:type="continuationSeparator" w:id="0">
    <w:p w:rsidR="00EE341D" w:rsidRDefault="00EE341D" w:rsidP="007237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7E9" w:rsidRDefault="007237E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174100"/>
      <w:docPartObj>
        <w:docPartGallery w:val="Watermarks"/>
        <w:docPartUnique/>
      </w:docPartObj>
    </w:sdtPr>
    <w:sdtEndPr/>
    <w:sdtContent>
      <w:p w:rsidR="007237E9" w:rsidRDefault="00EE341D">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7E9" w:rsidRDefault="007237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FE"/>
    <w:rsid w:val="0030181E"/>
    <w:rsid w:val="00331768"/>
    <w:rsid w:val="0036334B"/>
    <w:rsid w:val="00381FFE"/>
    <w:rsid w:val="007237E9"/>
    <w:rsid w:val="00873522"/>
    <w:rsid w:val="00EE341D"/>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2015-10-05T14:22:00Z</cp:lastPrinted>
  <dcterms:created xsi:type="dcterms:W3CDTF">2015-09-22T17:32:00Z</dcterms:created>
  <dcterms:modified xsi:type="dcterms:W3CDTF">2015-10-05T14:26:00Z</dcterms:modified>
</cp:coreProperties>
</file>