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F46BC5" w14:textId="77777777" w:rsidR="00C256BC" w:rsidRPr="00E66EEC" w:rsidRDefault="000438A1">
      <w:pPr>
        <w:pStyle w:val="Standard"/>
        <w:rPr>
          <w:rFonts w:hint="eastAsia"/>
          <w:b/>
          <w:bCs/>
          <w:i/>
          <w:color w:val="00B050"/>
          <w:sz w:val="56"/>
          <w:szCs w:val="56"/>
        </w:rPr>
      </w:pPr>
      <w:bookmarkStart w:id="0" w:name="_Hlk517287294"/>
      <w:bookmarkStart w:id="1" w:name="_GoBack"/>
      <w:r w:rsidRPr="00E66EEC">
        <w:rPr>
          <w:b/>
          <w:bCs/>
          <w:i/>
          <w:color w:val="00B050"/>
          <w:sz w:val="56"/>
          <w:szCs w:val="56"/>
        </w:rPr>
        <w:t>Éducation Ouverte</w:t>
      </w:r>
    </w:p>
    <w:p w14:paraId="16D72947" w14:textId="77777777" w:rsidR="00C256BC" w:rsidRDefault="000438A1">
      <w:pPr>
        <w:pStyle w:val="Standard"/>
        <w:pBdr>
          <w:bottom w:val="single" w:sz="8" w:space="2" w:color="000000"/>
        </w:pBdr>
        <w:rPr>
          <w:rFonts w:hint="eastAsia"/>
          <w:b/>
          <w:bCs/>
        </w:rPr>
      </w:pPr>
      <w:r>
        <w:rPr>
          <w:b/>
          <w:bCs/>
        </w:rPr>
        <w:t>No.65</w:t>
      </w:r>
    </w:p>
    <w:p w14:paraId="575751EC" w14:textId="77777777" w:rsidR="00C256BC" w:rsidRDefault="00C256BC">
      <w:pPr>
        <w:pStyle w:val="Standard"/>
        <w:rPr>
          <w:rFonts w:hint="eastAsia"/>
          <w:b/>
          <w:bCs/>
        </w:rPr>
      </w:pPr>
    </w:p>
    <w:p w14:paraId="4BEEAF5D" w14:textId="77777777" w:rsidR="00C256BC" w:rsidRDefault="000438A1">
      <w:pPr>
        <w:pStyle w:val="Standard"/>
        <w:rPr>
          <w:rFonts w:hint="eastAsia"/>
          <w:b/>
          <w:bCs/>
        </w:rPr>
      </w:pPr>
      <w:r>
        <w:rPr>
          <w:b/>
          <w:bCs/>
        </w:rPr>
        <w:t xml:space="preserve">                                          Nous devons apprendre ce qui est urgent et ce qui est important,</w:t>
      </w:r>
    </w:p>
    <w:p w14:paraId="1ECA5A74" w14:textId="77777777" w:rsidR="00C256BC" w:rsidRDefault="000438A1">
      <w:pPr>
        <w:pStyle w:val="Standard"/>
        <w:rPr>
          <w:rFonts w:hint="eastAsia"/>
          <w:b/>
          <w:bCs/>
        </w:rPr>
      </w:pPr>
      <w:r>
        <w:rPr>
          <w:b/>
          <w:bCs/>
        </w:rPr>
        <w:tab/>
      </w:r>
      <w:r>
        <w:rPr>
          <w:b/>
          <w:bCs/>
        </w:rPr>
        <w:tab/>
      </w:r>
      <w:r>
        <w:rPr>
          <w:b/>
          <w:bCs/>
        </w:rPr>
        <w:tab/>
        <w:t xml:space="preserve">       </w:t>
      </w:r>
      <w:proofErr w:type="gramStart"/>
      <w:r>
        <w:rPr>
          <w:b/>
          <w:bCs/>
        </w:rPr>
        <w:t>en</w:t>
      </w:r>
      <w:proofErr w:type="gramEnd"/>
      <w:r>
        <w:rPr>
          <w:b/>
          <w:bCs/>
        </w:rPr>
        <w:t xml:space="preserve"> sachant que les deux ne s’accordent pas toujours. - (Mason)</w:t>
      </w:r>
    </w:p>
    <w:p w14:paraId="53FCDB8C" w14:textId="77777777" w:rsidR="00C256BC" w:rsidRDefault="00C256BC">
      <w:pPr>
        <w:pStyle w:val="Standard"/>
        <w:rPr>
          <w:rFonts w:hint="eastAsia"/>
          <w:b/>
          <w:bCs/>
        </w:rPr>
      </w:pPr>
    </w:p>
    <w:p w14:paraId="267F67AC" w14:textId="77777777" w:rsidR="00C256BC" w:rsidRDefault="000438A1">
      <w:pPr>
        <w:pStyle w:val="Standard"/>
        <w:rPr>
          <w:rFonts w:hint="eastAsia"/>
          <w:b/>
          <w:bCs/>
        </w:rPr>
      </w:pPr>
      <w:r>
        <w:rPr>
          <w:b/>
          <w:bCs/>
        </w:rPr>
        <w:t>Un siècle de leadership fédéral</w:t>
      </w:r>
    </w:p>
    <w:p w14:paraId="00B8F4D9" w14:textId="77777777" w:rsidR="00C256BC" w:rsidRDefault="000438A1">
      <w:pPr>
        <w:pStyle w:val="Standard"/>
        <w:rPr>
          <w:rFonts w:hint="eastAsia"/>
        </w:rPr>
      </w:pPr>
      <w:r>
        <w:t>Je reconnais que c’est peut-être prématuré, mais je voudrais féliciter le Gouvernement du Canada pour un siècle de leadership et de soutien financier à la formation technique. Au tournant du siècle dernier, William Lyon MacKenzie, alors ministre du Travail, mettait sur pieds la Commission Royale sur la Formation Industrielle et l’Éducation Technique; la Commission présenta son rapport en 1913, mais le Canada était alors déjà en guerre et le suivi de ce rapport fut retardé, à l’exception d’un soutien temporaire à la formation en agriculture.</w:t>
      </w:r>
    </w:p>
    <w:p w14:paraId="5295E79F" w14:textId="77777777" w:rsidR="00C256BC" w:rsidRDefault="000438A1">
      <w:pPr>
        <w:pStyle w:val="Standard"/>
        <w:rPr>
          <w:rFonts w:hint="eastAsia"/>
        </w:rPr>
      </w:pPr>
      <w:r>
        <w:t xml:space="preserve">La Loi prévoyait des fonds pour la formation des 14 ans et plus, mais non pour des crédits scolaires. Cette formation devait se réaliser par l’entremise de comités consultatifs au sein des gouvernements fédéral et provinciaux. On préférait alors « avoir l’appui de mille hommes et femmes engagés directement dans la planification de programmes plutôt que dix mille hommes et femmes impliqués indirectement dans les décisions du </w:t>
      </w:r>
      <w:proofErr w:type="gramStart"/>
      <w:r>
        <w:t>Ministère»</w:t>
      </w:r>
      <w:proofErr w:type="gramEnd"/>
      <w:r>
        <w:t>. Les inscriptions augmentaient de façon constante et en 1929 étaient au nombre de 45,617 le jour et de 73,877 aux cours du soir; les étudiants étaient pris en charge par environs 200 municipalités. Le Gouvernement du Canada a joué un rôle prépondérant dans la formation pour l’emploi depuis ce temps-là.</w:t>
      </w:r>
    </w:p>
    <w:p w14:paraId="5BE3A0D8" w14:textId="77777777" w:rsidR="00C256BC" w:rsidRDefault="000438A1">
      <w:pPr>
        <w:pStyle w:val="Standard"/>
        <w:rPr>
          <w:rFonts w:hint="eastAsia"/>
        </w:rPr>
      </w:pPr>
      <w:r>
        <w:t xml:space="preserve">L’intervention du gouvernement fédéral en éducation se justifiait par: a) le besoin d’un nombre </w:t>
      </w:r>
      <w:proofErr w:type="gramStart"/>
      <w:r>
        <w:t>suffisant  de</w:t>
      </w:r>
      <w:proofErr w:type="gramEnd"/>
      <w:r>
        <w:t xml:space="preserve"> travailleurs qualifiés pour une nation industrialisée, b)  l’offre de chances égales en éducation et c)  les coûts élevés des programmes et des infrastructures pour les autorités locales et provinciales.</w:t>
      </w:r>
    </w:p>
    <w:p w14:paraId="469E5ADB" w14:textId="77777777" w:rsidR="00C256BC" w:rsidRDefault="000438A1">
      <w:pPr>
        <w:pStyle w:val="Standard"/>
        <w:rPr>
          <w:rFonts w:hint="eastAsia"/>
        </w:rPr>
      </w:pPr>
      <w:r>
        <w:t>Les lectrices et lecteurs plus âgés se souviendront peut-être de la participation financière majeure des années 1960 de la part du gouvernement fédéral qui donnait lieu au développement de nos établissements d’enseignement secondaire général et de nos collèges communautaires.</w:t>
      </w:r>
    </w:p>
    <w:p w14:paraId="44105BF9" w14:textId="77777777" w:rsidR="00C256BC" w:rsidRDefault="000438A1">
      <w:pPr>
        <w:pStyle w:val="Standard"/>
        <w:rPr>
          <w:rFonts w:hint="eastAsia"/>
          <w:b/>
          <w:bCs/>
        </w:rPr>
      </w:pPr>
      <w:r>
        <w:rPr>
          <w:b/>
          <w:bCs/>
        </w:rPr>
        <w:t>Le Prix en Éducation attribué à Bluefield</w:t>
      </w:r>
    </w:p>
    <w:p w14:paraId="42A5462F" w14:textId="77777777" w:rsidR="00C256BC" w:rsidRDefault="000438A1">
      <w:pPr>
        <w:pStyle w:val="Standard"/>
        <w:rPr>
          <w:rFonts w:hint="eastAsia"/>
        </w:rPr>
      </w:pPr>
      <w:r>
        <w:t xml:space="preserve">L’école Bluefield High </w:t>
      </w:r>
      <w:proofErr w:type="spellStart"/>
      <w:r>
        <w:t>School</w:t>
      </w:r>
      <w:proofErr w:type="spellEnd"/>
      <w:r>
        <w:t xml:space="preserve"> a été choisie comme récipiendaire du Prix d’Excellence en Éducation de l’année par Éducation 20/20 Inc. Cette récompense est une reconnaissance du niveau élevé de collaboration parmi les enseignants, les élèves et la communauté en général dans l’organisation de l’activité</w:t>
      </w:r>
      <w:proofErr w:type="gramStart"/>
      <w:r>
        <w:t xml:space="preserve"> «Ag</w:t>
      </w:r>
      <w:proofErr w:type="gramEnd"/>
      <w:r>
        <w:t xml:space="preserve"> for Life» (Agriculture pour la Vie) qui permettait  de célébrer la communauté et ses producteurs.</w:t>
      </w:r>
    </w:p>
    <w:p w14:paraId="59825409" w14:textId="77777777" w:rsidR="00C256BC" w:rsidRDefault="000438A1">
      <w:pPr>
        <w:pStyle w:val="Standard"/>
        <w:rPr>
          <w:rFonts w:hint="eastAsia"/>
        </w:rPr>
      </w:pPr>
      <w:r>
        <w:t xml:space="preserve">Cette activité était une initiative de  Jason Campbell, enseignant en agriculture à Bluefield High, qui, de concert avec deux collègues enseignants, Emily Perry et Terry </w:t>
      </w:r>
      <w:proofErr w:type="spellStart"/>
      <w:r>
        <w:t>Nabuurs</w:t>
      </w:r>
      <w:proofErr w:type="spellEnd"/>
      <w:r>
        <w:t>, a organisé cette journée «Ag for Life». Ce projet a suscité la participation de trois groupes d’élèves (Agriculture, Hospitalité et Art Culinaire</w:t>
      </w:r>
      <w:proofErr w:type="gramStart"/>
      <w:r>
        <w:t>),  douze</w:t>
      </w:r>
      <w:proofErr w:type="gramEnd"/>
      <w:r>
        <w:t xml:space="preserve"> présentations suivies de sessions d’échanges, 21 expositions ainsi qu’un repas en soirée. Au-delà de 200 personnes participaient au repas préparé par les élèves en Art Culinaire.</w:t>
      </w:r>
    </w:p>
    <w:p w14:paraId="77DECABD" w14:textId="77777777" w:rsidR="00C256BC" w:rsidRDefault="000438A1">
      <w:pPr>
        <w:pStyle w:val="Standard"/>
        <w:rPr>
          <w:rFonts w:hint="eastAsia"/>
        </w:rPr>
      </w:pPr>
      <w:r>
        <w:t>En annonçant le Prix, le Dr. Glendenning, président d’Éducation 20/</w:t>
      </w:r>
      <w:proofErr w:type="gramStart"/>
      <w:r>
        <w:t>20 ,</w:t>
      </w:r>
      <w:proofErr w:type="gramEnd"/>
      <w:r>
        <w:t xml:space="preserve"> remercia Le Dr. Régis et Joan Duffy pour leur intérêt continu et leur soutien pour l’éducation à l’Î.-P.-É..</w:t>
      </w:r>
    </w:p>
    <w:p w14:paraId="39149CF6" w14:textId="77777777" w:rsidR="00C256BC" w:rsidRDefault="00C256BC">
      <w:pPr>
        <w:pStyle w:val="Standard"/>
        <w:rPr>
          <w:rFonts w:hint="eastAsia"/>
        </w:rPr>
      </w:pPr>
    </w:p>
    <w:p w14:paraId="66D65D36" w14:textId="77777777" w:rsidR="00C256BC" w:rsidRDefault="000438A1">
      <w:pPr>
        <w:pStyle w:val="Standard"/>
        <w:rPr>
          <w:rFonts w:hint="eastAsia"/>
        </w:rPr>
      </w:pPr>
      <w:r>
        <w:t>Don Glendenning, éditeur</w:t>
      </w:r>
    </w:p>
    <w:p w14:paraId="48C2C446" w14:textId="77777777" w:rsidR="00C256BC" w:rsidRDefault="00C256BC">
      <w:pPr>
        <w:pStyle w:val="Standard"/>
        <w:rPr>
          <w:rFonts w:hint="eastAsia"/>
        </w:rPr>
      </w:pPr>
    </w:p>
    <w:p w14:paraId="72F07B3B" w14:textId="77777777" w:rsidR="00C256BC" w:rsidRDefault="00C256BC">
      <w:pPr>
        <w:pStyle w:val="Standard"/>
        <w:rPr>
          <w:rFonts w:hint="eastAsia"/>
        </w:rPr>
      </w:pPr>
    </w:p>
    <w:bookmarkEnd w:id="0"/>
    <w:bookmarkEnd w:id="1"/>
    <w:p w14:paraId="0EB4836B" w14:textId="77777777" w:rsidR="00E66EEC" w:rsidRDefault="00E66EEC">
      <w:pPr>
        <w:pStyle w:val="Standard"/>
        <w:rPr>
          <w:rFonts w:hint="eastAsia"/>
        </w:rPr>
      </w:pPr>
    </w:p>
    <w:sectPr w:rsidR="00E66EEC">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9B798" w14:textId="77777777" w:rsidR="00CD319D" w:rsidRDefault="00CD319D">
      <w:pPr>
        <w:rPr>
          <w:rFonts w:hint="eastAsia"/>
        </w:rPr>
      </w:pPr>
      <w:r>
        <w:separator/>
      </w:r>
    </w:p>
  </w:endnote>
  <w:endnote w:type="continuationSeparator" w:id="0">
    <w:p w14:paraId="11E8BFB6" w14:textId="77777777" w:rsidR="00CD319D" w:rsidRDefault="00CD31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1A7E7" w14:textId="77777777" w:rsidR="00CD319D" w:rsidRDefault="00CD319D">
      <w:pPr>
        <w:rPr>
          <w:rFonts w:hint="eastAsia"/>
        </w:rPr>
      </w:pPr>
      <w:r>
        <w:rPr>
          <w:color w:val="000000"/>
        </w:rPr>
        <w:separator/>
      </w:r>
    </w:p>
  </w:footnote>
  <w:footnote w:type="continuationSeparator" w:id="0">
    <w:p w14:paraId="05CEDCDC" w14:textId="77777777" w:rsidR="00CD319D" w:rsidRDefault="00CD31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6BC"/>
    <w:rsid w:val="000438A1"/>
    <w:rsid w:val="0035636E"/>
    <w:rsid w:val="00BA146A"/>
    <w:rsid w:val="00C16568"/>
    <w:rsid w:val="00C256BC"/>
    <w:rsid w:val="00CD319D"/>
    <w:rsid w:val="00DC5FB7"/>
    <w:rsid w:val="00E66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AF1C6"/>
  <w15:docId w15:val="{9AE65550-7DB9-4B63-9550-4DE837C2C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SimSun" w:hAnsi="Liberation Serif" w:cs="Arial"/>
        <w:kern w:val="3"/>
        <w:sz w:val="24"/>
        <w:szCs w:val="24"/>
        <w:lang w:val="fr-CA" w:eastAsia="zh-CN" w:bidi="hi-IN"/>
      </w:rPr>
    </w:rPrDefault>
    <w:pPrDefault>
      <w:pPr>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dc:creator>
  <cp:lastModifiedBy>Don Glendenning</cp:lastModifiedBy>
  <cp:revision>6</cp:revision>
  <cp:lastPrinted>2018-06-18T14:48:00Z</cp:lastPrinted>
  <dcterms:created xsi:type="dcterms:W3CDTF">2018-06-18T23:59:00Z</dcterms:created>
  <dcterms:modified xsi:type="dcterms:W3CDTF">2018-06-20T23:02:00Z</dcterms:modified>
</cp:coreProperties>
</file>