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02BAC75" w:rsidR="002F4783" w:rsidRDefault="00823C87" w:rsidP="0074275A">
      <w:pPr>
        <w:pStyle w:val="Standard"/>
        <w:pBdr>
          <w:bottom w:val="single" w:sz="12" w:space="1" w:color="00000A"/>
        </w:pBdr>
      </w:pPr>
      <w:r>
        <w:rPr>
          <w:lang w:val="en-US"/>
        </w:rPr>
        <w:t xml:space="preserve">No. </w:t>
      </w:r>
      <w:r w:rsidR="00F16149">
        <w:rPr>
          <w:lang w:val="en-US"/>
        </w:rPr>
        <w:t>8</w:t>
      </w:r>
      <w:r w:rsidR="004C4C73">
        <w:rPr>
          <w:lang w:val="en-US"/>
        </w:rPr>
        <w:t>6</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1F63B8">
        <w:rPr>
          <w:lang w:val="en-US"/>
        </w:rPr>
        <w:t xml:space="preserve">February </w:t>
      </w:r>
      <w:r w:rsidR="002221A0">
        <w:rPr>
          <w:lang w:val="en-US"/>
        </w:rPr>
        <w:t>20,</w:t>
      </w:r>
      <w:r w:rsidR="00336E19" w:rsidRPr="001261C4">
        <w:rPr>
          <w:lang w:val="fr-CA"/>
        </w:rPr>
        <w:t xml:space="preserve"> </w:t>
      </w:r>
      <w:r w:rsidR="007639CE">
        <w:rPr>
          <w:lang w:val="en-US"/>
        </w:rPr>
        <w:t>20</w:t>
      </w:r>
      <w:r w:rsidR="001D622A">
        <w:rPr>
          <w:lang w:val="en-US"/>
        </w:rPr>
        <w:t>20</w:t>
      </w:r>
    </w:p>
    <w:p w14:paraId="47B0ECD4" w14:textId="7DF2C380" w:rsidR="00B11743" w:rsidRPr="00CA5F81" w:rsidRDefault="004A4A98" w:rsidP="00DC32F3">
      <w:pPr>
        <w:suppressAutoHyphens w:val="0"/>
        <w:autoSpaceDN/>
        <w:spacing w:line="276" w:lineRule="auto"/>
        <w:ind w:left="360"/>
        <w:contextualSpacing/>
        <w:jc w:val="center"/>
        <w:textAlignment w:val="auto"/>
        <w:rPr>
          <w:b/>
          <w:i/>
          <w:sz w:val="18"/>
          <w:szCs w:val="18"/>
          <w:lang w:val="en-US"/>
        </w:rPr>
      </w:pPr>
      <w:r>
        <w:rPr>
          <w:b/>
          <w:i/>
          <w:sz w:val="18"/>
          <w:szCs w:val="18"/>
          <w:lang w:val="en-US"/>
        </w:rPr>
        <w:t>When schools and ministries are managed well, learning happens-</w:t>
      </w:r>
      <w:r w:rsidR="00D45988">
        <w:rPr>
          <w:b/>
          <w:i/>
          <w:sz w:val="18"/>
          <w:szCs w:val="18"/>
          <w:lang w:val="en-US"/>
        </w:rPr>
        <w:t>World Bank</w:t>
      </w:r>
    </w:p>
    <w:p w14:paraId="1763A511" w14:textId="77777777"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pPr>
    </w:p>
    <w:p w14:paraId="745C801B" w14:textId="697A6438"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sectPr w:rsidR="003874C4" w:rsidRPr="005A3D53" w:rsidSect="00DC32F3">
          <w:type w:val="continuous"/>
          <w:pgSz w:w="12240" w:h="15840"/>
          <w:pgMar w:top="677" w:right="1440" w:bottom="1138" w:left="1440" w:header="720" w:footer="720" w:gutter="0"/>
          <w:cols w:space="720"/>
        </w:sectPr>
      </w:pPr>
    </w:p>
    <w:p w14:paraId="0F8EED14" w14:textId="483DC677" w:rsidR="00C14436" w:rsidRDefault="00C14436" w:rsidP="00C14436">
      <w:pPr>
        <w:shd w:val="clear" w:color="auto" w:fill="FFFFFF"/>
        <w:suppressAutoHyphens w:val="0"/>
        <w:autoSpaceDN/>
        <w:ind w:right="16" w:firstLine="360"/>
        <w:contextualSpacing/>
        <w:jc w:val="center"/>
        <w:textAlignment w:val="auto"/>
        <w:rPr>
          <w:rFonts w:ascii="Arial Black" w:hAnsi="Arial Black" w:cstheme="minorHAnsi"/>
          <w:b/>
          <w:sz w:val="22"/>
          <w:szCs w:val="22"/>
        </w:rPr>
      </w:pPr>
      <w:r>
        <w:rPr>
          <w:rFonts w:ascii="Arial Black" w:hAnsi="Arial Black" w:cstheme="minorHAnsi"/>
          <w:b/>
          <w:color w:val="C00000"/>
          <w:sz w:val="22"/>
          <w:szCs w:val="22"/>
        </w:rPr>
        <w:t>GRADE LEVLS</w:t>
      </w:r>
    </w:p>
    <w:p w14:paraId="6C9D8D9D" w14:textId="7929E4EA"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terms of level of performance on  the same  skill, differences in performance result from:</w:t>
      </w:r>
    </w:p>
    <w:p w14:paraId="734EB6DE"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Consistency of performance from skill to skill</w:t>
      </w:r>
    </w:p>
    <w:p w14:paraId="2DCA6626"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Extent of help needed</w:t>
      </w:r>
    </w:p>
    <w:p w14:paraId="48BD9140"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Time to complete task</w:t>
      </w:r>
    </w:p>
    <w:p w14:paraId="2B7A2F19"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Fluency with math facts</w:t>
      </w:r>
    </w:p>
    <w:p w14:paraId="096DACAD"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Comfort level with discussion of own performance</w:t>
      </w:r>
    </w:p>
    <w:p w14:paraId="4F860D1D" w14:textId="77777777" w:rsidR="00C14436" w:rsidRP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Ability to solve more complex problems</w:t>
      </w:r>
    </w:p>
    <w:p w14:paraId="2C3EBD82" w14:textId="64B1E813" w:rsidR="00C14436" w:rsidRDefault="00C14436" w:rsidP="00C14436">
      <w:pPr>
        <w:shd w:val="clear" w:color="auto" w:fill="FFFFFF"/>
        <w:suppressAutoHyphens w:val="0"/>
        <w:autoSpaceDN/>
        <w:ind w:right="16"/>
        <w:contextualSpacing/>
        <w:textAlignment w:val="auto"/>
        <w:rPr>
          <w:rFonts w:ascii="Arial Black" w:hAnsi="Arial Black" w:cstheme="minorHAnsi"/>
          <w:b/>
          <w:sz w:val="22"/>
          <w:szCs w:val="22"/>
        </w:rPr>
      </w:pPr>
      <w:r w:rsidRPr="00C14436">
        <w:rPr>
          <w:rFonts w:ascii="Arial Black" w:hAnsi="Arial Black" w:cstheme="minorHAnsi"/>
          <w:b/>
          <w:sz w:val="22"/>
          <w:szCs w:val="22"/>
        </w:rPr>
        <w:t>•</w:t>
      </w:r>
      <w:r w:rsidRPr="00C14436">
        <w:rPr>
          <w:rFonts w:ascii="Arial Black" w:hAnsi="Arial Black" w:cstheme="minorHAnsi"/>
          <w:b/>
          <w:sz w:val="22"/>
          <w:szCs w:val="22"/>
        </w:rPr>
        <w:tab/>
        <w:t>Accuracy of results</w:t>
      </w:r>
    </w:p>
    <w:p w14:paraId="502CD267" w14:textId="77777777" w:rsidR="00C14436" w:rsidRDefault="00C14436" w:rsidP="00366F86">
      <w:pPr>
        <w:shd w:val="clear" w:color="auto" w:fill="FFFFFF"/>
        <w:suppressAutoHyphens w:val="0"/>
        <w:autoSpaceDN/>
        <w:ind w:right="16"/>
        <w:contextualSpacing/>
        <w:textAlignment w:val="auto"/>
        <w:rPr>
          <w:rFonts w:ascii="Arial Black" w:hAnsi="Arial Black" w:cstheme="minorHAnsi"/>
          <w:b/>
          <w:sz w:val="22"/>
          <w:szCs w:val="22"/>
        </w:rPr>
      </w:pPr>
    </w:p>
    <w:p w14:paraId="633F70AD" w14:textId="77777777" w:rsidR="00C14436" w:rsidRDefault="00C14436" w:rsidP="00366F86">
      <w:pPr>
        <w:shd w:val="clear" w:color="auto" w:fill="FFFFFF"/>
        <w:suppressAutoHyphens w:val="0"/>
        <w:autoSpaceDN/>
        <w:ind w:right="16"/>
        <w:contextualSpacing/>
        <w:textAlignment w:val="auto"/>
        <w:rPr>
          <w:rFonts w:ascii="Arial Black" w:hAnsi="Arial Black" w:cstheme="minorHAnsi"/>
          <w:b/>
          <w:sz w:val="22"/>
          <w:szCs w:val="22"/>
        </w:rPr>
      </w:pPr>
    </w:p>
    <w:p w14:paraId="0ECC30D5" w14:textId="77777777" w:rsidR="00C14436" w:rsidRDefault="00C14436" w:rsidP="00366F86">
      <w:pPr>
        <w:shd w:val="clear" w:color="auto" w:fill="FFFFFF"/>
        <w:suppressAutoHyphens w:val="0"/>
        <w:autoSpaceDN/>
        <w:ind w:right="16"/>
        <w:contextualSpacing/>
        <w:textAlignment w:val="auto"/>
        <w:rPr>
          <w:rFonts w:ascii="Arial Black" w:hAnsi="Arial Black" w:cstheme="minorHAnsi"/>
          <w:b/>
          <w:sz w:val="22"/>
          <w:szCs w:val="22"/>
        </w:rPr>
      </w:pPr>
    </w:p>
    <w:p w14:paraId="2AFED479" w14:textId="13D28886" w:rsidR="00366F86" w:rsidRPr="00366F86" w:rsidRDefault="007D320D" w:rsidP="00366F86">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The switch is on from student grades to appraisal of l</w:t>
      </w:r>
      <w:r w:rsidR="0020600A">
        <w:rPr>
          <w:rFonts w:ascii="Arial Black" w:hAnsi="Arial Black" w:cstheme="minorHAnsi"/>
          <w:b/>
          <w:sz w:val="22"/>
          <w:szCs w:val="22"/>
        </w:rPr>
        <w:t>e</w:t>
      </w:r>
      <w:r>
        <w:rPr>
          <w:rFonts w:ascii="Arial Black" w:hAnsi="Arial Black" w:cstheme="minorHAnsi"/>
          <w:b/>
          <w:sz w:val="22"/>
          <w:szCs w:val="22"/>
        </w:rPr>
        <w:t>arne</w:t>
      </w:r>
      <w:r w:rsidR="0020600A">
        <w:rPr>
          <w:rFonts w:ascii="Arial Black" w:hAnsi="Arial Black" w:cstheme="minorHAnsi"/>
          <w:b/>
          <w:sz w:val="22"/>
          <w:szCs w:val="22"/>
        </w:rPr>
        <w:t>r</w:t>
      </w:r>
      <w:r>
        <w:rPr>
          <w:rFonts w:ascii="Arial Black" w:hAnsi="Arial Black" w:cstheme="minorHAnsi"/>
          <w:b/>
          <w:sz w:val="22"/>
          <w:szCs w:val="22"/>
        </w:rPr>
        <w:t xml:space="preserve"> </w:t>
      </w:r>
      <w:proofErr w:type="spellStart"/>
      <w:r>
        <w:rPr>
          <w:rFonts w:ascii="Arial Black" w:hAnsi="Arial Black" w:cstheme="minorHAnsi"/>
          <w:b/>
          <w:sz w:val="22"/>
          <w:szCs w:val="22"/>
        </w:rPr>
        <w:t>pe</w:t>
      </w:r>
      <w:r w:rsidR="0020600A">
        <w:rPr>
          <w:rFonts w:ascii="Arial Black" w:hAnsi="Arial Black" w:cstheme="minorHAnsi"/>
          <w:b/>
          <w:sz w:val="22"/>
          <w:szCs w:val="22"/>
        </w:rPr>
        <w:t>r</w:t>
      </w:r>
      <w:r>
        <w:rPr>
          <w:rFonts w:ascii="Arial Black" w:hAnsi="Arial Black" w:cstheme="minorHAnsi"/>
          <w:b/>
          <w:sz w:val="22"/>
          <w:szCs w:val="22"/>
        </w:rPr>
        <w:t>ormance</w:t>
      </w:r>
      <w:proofErr w:type="spellEnd"/>
      <w:r>
        <w:rPr>
          <w:rFonts w:ascii="Arial Black" w:hAnsi="Arial Black" w:cstheme="minorHAnsi"/>
          <w:b/>
          <w:sz w:val="22"/>
          <w:szCs w:val="22"/>
        </w:rPr>
        <w:t xml:space="preserve">. According to recent reading and conversations, performance levels on a subject result from: </w:t>
      </w:r>
    </w:p>
    <w:p w14:paraId="6F235C74" w14:textId="41E6013A" w:rsidR="00936AF0" w:rsidRPr="00366F86" w:rsidRDefault="00936AF0" w:rsidP="002D54E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366F86">
        <w:rPr>
          <w:rFonts w:ascii="Arial Black" w:hAnsi="Arial Black" w:cstheme="minorHAnsi"/>
          <w:b/>
          <w:sz w:val="22"/>
          <w:szCs w:val="22"/>
        </w:rPr>
        <w:t>N</w:t>
      </w:r>
      <w:r w:rsidR="0020600A">
        <w:rPr>
          <w:rFonts w:ascii="Arial Black" w:hAnsi="Arial Black" w:cstheme="minorHAnsi"/>
          <w:b/>
          <w:sz w:val="22"/>
          <w:szCs w:val="22"/>
        </w:rPr>
        <w:t xml:space="preserve">umber </w:t>
      </w:r>
      <w:r w:rsidRPr="00366F86">
        <w:rPr>
          <w:rFonts w:ascii="Arial Black" w:hAnsi="Arial Black" w:cstheme="minorHAnsi"/>
          <w:b/>
          <w:sz w:val="22"/>
          <w:szCs w:val="22"/>
        </w:rPr>
        <w:t xml:space="preserve">of competencies </w:t>
      </w:r>
      <w:r w:rsidR="00DF2526">
        <w:rPr>
          <w:rFonts w:ascii="Arial Black" w:hAnsi="Arial Black" w:cstheme="minorHAnsi"/>
          <w:b/>
          <w:sz w:val="22"/>
          <w:szCs w:val="22"/>
        </w:rPr>
        <w:t>m</w:t>
      </w:r>
      <w:r w:rsidR="0020600A">
        <w:rPr>
          <w:rFonts w:ascii="Arial Black" w:hAnsi="Arial Black" w:cstheme="minorHAnsi"/>
          <w:b/>
          <w:sz w:val="22"/>
          <w:szCs w:val="22"/>
        </w:rPr>
        <w:t>a</w:t>
      </w:r>
      <w:r w:rsidR="00DF2526">
        <w:rPr>
          <w:rFonts w:ascii="Arial Black" w:hAnsi="Arial Black" w:cstheme="minorHAnsi"/>
          <w:b/>
          <w:sz w:val="22"/>
          <w:szCs w:val="22"/>
        </w:rPr>
        <w:t>stered</w:t>
      </w:r>
    </w:p>
    <w:p w14:paraId="2D20C025" w14:textId="5891B263" w:rsidR="00936AF0" w:rsidRPr="005A3D53" w:rsidRDefault="00936AF0" w:rsidP="000C180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5A3D53">
        <w:rPr>
          <w:rFonts w:ascii="Arial Black" w:hAnsi="Arial Black" w:cstheme="minorHAnsi"/>
          <w:b/>
          <w:sz w:val="22"/>
          <w:szCs w:val="22"/>
        </w:rPr>
        <w:t xml:space="preserve">Range of competencies </w:t>
      </w:r>
      <w:r w:rsidR="00DF2526">
        <w:rPr>
          <w:rFonts w:ascii="Arial Black" w:hAnsi="Arial Black" w:cstheme="minorHAnsi"/>
          <w:b/>
          <w:sz w:val="22"/>
          <w:szCs w:val="22"/>
        </w:rPr>
        <w:t>demonstrated</w:t>
      </w:r>
    </w:p>
    <w:p w14:paraId="269D255F" w14:textId="68D2121C" w:rsidR="00936AF0" w:rsidRPr="005A3D53" w:rsidRDefault="00DF2526" w:rsidP="000C180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 xml:space="preserve">Nature an </w:t>
      </w:r>
      <w:proofErr w:type="gramStart"/>
      <w:r>
        <w:rPr>
          <w:rFonts w:ascii="Arial Black" w:hAnsi="Arial Black" w:cstheme="minorHAnsi"/>
          <w:b/>
          <w:sz w:val="22"/>
          <w:szCs w:val="22"/>
        </w:rPr>
        <w:t>extent  clustering</w:t>
      </w:r>
      <w:proofErr w:type="gramEnd"/>
      <w:r>
        <w:rPr>
          <w:rFonts w:ascii="Arial Black" w:hAnsi="Arial Black" w:cstheme="minorHAnsi"/>
          <w:b/>
          <w:sz w:val="22"/>
          <w:szCs w:val="22"/>
        </w:rPr>
        <w:t xml:space="preserve"> of competencies</w:t>
      </w:r>
      <w:r w:rsidR="00936AF0" w:rsidRPr="005A3D53">
        <w:rPr>
          <w:rFonts w:ascii="Arial Black" w:hAnsi="Arial Black" w:cstheme="minorHAnsi"/>
          <w:b/>
          <w:sz w:val="22"/>
          <w:szCs w:val="22"/>
        </w:rPr>
        <w:t xml:space="preserve"> </w:t>
      </w:r>
    </w:p>
    <w:p w14:paraId="76AEF928" w14:textId="5B1EFE43" w:rsidR="00936AF0" w:rsidRPr="005A3D53" w:rsidRDefault="00936AF0" w:rsidP="00936AF0">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5A3D53">
        <w:rPr>
          <w:rFonts w:ascii="Arial Black" w:hAnsi="Arial Black" w:cstheme="minorHAnsi"/>
          <w:b/>
          <w:sz w:val="22"/>
          <w:szCs w:val="22"/>
        </w:rPr>
        <w:t>Performance levels</w:t>
      </w:r>
      <w:r w:rsidR="00DF2526">
        <w:rPr>
          <w:rFonts w:ascii="Arial Black" w:hAnsi="Arial Black" w:cstheme="minorHAnsi"/>
          <w:b/>
          <w:sz w:val="22"/>
          <w:szCs w:val="22"/>
        </w:rPr>
        <w:t xml:space="preserve"> on competencies demonstrated.</w:t>
      </w:r>
    </w:p>
    <w:p w14:paraId="65FCD06C" w14:textId="77777777" w:rsidR="00936AF0" w:rsidRPr="005A3D53" w:rsidRDefault="00936AF0" w:rsidP="00936AF0">
      <w:pPr>
        <w:pStyle w:val="ListParagraph"/>
        <w:shd w:val="clear" w:color="auto" w:fill="FFFFFF"/>
        <w:suppressAutoHyphens w:val="0"/>
        <w:autoSpaceDN/>
        <w:ind w:left="789" w:right="16"/>
        <w:contextualSpacing/>
        <w:textAlignment w:val="auto"/>
        <w:rPr>
          <w:rFonts w:ascii="Arial Black" w:hAnsi="Arial Black" w:cstheme="minorHAnsi"/>
          <w:b/>
          <w:sz w:val="22"/>
          <w:szCs w:val="22"/>
        </w:rPr>
      </w:pPr>
    </w:p>
    <w:p w14:paraId="60F3F010" w14:textId="77777777" w:rsidR="00094740" w:rsidRPr="003044BD" w:rsidRDefault="00094740" w:rsidP="0082351A">
      <w:pPr>
        <w:shd w:val="clear" w:color="auto" w:fill="FFFFFF"/>
        <w:suppressAutoHyphens w:val="0"/>
        <w:autoSpaceDN/>
        <w:ind w:right="16"/>
        <w:contextualSpacing/>
        <w:textAlignment w:val="auto"/>
        <w:rPr>
          <w:rFonts w:ascii="Arial Black" w:hAnsi="Arial Black" w:cstheme="minorHAnsi"/>
          <w:b/>
          <w:sz w:val="22"/>
          <w:szCs w:val="22"/>
        </w:rPr>
      </w:pPr>
    </w:p>
    <w:p w14:paraId="73C50022" w14:textId="3EADABCB" w:rsidR="003044BD" w:rsidRPr="003044BD" w:rsidRDefault="00DF2526" w:rsidP="001C22BC">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 xml:space="preserve">It </w:t>
      </w:r>
      <w:proofErr w:type="gramStart"/>
      <w:r>
        <w:rPr>
          <w:rFonts w:ascii="Arial Black" w:hAnsi="Arial Black" w:cstheme="minorHAnsi"/>
          <w:b/>
          <w:sz w:val="22"/>
          <w:szCs w:val="22"/>
        </w:rPr>
        <w:t>shoul</w:t>
      </w:r>
      <w:r w:rsidR="0020600A">
        <w:rPr>
          <w:rFonts w:ascii="Arial Black" w:hAnsi="Arial Black" w:cstheme="minorHAnsi"/>
          <w:b/>
          <w:sz w:val="22"/>
          <w:szCs w:val="22"/>
        </w:rPr>
        <w:t>d</w:t>
      </w:r>
      <w:r>
        <w:rPr>
          <w:rFonts w:ascii="Arial Black" w:hAnsi="Arial Black" w:cstheme="minorHAnsi"/>
          <w:b/>
          <w:sz w:val="22"/>
          <w:szCs w:val="22"/>
        </w:rPr>
        <w:t xml:space="preserve">  be</w:t>
      </w:r>
      <w:proofErr w:type="gramEnd"/>
      <w:r>
        <w:rPr>
          <w:rFonts w:ascii="Arial Black" w:hAnsi="Arial Black" w:cstheme="minorHAnsi"/>
          <w:b/>
          <w:sz w:val="22"/>
          <w:szCs w:val="22"/>
        </w:rPr>
        <w:t xml:space="preserve"> noted that dynamic rating scales include a significant judgement component; a characteristic that some student record </w:t>
      </w:r>
      <w:r>
        <w:rPr>
          <w:rFonts w:ascii="Arial Black" w:hAnsi="Arial Black" w:cstheme="minorHAnsi"/>
          <w:b/>
          <w:sz w:val="22"/>
          <w:szCs w:val="22"/>
        </w:rPr>
        <w:t xml:space="preserve">systems </w:t>
      </w:r>
      <w:r w:rsidR="001C22BC">
        <w:rPr>
          <w:rFonts w:ascii="Arial Black" w:hAnsi="Arial Black" w:cstheme="minorHAnsi"/>
          <w:b/>
          <w:sz w:val="22"/>
          <w:szCs w:val="22"/>
        </w:rPr>
        <w:t>are unable to accommodate.</w:t>
      </w:r>
    </w:p>
    <w:p w14:paraId="205AED55" w14:textId="77777777" w:rsidR="00094740" w:rsidRDefault="00094740" w:rsidP="005A3D5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164F4E7B" w14:textId="77777777" w:rsidR="00094740" w:rsidRDefault="00094740" w:rsidP="005A3D5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101E0044" w14:textId="15F2F32F" w:rsidR="008F63EE" w:rsidRDefault="00094740" w:rsidP="005A3D5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CALCULUS</w:t>
      </w:r>
    </w:p>
    <w:p w14:paraId="4848B7C2" w14:textId="0098D853" w:rsidR="00922B3A" w:rsidRPr="00922B3A" w:rsidRDefault="00922B3A" w:rsidP="00101DD7">
      <w:pPr>
        <w:shd w:val="clear" w:color="auto" w:fill="FFFFFF"/>
        <w:suppressAutoHyphens w:val="0"/>
        <w:autoSpaceDN/>
        <w:ind w:right="16"/>
        <w:contextualSpacing/>
        <w:jc w:val="both"/>
        <w:textAlignment w:val="auto"/>
        <w:rPr>
          <w:rFonts w:ascii="Arial Black" w:hAnsi="Arial Black" w:cstheme="minorHAnsi"/>
          <w:b/>
          <w:sz w:val="22"/>
          <w:szCs w:val="22"/>
        </w:rPr>
      </w:pPr>
      <w:r w:rsidRPr="00B97E65">
        <w:rPr>
          <w:rFonts w:ascii="Arial Black" w:hAnsi="Arial Black" w:cstheme="minorHAnsi"/>
          <w:b/>
          <w:color w:val="C00000"/>
          <w:sz w:val="22"/>
          <w:szCs w:val="22"/>
        </w:rPr>
        <w:t xml:space="preserve">Science Daily </w:t>
      </w:r>
      <w:r>
        <w:rPr>
          <w:rFonts w:ascii="Arial Black" w:hAnsi="Arial Black" w:cstheme="minorHAnsi"/>
          <w:b/>
          <w:sz w:val="22"/>
          <w:szCs w:val="22"/>
        </w:rPr>
        <w:t xml:space="preserve">of July 10, 2018 reports a Harvard University study of 6,000 college freshmen at 133 colleges to </w:t>
      </w:r>
      <w:r w:rsidR="00B97E65">
        <w:rPr>
          <w:rFonts w:ascii="Arial Black" w:hAnsi="Arial Black" w:cstheme="minorHAnsi"/>
          <w:b/>
          <w:sz w:val="22"/>
          <w:szCs w:val="22"/>
        </w:rPr>
        <w:t>t</w:t>
      </w:r>
      <w:r>
        <w:rPr>
          <w:rFonts w:ascii="Arial Black" w:hAnsi="Arial Black" w:cstheme="minorHAnsi"/>
          <w:b/>
          <w:sz w:val="22"/>
          <w:szCs w:val="22"/>
        </w:rPr>
        <w:t xml:space="preserve">he effect that mastering “algebra, geometry and trigonometry”, rather than the study of calculus, is key to college success. </w:t>
      </w:r>
    </w:p>
    <w:p w14:paraId="1C7FE9EC" w14:textId="469B4D4C" w:rsidR="00AA2FE3" w:rsidRDefault="00AA2FE3"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4EF1333A" w14:textId="6559281F" w:rsidR="00CD1C25" w:rsidRDefault="00C25452" w:rsidP="00101DD7">
      <w:pPr>
        <w:shd w:val="clear" w:color="auto" w:fill="FFFFFF"/>
        <w:suppressAutoHyphens w:val="0"/>
        <w:autoSpaceDN/>
        <w:ind w:right="16"/>
        <w:contextualSpacing/>
        <w:jc w:val="both"/>
        <w:textAlignment w:val="auto"/>
        <w:rPr>
          <w:rFonts w:ascii="Arial Black" w:hAnsi="Arial Black" w:cstheme="minorHAnsi"/>
          <w:b/>
          <w:sz w:val="20"/>
          <w:szCs w:val="20"/>
        </w:rPr>
      </w:pPr>
      <w:r w:rsidRPr="00B97E65">
        <w:rPr>
          <w:rFonts w:ascii="Arial Black" w:hAnsi="Arial Black" w:cstheme="minorHAnsi"/>
          <w:b/>
          <w:color w:val="C00000"/>
          <w:sz w:val="20"/>
          <w:szCs w:val="20"/>
        </w:rPr>
        <w:t xml:space="preserve">The Hechinger Report </w:t>
      </w:r>
      <w:r>
        <w:rPr>
          <w:rFonts w:ascii="Arial Black" w:hAnsi="Arial Black" w:cstheme="minorHAnsi"/>
          <w:b/>
          <w:sz w:val="20"/>
          <w:szCs w:val="20"/>
        </w:rPr>
        <w:t>includes a Chicago finding that “</w:t>
      </w:r>
      <w:r w:rsidRPr="00C25452">
        <w:rPr>
          <w:rFonts w:ascii="Arial Black" w:hAnsi="Arial Black" w:cstheme="minorHAnsi"/>
          <w:b/>
          <w:sz w:val="20"/>
          <w:szCs w:val="20"/>
        </w:rPr>
        <w:t>The schools that develop soft skills produced students with higher grades, fewer absences and fewer disciplinary problems and arrests in high school. Later, the students who attended these high schools graduated and went to college in higher rates. In a few more years, we may learn that the students who attended schools that are strong in soft skills earned more college degrees.</w:t>
      </w:r>
      <w:r>
        <w:rPr>
          <w:rFonts w:ascii="Arial Black" w:hAnsi="Arial Black" w:cstheme="minorHAnsi"/>
          <w:b/>
          <w:sz w:val="20"/>
          <w:szCs w:val="20"/>
        </w:rPr>
        <w:t>”</w:t>
      </w:r>
    </w:p>
    <w:p w14:paraId="5305DAB8" w14:textId="22A4947F" w:rsidR="00CD1C25" w:rsidRDefault="00CD1C25"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1EE182D6" w14:textId="65A5C357" w:rsidR="00CD1C25" w:rsidRPr="00BE572E" w:rsidRDefault="00B97E65" w:rsidP="00B97E65">
      <w:pPr>
        <w:shd w:val="clear" w:color="auto" w:fill="FFFFFF"/>
        <w:suppressAutoHyphens w:val="0"/>
        <w:autoSpaceDN/>
        <w:ind w:right="16"/>
        <w:contextualSpacing/>
        <w:jc w:val="both"/>
        <w:textAlignment w:val="auto"/>
        <w:rPr>
          <w:rFonts w:ascii="Arial Black" w:hAnsi="Arial Black" w:cstheme="minorHAnsi"/>
          <w:bCs/>
          <w:sz w:val="20"/>
          <w:szCs w:val="20"/>
        </w:rPr>
      </w:pPr>
      <w:r w:rsidRPr="00B97E65">
        <w:rPr>
          <w:rFonts w:ascii="Arial Black" w:hAnsi="Arial Black" w:cstheme="minorHAnsi"/>
          <w:b/>
          <w:color w:val="C00000"/>
          <w:sz w:val="22"/>
          <w:szCs w:val="22"/>
        </w:rPr>
        <w:t xml:space="preserve">London Times: </w:t>
      </w:r>
      <w:r w:rsidRPr="00BE572E">
        <w:rPr>
          <w:rFonts w:ascii="Arial Black" w:hAnsi="Arial Black" w:cstheme="minorHAnsi"/>
          <w:bCs/>
          <w:sz w:val="20"/>
          <w:szCs w:val="20"/>
        </w:rPr>
        <w:t>Much of secondary school maths is as useful as ancient Greek in adult life, the head of a numeracy charity has told The Times.</w:t>
      </w:r>
      <w:r w:rsidR="0020600A">
        <w:rPr>
          <w:rFonts w:ascii="Arial Black" w:hAnsi="Arial Black" w:cstheme="minorHAnsi"/>
          <w:bCs/>
          <w:sz w:val="20"/>
          <w:szCs w:val="20"/>
        </w:rPr>
        <w:t xml:space="preserve"> </w:t>
      </w:r>
      <w:r w:rsidRPr="00BE572E">
        <w:rPr>
          <w:rFonts w:ascii="Arial Black" w:hAnsi="Arial Black" w:cstheme="minorHAnsi"/>
          <w:bCs/>
          <w:sz w:val="20"/>
          <w:szCs w:val="20"/>
        </w:rPr>
        <w:t xml:space="preserve">Mike </w:t>
      </w:r>
      <w:proofErr w:type="spellStart"/>
      <w:r w:rsidRPr="00BE572E">
        <w:rPr>
          <w:rFonts w:ascii="Arial Black" w:hAnsi="Arial Black" w:cstheme="minorHAnsi"/>
          <w:bCs/>
          <w:sz w:val="20"/>
          <w:szCs w:val="20"/>
        </w:rPr>
        <w:t>Ellicock</w:t>
      </w:r>
      <w:proofErr w:type="spellEnd"/>
      <w:r w:rsidRPr="00BE572E">
        <w:rPr>
          <w:rFonts w:ascii="Arial Black" w:hAnsi="Arial Black" w:cstheme="minorHAnsi"/>
          <w:bCs/>
          <w:sz w:val="20"/>
          <w:szCs w:val="20"/>
        </w:rPr>
        <w:t>, who runs National Numeracy, spoke in a personal capacity to suggest separating maths GCSE into two subjects — classical and modern — with the former made optional.</w:t>
      </w:r>
    </w:p>
    <w:p w14:paraId="62212442"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36042356"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139A027B" w14:textId="2C78EC0B" w:rsidR="00C476BC" w:rsidRPr="00C476BC" w:rsidRDefault="00C476BC" w:rsidP="00B97E65">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65DEF92" w14:textId="7B8F33E8"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
    <w:p w14:paraId="2CBC6113"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lastRenderedPageBreak/>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w:t>
      </w:r>
      <w:proofErr w:type="gramStart"/>
      <w:r w:rsidRPr="00C476BC">
        <w:rPr>
          <w:rFonts w:ascii="Arial Black" w:hAnsi="Arial Black" w:cstheme="minorHAnsi"/>
          <w:bCs/>
          <w:sz w:val="16"/>
          <w:szCs w:val="16"/>
        </w:rPr>
        <w:t>Courriel :</w:t>
      </w:r>
      <w:proofErr w:type="gramEnd"/>
      <w:r w:rsidRPr="00C476BC">
        <w:rPr>
          <w:rFonts w:ascii="Arial Black" w:hAnsi="Arial Black" w:cstheme="minorHAnsi"/>
          <w:bCs/>
          <w:sz w:val="16"/>
          <w:szCs w:val="16"/>
        </w:rPr>
        <w:t xml:space="preserve"> pei@education2020.ca</w:t>
      </w:r>
    </w:p>
    <w:p w14:paraId="30CEF358" w14:textId="052FC19F" w:rsidR="00946763"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roofErr w:type="gramStart"/>
      <w:r w:rsidRPr="00C476BC">
        <w:rPr>
          <w:rFonts w:ascii="Arial Black" w:hAnsi="Arial Black" w:cstheme="minorHAnsi"/>
          <w:bCs/>
          <w:sz w:val="16"/>
          <w:szCs w:val="16"/>
        </w:rPr>
        <w:t>URL :</w:t>
      </w:r>
      <w:proofErr w:type="gramEnd"/>
      <w:r w:rsidRPr="00C476BC">
        <w:rPr>
          <w:rFonts w:ascii="Arial Black" w:hAnsi="Arial Black" w:cstheme="minorHAnsi"/>
          <w:bCs/>
          <w:sz w:val="16"/>
          <w:szCs w:val="16"/>
        </w:rPr>
        <w:t xml:space="preserve"> </w:t>
      </w:r>
      <w:hyperlink r:id="rId9" w:history="1">
        <w:r w:rsidR="00946763" w:rsidRPr="00583BB5">
          <w:rPr>
            <w:rStyle w:val="Hyperlink"/>
            <w:rFonts w:ascii="Arial Black" w:hAnsi="Arial Black" w:cstheme="minorHAnsi"/>
            <w:bCs/>
            <w:sz w:val="16"/>
            <w:szCs w:val="16"/>
          </w:rPr>
          <w:t>www.education2020.ca</w:t>
        </w:r>
      </w:hyperlink>
    </w:p>
    <w:sectPr w:rsidR="00946763" w:rsidRPr="00C476BC"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651FDD" w14:textId="77777777" w:rsidR="00E07EF9" w:rsidRDefault="00E07EF9">
      <w:r>
        <w:separator/>
      </w:r>
    </w:p>
  </w:endnote>
  <w:endnote w:type="continuationSeparator" w:id="0">
    <w:p w14:paraId="14D7FA99" w14:textId="77777777" w:rsidR="00E07EF9" w:rsidRDefault="00E0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F35B5" w14:textId="77777777" w:rsidR="00E07EF9" w:rsidRDefault="00E07EF9">
      <w:r>
        <w:rPr>
          <w:color w:val="000000"/>
        </w:rPr>
        <w:separator/>
      </w:r>
    </w:p>
  </w:footnote>
  <w:footnote w:type="continuationSeparator" w:id="0">
    <w:p w14:paraId="6A9788D2" w14:textId="77777777" w:rsidR="00E07EF9" w:rsidRDefault="00E07E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6"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1"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9"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3"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9"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28"/>
  </w:num>
  <w:num w:numId="4">
    <w:abstractNumId w:val="11"/>
  </w:num>
  <w:num w:numId="5">
    <w:abstractNumId w:val="13"/>
  </w:num>
  <w:num w:numId="6">
    <w:abstractNumId w:val="16"/>
  </w:num>
  <w:num w:numId="7">
    <w:abstractNumId w:val="14"/>
  </w:num>
  <w:num w:numId="8">
    <w:abstractNumId w:val="0"/>
  </w:num>
  <w:num w:numId="9">
    <w:abstractNumId w:val="2"/>
  </w:num>
  <w:num w:numId="10">
    <w:abstractNumId w:val="9"/>
  </w:num>
  <w:num w:numId="11">
    <w:abstractNumId w:val="27"/>
  </w:num>
  <w:num w:numId="12">
    <w:abstractNumId w:val="21"/>
  </w:num>
  <w:num w:numId="13">
    <w:abstractNumId w:val="29"/>
  </w:num>
  <w:num w:numId="14">
    <w:abstractNumId w:val="17"/>
  </w:num>
  <w:num w:numId="15">
    <w:abstractNumId w:val="15"/>
  </w:num>
  <w:num w:numId="16">
    <w:abstractNumId w:val="6"/>
  </w:num>
  <w:num w:numId="17">
    <w:abstractNumId w:val="3"/>
  </w:num>
  <w:num w:numId="18">
    <w:abstractNumId w:val="20"/>
  </w:num>
  <w:num w:numId="19">
    <w:abstractNumId w:val="22"/>
  </w:num>
  <w:num w:numId="20">
    <w:abstractNumId w:val="23"/>
  </w:num>
  <w:num w:numId="21">
    <w:abstractNumId w:val="18"/>
  </w:num>
  <w:num w:numId="22">
    <w:abstractNumId w:val="12"/>
  </w:num>
  <w:num w:numId="23">
    <w:abstractNumId w:val="10"/>
  </w:num>
  <w:num w:numId="24">
    <w:abstractNumId w:val="8"/>
  </w:num>
  <w:num w:numId="25">
    <w:abstractNumId w:val="25"/>
  </w:num>
  <w:num w:numId="26">
    <w:abstractNumId w:val="7"/>
  </w:num>
  <w:num w:numId="27">
    <w:abstractNumId w:val="4"/>
  </w:num>
  <w:num w:numId="28">
    <w:abstractNumId w:val="5"/>
  </w:num>
  <w:num w:numId="29">
    <w:abstractNumId w:val="26"/>
  </w:num>
  <w:num w:numId="30">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F5E47"/>
    <w:rsid w:val="000F7E8C"/>
    <w:rsid w:val="00101DD7"/>
    <w:rsid w:val="001022EF"/>
    <w:rsid w:val="00115422"/>
    <w:rsid w:val="00120A44"/>
    <w:rsid w:val="00122636"/>
    <w:rsid w:val="00123987"/>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7F8F"/>
    <w:rsid w:val="001B0E1C"/>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32734"/>
    <w:rsid w:val="00234E69"/>
    <w:rsid w:val="00240335"/>
    <w:rsid w:val="002411EF"/>
    <w:rsid w:val="0024155A"/>
    <w:rsid w:val="00241A25"/>
    <w:rsid w:val="00241D9A"/>
    <w:rsid w:val="002518C8"/>
    <w:rsid w:val="0026348A"/>
    <w:rsid w:val="00263E7D"/>
    <w:rsid w:val="0026560E"/>
    <w:rsid w:val="00266EE9"/>
    <w:rsid w:val="00271BA7"/>
    <w:rsid w:val="00271BD1"/>
    <w:rsid w:val="00273E52"/>
    <w:rsid w:val="0027447C"/>
    <w:rsid w:val="00277088"/>
    <w:rsid w:val="00277895"/>
    <w:rsid w:val="0028082A"/>
    <w:rsid w:val="00281D71"/>
    <w:rsid w:val="00281DC8"/>
    <w:rsid w:val="00282530"/>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648E"/>
    <w:rsid w:val="00326562"/>
    <w:rsid w:val="003271A0"/>
    <w:rsid w:val="003338F0"/>
    <w:rsid w:val="00336E19"/>
    <w:rsid w:val="00341568"/>
    <w:rsid w:val="00341740"/>
    <w:rsid w:val="00345EE9"/>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5F4B"/>
    <w:rsid w:val="004063AC"/>
    <w:rsid w:val="00406D27"/>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14BE"/>
    <w:rsid w:val="004535AA"/>
    <w:rsid w:val="00454602"/>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7781"/>
    <w:rsid w:val="004D4AE5"/>
    <w:rsid w:val="004D66A5"/>
    <w:rsid w:val="004E610D"/>
    <w:rsid w:val="004E736F"/>
    <w:rsid w:val="004F229D"/>
    <w:rsid w:val="004F2D94"/>
    <w:rsid w:val="004F6978"/>
    <w:rsid w:val="00503BE9"/>
    <w:rsid w:val="005063B3"/>
    <w:rsid w:val="00515542"/>
    <w:rsid w:val="005207AE"/>
    <w:rsid w:val="00521F80"/>
    <w:rsid w:val="00537321"/>
    <w:rsid w:val="005379AD"/>
    <w:rsid w:val="00542B27"/>
    <w:rsid w:val="00543710"/>
    <w:rsid w:val="005455B4"/>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8D0"/>
    <w:rsid w:val="006006CE"/>
    <w:rsid w:val="006029AE"/>
    <w:rsid w:val="00603169"/>
    <w:rsid w:val="00606C73"/>
    <w:rsid w:val="00610B00"/>
    <w:rsid w:val="00613CA8"/>
    <w:rsid w:val="00614433"/>
    <w:rsid w:val="006162A2"/>
    <w:rsid w:val="00617D62"/>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62FA"/>
    <w:rsid w:val="00676A29"/>
    <w:rsid w:val="00676D7C"/>
    <w:rsid w:val="006810B5"/>
    <w:rsid w:val="006814B4"/>
    <w:rsid w:val="00684CFD"/>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440E"/>
    <w:rsid w:val="006E5369"/>
    <w:rsid w:val="006E544D"/>
    <w:rsid w:val="006E626A"/>
    <w:rsid w:val="006E7DFA"/>
    <w:rsid w:val="006F3EBA"/>
    <w:rsid w:val="006F6E06"/>
    <w:rsid w:val="006F7C44"/>
    <w:rsid w:val="00705C81"/>
    <w:rsid w:val="00706676"/>
    <w:rsid w:val="0072093D"/>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5414"/>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AF0"/>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7FF"/>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80FDE"/>
    <w:rsid w:val="00B82873"/>
    <w:rsid w:val="00B837C4"/>
    <w:rsid w:val="00B8431E"/>
    <w:rsid w:val="00B87E4C"/>
    <w:rsid w:val="00B9508A"/>
    <w:rsid w:val="00B957A7"/>
    <w:rsid w:val="00B9763D"/>
    <w:rsid w:val="00B97E65"/>
    <w:rsid w:val="00BA2A2E"/>
    <w:rsid w:val="00BA2A9F"/>
    <w:rsid w:val="00BA3A74"/>
    <w:rsid w:val="00BA46AA"/>
    <w:rsid w:val="00BA7DE5"/>
    <w:rsid w:val="00BB0FB6"/>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4436"/>
    <w:rsid w:val="00C169AE"/>
    <w:rsid w:val="00C22E38"/>
    <w:rsid w:val="00C25452"/>
    <w:rsid w:val="00C26B39"/>
    <w:rsid w:val="00C302FE"/>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81068"/>
    <w:rsid w:val="00C82AA0"/>
    <w:rsid w:val="00C91288"/>
    <w:rsid w:val="00C965D0"/>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5526"/>
    <w:rsid w:val="00D10FC1"/>
    <w:rsid w:val="00D11397"/>
    <w:rsid w:val="00D11C2F"/>
    <w:rsid w:val="00D1495A"/>
    <w:rsid w:val="00D21D4B"/>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2526"/>
    <w:rsid w:val="00DF46D4"/>
    <w:rsid w:val="00DF5A22"/>
    <w:rsid w:val="00DF5E78"/>
    <w:rsid w:val="00DF5F87"/>
    <w:rsid w:val="00DF70AB"/>
    <w:rsid w:val="00DF768B"/>
    <w:rsid w:val="00DF7ED8"/>
    <w:rsid w:val="00E00EEB"/>
    <w:rsid w:val="00E01574"/>
    <w:rsid w:val="00E06843"/>
    <w:rsid w:val="00E07EF9"/>
    <w:rsid w:val="00E1411C"/>
    <w:rsid w:val="00E14650"/>
    <w:rsid w:val="00E210C9"/>
    <w:rsid w:val="00E2283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6C57"/>
    <w:rsid w:val="00F66E6B"/>
    <w:rsid w:val="00F7258D"/>
    <w:rsid w:val="00F738B6"/>
    <w:rsid w:val="00F80761"/>
    <w:rsid w:val="00F8516E"/>
    <w:rsid w:val="00F86BC6"/>
    <w:rsid w:val="00F86DF7"/>
    <w:rsid w:val="00F87272"/>
    <w:rsid w:val="00F96D90"/>
    <w:rsid w:val="00FA0880"/>
    <w:rsid w:val="00FA473A"/>
    <w:rsid w:val="00FA6247"/>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BCC20-0AD5-408C-9E50-F3F424CC3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2020-03-15T19:36:00Z</cp:lastPrinted>
  <dcterms:created xsi:type="dcterms:W3CDTF">2020-04-19T19:43:00Z</dcterms:created>
  <dcterms:modified xsi:type="dcterms:W3CDTF">2020-04-19T19:43:00Z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