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F43704" w:rsidRPr="00F43704" w:rsidRDefault="00F43704" w:rsidP="00F43704">
      <w:pPr>
        <w:widowControl/>
        <w:suppressAutoHyphens w:val="0"/>
        <w:autoSpaceDN/>
        <w:ind w:left="360"/>
        <w:jc w:val="center"/>
        <w:textAlignment w:val="auto"/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</w:pPr>
      <w:r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  <w:t>The importance of time</w:t>
      </w:r>
    </w:p>
    <w:p w:rsidR="0018692A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b/>
          <w:bCs/>
          <w:kern w:val="0"/>
          <w:sz w:val="22"/>
          <w:szCs w:val="22"/>
          <w:lang w:eastAsia="en-CA" w:bidi="ar-SA"/>
        </w:rPr>
      </w:pPr>
    </w:p>
    <w:p w:rsidR="00E65718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First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,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a thank you to readers who co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m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mented 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or raised questions about l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ast month’s </w:t>
      </w:r>
      <w:r w:rsidR="00E65718"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newsletter</w:t>
      </w:r>
      <w:r w:rsid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; in fact, this column was triggered by a reader’s question “Can 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we sep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rate standard and time? </w:t>
      </w:r>
    </w:p>
    <w:p w:rsidR="00E65718" w:rsidRDefault="00E65718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A72DCD" w:rsidRDefault="001C5DC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Last month’s column 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suggested that we d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fine standards in each subject and vary the time available to reach it.  It is certainly not a new idea but one that has growing su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 w:rsidR="000637DF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port; if any reader is interested, we could put together a small group to pursue it fu</w:t>
      </w:r>
      <w:r w:rsidR="000637DF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</w:t>
      </w:r>
      <w:r w:rsidR="000637DF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ther.</w:t>
      </w:r>
    </w:p>
    <w:p w:rsidR="00A72DCD" w:rsidRDefault="00A72DCD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E66762" w:rsidRDefault="009416BC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While acknowledging this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 one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writer poin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ed out that time is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also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 consideration in the “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the performance of a skill in an occ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u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pational setting (either cognitive or perfo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mance)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in the real world.  He points out that a workman is not only ex</w:t>
      </w:r>
      <w:r w:rsidR="00E66762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ected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pr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duce a product or provide a service of 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c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ceptability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but must do so within a compet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tive time limit.</w:t>
      </w:r>
    </w:p>
    <w:p w:rsidR="00E66762" w:rsidRDefault="00E66762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074D0B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The writer raises an important issue and one that most forcefully differentiates work standards from academic ones.  One can imagine for example two students in the same class building a small cabinet. 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Even though both produce the same product of the same quality, the hobbyist could receive an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“A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 while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the carpenter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may not even pass; the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reason being that time spent by the carpenter makes the item too expe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n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sive.</w:t>
      </w: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F43704" w:rsidRDefault="00A72DCD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Obviously, the issue of time demands fu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ther thought</w:t>
      </w: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861405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F43704" w:rsidRDefault="00F43704" w:rsidP="00F43704">
      <w:pPr>
        <w:widowControl/>
        <w:suppressAutoHyphens w:val="0"/>
        <w:autoSpaceDN/>
        <w:jc w:val="center"/>
        <w:textAlignment w:val="auto"/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</w:pPr>
      <w:r w:rsidRPr="00F43704"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  <w:t xml:space="preserve">Pot </w:t>
      </w:r>
      <w:r w:rsidR="00074D0B" w:rsidRPr="00F43704"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  <w:t>Pouria</w:t>
      </w:r>
      <w:bookmarkStart w:id="0" w:name="_GoBack"/>
    </w:p>
    <w:p w:rsidR="00263607" w:rsidRPr="00263607" w:rsidRDefault="00263607" w:rsidP="00263607">
      <w:pPr>
        <w:suppressAutoHyphens w:val="0"/>
        <w:autoSpaceDN/>
        <w:textAlignment w:val="auto"/>
        <w:rPr>
          <w:rFonts w:eastAsia="Times New Roman"/>
          <w:b/>
          <w:kern w:val="0"/>
          <w:sz w:val="22"/>
          <w:szCs w:val="22"/>
          <w:lang w:eastAsia="en-CA" w:bidi="ar-SA"/>
        </w:rPr>
      </w:pPr>
    </w:p>
    <w:bookmarkEnd w:id="0"/>
    <w:p w:rsidR="00233992" w:rsidRPr="00233992" w:rsidRDefault="00233992" w:rsidP="00233992">
      <w:pPr>
        <w:pStyle w:val="Standard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233992">
        <w:rPr>
          <w:rFonts w:ascii="Calibri" w:hAnsi="Calibri" w:cs="Calibri"/>
          <w:b/>
          <w:bCs/>
          <w:sz w:val="22"/>
          <w:szCs w:val="22"/>
          <w:lang w:eastAsia="en-CA"/>
        </w:rPr>
        <w:t>School Award</w:t>
      </w:r>
    </w:p>
    <w:p w:rsidR="00263607" w:rsidRPr="00233992" w:rsidRDefault="0018692A" w:rsidP="00233992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233992">
        <w:rPr>
          <w:rFonts w:ascii="Calibri" w:hAnsi="Calibri" w:cs="Calibri"/>
          <w:bCs/>
          <w:sz w:val="22"/>
          <w:szCs w:val="22"/>
          <w:lang w:eastAsia="en-CA"/>
        </w:rPr>
        <w:t>Thanks to all who wrote or commented on last month’s letter; the comments to the left arise fromtopic.</w:t>
      </w:r>
      <w:r w:rsidR="00263607" w:rsidRPr="00233992">
        <w:rPr>
          <w:rFonts w:ascii="Calibri" w:hAnsi="Calibri" w:cs="Calibri"/>
          <w:bCs/>
          <w:sz w:val="22"/>
          <w:szCs w:val="22"/>
          <w:lang w:eastAsia="en-CA"/>
        </w:rPr>
        <w:t xml:space="preserve">thasnk you to all </w:t>
      </w:r>
    </w:p>
    <w:p w:rsidR="00263607" w:rsidRDefault="00263607" w:rsidP="00263607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Educational support services – </w:t>
      </w:r>
      <w:r w:rsidRPr="00FB278C">
        <w:rPr>
          <w:rFonts w:ascii="Calibri" w:hAnsi="Calibri" w:cs="Calibri"/>
          <w:bCs/>
          <w:sz w:val="22"/>
          <w:szCs w:val="22"/>
          <w:lang w:eastAsia="en-CA"/>
        </w:rPr>
        <w:t xml:space="preserve">A 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presentation by </w:t>
      </w:r>
      <w:r>
        <w:rPr>
          <w:rFonts w:ascii="Calibri" w:hAnsi="Calibri" w:cs="Calibri"/>
          <w:bCs/>
          <w:sz w:val="22"/>
          <w:szCs w:val="22"/>
          <w:lang w:eastAsia="en-CA"/>
        </w:rPr>
        <w:t>a Derek MacEwen and colleagues from the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Department of Education, Early Learning and Culture on curriculum development and support initiatives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in public education.</w:t>
      </w:r>
    </w:p>
    <w:p w:rsidR="00263607" w:rsidRDefault="00263607" w:rsidP="00263607">
      <w:pPr>
        <w:pStyle w:val="ListParagraph"/>
        <w:rPr>
          <w:rFonts w:cs="Calibri"/>
          <w:bCs/>
          <w:sz w:val="22"/>
          <w:szCs w:val="22"/>
          <w:lang w:eastAsia="en-CA"/>
        </w:rPr>
      </w:pPr>
    </w:p>
    <w:p w:rsidR="00263607" w:rsidRDefault="00263607" w:rsidP="00263607">
      <w:pPr>
        <w:pStyle w:val="Standard"/>
        <w:numPr>
          <w:ilvl w:val="0"/>
          <w:numId w:val="15"/>
        </w:numPr>
        <w:ind w:left="360"/>
        <w:rPr>
          <w:rFonts w:ascii="Calibri" w:hAnsi="Calibri" w:cs="Calibri"/>
          <w:bCs/>
          <w:sz w:val="22"/>
          <w:szCs w:val="22"/>
          <w:lang w:eastAsia="en-CA"/>
        </w:rPr>
      </w:pPr>
      <w:r w:rsidRPr="009A0ED9">
        <w:rPr>
          <w:rFonts w:ascii="Calibri" w:hAnsi="Calibri" w:cs="Calibri"/>
          <w:b/>
          <w:bCs/>
          <w:sz w:val="22"/>
          <w:szCs w:val="22"/>
          <w:lang w:eastAsia="en-CA"/>
        </w:rPr>
        <w:t>What do teachers do?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  You’ve seen the learning path; now let’s chart how teachers respond. We need a half</w:t>
      </w:r>
      <w:r>
        <w:rPr>
          <w:rFonts w:ascii="Calibri" w:hAnsi="Calibri" w:cs="Calibri"/>
          <w:bCs/>
          <w:sz w:val="22"/>
          <w:szCs w:val="22"/>
          <w:lang w:eastAsia="en-CA"/>
        </w:rPr>
        <w:t>-</w:t>
      </w:r>
      <w:r w:rsidRPr="00922808">
        <w:rPr>
          <w:rFonts w:ascii="Calibri" w:hAnsi="Calibri" w:cs="Calibri"/>
          <w:bCs/>
          <w:sz w:val="22"/>
          <w:szCs w:val="22"/>
          <w:lang w:eastAsia="en-CA"/>
        </w:rPr>
        <w:t xml:space="preserve">dozen teachers to initiate the discussion. </w:t>
      </w:r>
      <w:r>
        <w:rPr>
          <w:rFonts w:ascii="Calibri" w:hAnsi="Calibri" w:cs="Calibri"/>
          <w:bCs/>
          <w:sz w:val="22"/>
          <w:szCs w:val="22"/>
          <w:lang w:eastAsia="en-CA"/>
        </w:rPr>
        <w:t>Send me a note if you are interested.</w:t>
      </w:r>
    </w:p>
    <w:p w:rsidR="00263607" w:rsidRDefault="00263607" w:rsidP="00263607">
      <w:pPr>
        <w:pStyle w:val="ListParagraph"/>
        <w:rPr>
          <w:rFonts w:cs="Calibri"/>
          <w:b/>
          <w:bCs/>
          <w:sz w:val="22"/>
          <w:szCs w:val="22"/>
          <w:lang w:eastAsia="en-CA"/>
        </w:rPr>
      </w:pPr>
    </w:p>
    <w:p w:rsidR="00263607" w:rsidRPr="009A0ED9" w:rsidRDefault="00263607" w:rsidP="00263607">
      <w:pPr>
        <w:pStyle w:val="Standard"/>
        <w:numPr>
          <w:ilvl w:val="0"/>
          <w:numId w:val="15"/>
        </w:numPr>
        <w:ind w:left="360"/>
        <w:rPr>
          <w:rFonts w:ascii="Calibri" w:hAnsi="Calibri" w:cs="Calibri"/>
          <w:bCs/>
          <w:sz w:val="22"/>
          <w:szCs w:val="22"/>
          <w:lang w:eastAsia="en-CA"/>
        </w:rPr>
      </w:pPr>
      <w:r w:rsidRPr="009302F0">
        <w:rPr>
          <w:rFonts w:ascii="Calibri" w:hAnsi="Calibri" w:cs="Calibri"/>
          <w:b/>
          <w:bCs/>
          <w:sz w:val="22"/>
          <w:szCs w:val="22"/>
          <w:lang w:eastAsia="en-CA"/>
        </w:rPr>
        <w:t>Handle with Care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– TBA.</w:t>
      </w:r>
    </w:p>
    <w:p w:rsidR="00263607" w:rsidRPr="00F43704" w:rsidRDefault="00263607" w:rsidP="00263607">
      <w:pPr>
        <w:widowControl/>
        <w:suppressAutoHyphens w:val="0"/>
        <w:autoSpaceDN/>
        <w:textAlignment w:val="auto"/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F6C" w:rsidRDefault="00DF6F6C">
      <w:r>
        <w:separator/>
      </w:r>
    </w:p>
  </w:endnote>
  <w:endnote w:type="continuationSeparator" w:id="0">
    <w:p w:rsidR="00DF6F6C" w:rsidRDefault="00DF6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F6C" w:rsidRDefault="00DF6F6C">
      <w:r>
        <w:rPr>
          <w:color w:val="000000"/>
        </w:rPr>
        <w:separator/>
      </w:r>
    </w:p>
  </w:footnote>
  <w:footnote w:type="continuationSeparator" w:id="0">
    <w:p w:rsidR="00DF6F6C" w:rsidRDefault="00DF6F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4C6EA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01A"/>
    <w:rsid w:val="000551AA"/>
    <w:rsid w:val="000637DF"/>
    <w:rsid w:val="00074D0B"/>
    <w:rsid w:val="000D036B"/>
    <w:rsid w:val="000D37EC"/>
    <w:rsid w:val="00125358"/>
    <w:rsid w:val="0018692A"/>
    <w:rsid w:val="001A7F8F"/>
    <w:rsid w:val="001C5DCA"/>
    <w:rsid w:val="00233992"/>
    <w:rsid w:val="002553A2"/>
    <w:rsid w:val="00263607"/>
    <w:rsid w:val="00283734"/>
    <w:rsid w:val="002C56E7"/>
    <w:rsid w:val="002F4783"/>
    <w:rsid w:val="002F4A7D"/>
    <w:rsid w:val="00322472"/>
    <w:rsid w:val="003457D2"/>
    <w:rsid w:val="00397DB9"/>
    <w:rsid w:val="003B47F1"/>
    <w:rsid w:val="004002E2"/>
    <w:rsid w:val="00454602"/>
    <w:rsid w:val="00461971"/>
    <w:rsid w:val="004B1892"/>
    <w:rsid w:val="004B18B9"/>
    <w:rsid w:val="004B79C8"/>
    <w:rsid w:val="0051554D"/>
    <w:rsid w:val="006F7C44"/>
    <w:rsid w:val="00730753"/>
    <w:rsid w:val="007719D8"/>
    <w:rsid w:val="00787A18"/>
    <w:rsid w:val="0082427B"/>
    <w:rsid w:val="00861405"/>
    <w:rsid w:val="008D6DEB"/>
    <w:rsid w:val="009416BC"/>
    <w:rsid w:val="00962FEE"/>
    <w:rsid w:val="00A72DCD"/>
    <w:rsid w:val="00A730F4"/>
    <w:rsid w:val="00A81484"/>
    <w:rsid w:val="00A86302"/>
    <w:rsid w:val="00AB0ABD"/>
    <w:rsid w:val="00AE186F"/>
    <w:rsid w:val="00B670DC"/>
    <w:rsid w:val="00B87E4C"/>
    <w:rsid w:val="00BB24E8"/>
    <w:rsid w:val="00BC1D0F"/>
    <w:rsid w:val="00C1471C"/>
    <w:rsid w:val="00C424B8"/>
    <w:rsid w:val="00C67595"/>
    <w:rsid w:val="00C71E6E"/>
    <w:rsid w:val="00CE0679"/>
    <w:rsid w:val="00CF2221"/>
    <w:rsid w:val="00D05DEF"/>
    <w:rsid w:val="00D24AA7"/>
    <w:rsid w:val="00D64D05"/>
    <w:rsid w:val="00DD09A9"/>
    <w:rsid w:val="00DF6F6C"/>
    <w:rsid w:val="00DF768B"/>
    <w:rsid w:val="00E22E59"/>
    <w:rsid w:val="00E65718"/>
    <w:rsid w:val="00E66762"/>
    <w:rsid w:val="00EB2F5B"/>
    <w:rsid w:val="00EC5668"/>
    <w:rsid w:val="00ED4EA9"/>
    <w:rsid w:val="00EF2333"/>
    <w:rsid w:val="00F26F89"/>
    <w:rsid w:val="00F43704"/>
    <w:rsid w:val="00F60AB1"/>
    <w:rsid w:val="00F7736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2015-10-23T23:02:00Z</cp:lastPrinted>
  <dcterms:created xsi:type="dcterms:W3CDTF">2015-10-23T02:48:00Z</dcterms:created>
  <dcterms:modified xsi:type="dcterms:W3CDTF">2015-10-23T23:57:00Z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