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904D30">
      <w:pPr>
        <w:pStyle w:val="Standard"/>
        <w:rPr>
          <w:b/>
          <w:i/>
          <w:color w:val="C00000"/>
          <w:lang w:val="en-US"/>
        </w:rPr>
      </w:pPr>
      <w:r w:rsidRPr="00904D30">
        <w:rPr>
          <w:b/>
          <w:i/>
          <w:lang w:val="en-US"/>
        </w:rPr>
        <w:tab/>
      </w:r>
    </w:p>
    <w:p w:rsidR="002F4783" w:rsidRDefault="00BC1D0F">
      <w:pPr>
        <w:pStyle w:val="Standard"/>
      </w:pPr>
      <w:r>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Pr="00765992" w:rsidRDefault="00765992" w:rsidP="009A7CCE">
      <w:pPr>
        <w:pStyle w:val="Standard"/>
        <w:pBdr>
          <w:bottom w:val="single" w:sz="12" w:space="1" w:color="00000A"/>
        </w:pBdr>
        <w:rPr>
          <w:i/>
          <w:lang w:val="en-US"/>
        </w:rPr>
      </w:pPr>
      <w:r w:rsidRPr="00765992">
        <w:rPr>
          <w:i/>
          <w:lang w:val="en-US"/>
        </w:rPr>
        <w:t xml:space="preserve">Occasional Paper </w:t>
      </w:r>
      <w:r w:rsidR="008A2ED8">
        <w:rPr>
          <w:i/>
          <w:lang w:val="en-US"/>
        </w:rPr>
        <w:t>D-</w:t>
      </w:r>
      <w:r w:rsidRPr="00765992">
        <w:rPr>
          <w:i/>
          <w:lang w:val="en-US"/>
        </w:rPr>
        <w:t xml:space="preserve"> 1</w:t>
      </w:r>
      <w:r w:rsidR="009A7CCE">
        <w:rPr>
          <w:i/>
          <w:lang w:val="en-US"/>
        </w:rPr>
        <w:tab/>
      </w:r>
      <w:r w:rsidR="009A7CCE">
        <w:rPr>
          <w:i/>
          <w:lang w:val="en-US"/>
        </w:rPr>
        <w:tab/>
      </w:r>
      <w:r w:rsidR="009A7CCE">
        <w:rPr>
          <w:i/>
          <w:lang w:val="en-US"/>
        </w:rPr>
        <w:tab/>
      </w:r>
      <w:r w:rsidR="009A7CCE">
        <w:rPr>
          <w:i/>
          <w:lang w:val="en-US"/>
        </w:rPr>
        <w:tab/>
      </w:r>
      <w:r w:rsidR="009A7CCE">
        <w:rPr>
          <w:i/>
          <w:lang w:val="en-US"/>
        </w:rPr>
        <w:tab/>
      </w:r>
      <w:r w:rsidR="009A7CCE">
        <w:rPr>
          <w:i/>
          <w:lang w:val="en-US"/>
        </w:rPr>
        <w:tab/>
      </w:r>
      <w:r w:rsidR="009A7CCE">
        <w:rPr>
          <w:i/>
          <w:lang w:val="en-US"/>
        </w:rPr>
        <w:tab/>
        <w:t xml:space="preserve">          </w:t>
      </w:r>
      <w:r w:rsidR="00A773FE">
        <w:rPr>
          <w:i/>
          <w:lang w:val="en-US"/>
        </w:rPr>
        <w:t xml:space="preserve">March 20, </w:t>
      </w:r>
      <w:r w:rsidR="00DF768B" w:rsidRPr="00765992">
        <w:rPr>
          <w:i/>
          <w:lang w:val="en-US"/>
        </w:rPr>
        <w:t>201</w:t>
      </w:r>
      <w:r w:rsidR="00A773FE">
        <w:rPr>
          <w:i/>
          <w:lang w:val="en-US"/>
        </w:rPr>
        <w:t>5</w:t>
      </w:r>
    </w:p>
    <w:p w:rsidR="00904D30" w:rsidRPr="00904D30" w:rsidRDefault="00904D30" w:rsidP="00765992">
      <w:pPr>
        <w:pStyle w:val="Standard"/>
        <w:pBdr>
          <w:bottom w:val="single" w:sz="12" w:space="1" w:color="00000A"/>
        </w:pBdr>
        <w:jc w:val="right"/>
        <w:rPr>
          <w:sz w:val="16"/>
          <w:szCs w:val="16"/>
          <w:lang w:val="en-US"/>
        </w:rPr>
      </w:pPr>
    </w:p>
    <w:p w:rsidR="00B87E4C" w:rsidRDefault="00B87E4C">
      <w:pPr>
        <w:rPr>
          <w:szCs w:val="21"/>
        </w:rPr>
        <w:sectPr w:rsidR="00B87E4C" w:rsidSect="00765992">
          <w:headerReference w:type="even" r:id="rId10"/>
          <w:headerReference w:type="default" r:id="rId11"/>
          <w:footerReference w:type="even" r:id="rId12"/>
          <w:footerReference w:type="default" r:id="rId13"/>
          <w:headerReference w:type="first" r:id="rId14"/>
          <w:footerReference w:type="first" r:id="rId15"/>
          <w:pgSz w:w="12240" w:h="15840"/>
          <w:pgMar w:top="680" w:right="1440" w:bottom="1134" w:left="1440" w:header="720" w:footer="720" w:gutter="0"/>
          <w:cols w:space="720" w:equalWidth="0">
            <w:col w:w="9360" w:space="720"/>
          </w:cols>
        </w:sectPr>
      </w:pPr>
    </w:p>
    <w:p w:rsidR="007B3BD5" w:rsidRDefault="007B3BD5" w:rsidP="007B3BD5">
      <w:pPr>
        <w:pStyle w:val="Standard"/>
        <w:jc w:val="center"/>
        <w:rPr>
          <w:rFonts w:asciiTheme="minorHAnsi" w:hAnsiTheme="minorHAnsi"/>
          <w:b/>
          <w:i/>
          <w:color w:val="C00000"/>
          <w:sz w:val="72"/>
          <w:szCs w:val="72"/>
          <w:lang w:val="en-US"/>
        </w:rPr>
      </w:pPr>
      <w:r w:rsidRPr="002B1BA5">
        <w:rPr>
          <w:rFonts w:asciiTheme="minorHAnsi" w:hAnsiTheme="minorHAnsi"/>
          <w:b/>
          <w:i/>
          <w:color w:val="C00000"/>
          <w:sz w:val="72"/>
          <w:szCs w:val="72"/>
          <w:lang w:val="en-US"/>
        </w:rPr>
        <w:lastRenderedPageBreak/>
        <w:t xml:space="preserve">A Call </w:t>
      </w:r>
      <w:r>
        <w:rPr>
          <w:rFonts w:asciiTheme="minorHAnsi" w:hAnsiTheme="minorHAnsi"/>
          <w:b/>
          <w:i/>
          <w:color w:val="C00000"/>
          <w:sz w:val="72"/>
          <w:szCs w:val="72"/>
          <w:lang w:val="en-US"/>
        </w:rPr>
        <w:t xml:space="preserve">for </w:t>
      </w:r>
      <w:r w:rsidRPr="002B1BA5">
        <w:rPr>
          <w:rFonts w:asciiTheme="minorHAnsi" w:hAnsiTheme="minorHAnsi"/>
          <w:b/>
          <w:i/>
          <w:color w:val="C00000"/>
          <w:sz w:val="72"/>
          <w:szCs w:val="72"/>
          <w:lang w:val="en-US"/>
        </w:rPr>
        <w:t>Change</w:t>
      </w:r>
    </w:p>
    <w:p w:rsidR="007B3BD5" w:rsidRDefault="007B3BD5" w:rsidP="007B3BD5">
      <w:pPr>
        <w:pStyle w:val="Standard"/>
        <w:jc w:val="center"/>
      </w:pPr>
      <w:r>
        <w:rPr>
          <w:rFonts w:asciiTheme="minorHAnsi" w:hAnsiTheme="minorHAnsi"/>
          <w:b/>
          <w:i/>
          <w:color w:val="C00000"/>
          <w:sz w:val="72"/>
          <w:szCs w:val="72"/>
          <w:lang w:val="en-US"/>
        </w:rPr>
        <w:t xml:space="preserve">In </w:t>
      </w:r>
      <w:r w:rsidR="00AE396E">
        <w:rPr>
          <w:rFonts w:asciiTheme="minorHAnsi" w:hAnsiTheme="minorHAnsi"/>
          <w:b/>
          <w:i/>
          <w:color w:val="C00000"/>
          <w:sz w:val="72"/>
          <w:szCs w:val="72"/>
          <w:lang w:val="en-US"/>
        </w:rPr>
        <w:t>our</w:t>
      </w:r>
      <w:bookmarkStart w:id="0" w:name="_GoBack"/>
      <w:bookmarkEnd w:id="0"/>
      <w:r>
        <w:rPr>
          <w:rFonts w:asciiTheme="minorHAnsi" w:hAnsiTheme="minorHAnsi"/>
          <w:b/>
          <w:i/>
          <w:color w:val="C00000"/>
          <w:sz w:val="72"/>
          <w:szCs w:val="72"/>
          <w:lang w:val="en-US"/>
        </w:rPr>
        <w:t xml:space="preserve"> Education system</w:t>
      </w:r>
    </w:p>
    <w:p w:rsidR="006F7C44" w:rsidRPr="007B3BD5" w:rsidRDefault="006F7C44" w:rsidP="007B3BD5">
      <w:pPr>
        <w:pStyle w:val="ListParagraph"/>
        <w:ind w:left="0"/>
        <w:jc w:val="center"/>
        <w:rPr>
          <w:rFonts w:asciiTheme="minorHAnsi" w:hAnsiTheme="minorHAnsi"/>
          <w:i/>
        </w:rPr>
      </w:pPr>
    </w:p>
    <w:p w:rsidR="00A808D0" w:rsidRDefault="00E67BAB" w:rsidP="00BB45EF">
      <w:pPr>
        <w:rPr>
          <w:rFonts w:asciiTheme="minorHAnsi" w:hAnsiTheme="minorHAnsi"/>
        </w:rPr>
      </w:pPr>
      <w:r>
        <w:rPr>
          <w:rFonts w:asciiTheme="minorHAnsi" w:hAnsiTheme="minorHAnsi"/>
        </w:rPr>
        <w:t xml:space="preserve">Preparation for life’s roles is called education and the better prepared we are the better we are able to cope with all that we encounter, or create.  </w:t>
      </w:r>
      <w:r w:rsidR="006059DC">
        <w:rPr>
          <w:rFonts w:asciiTheme="minorHAnsi" w:hAnsiTheme="minorHAnsi"/>
        </w:rPr>
        <w:t xml:space="preserve">Educating is a complex matter made so by the unique characteristics of each person served.  Each person is unique in many ways, unique in basic physical, mental, emotional make-up; unique in the range and nature of previous experience, unique in perceived futures, but also unique in terms of learning pace, style and needs.  </w:t>
      </w:r>
      <w:r w:rsidR="00D33260">
        <w:rPr>
          <w:rFonts w:asciiTheme="minorHAnsi" w:hAnsiTheme="minorHAnsi"/>
        </w:rPr>
        <w:t>Education is often described as any experience that has a formative effect on the way we think, feel or act; it may also the thought of as what we can do with what we have learned.</w:t>
      </w:r>
    </w:p>
    <w:p w:rsidR="00E67BAB" w:rsidRDefault="00E67BAB" w:rsidP="00BB45EF">
      <w:pPr>
        <w:rPr>
          <w:rFonts w:asciiTheme="minorHAnsi" w:hAnsiTheme="minorHAnsi"/>
        </w:rPr>
      </w:pPr>
    </w:p>
    <w:p w:rsidR="00A773FE" w:rsidRPr="00A773FE" w:rsidRDefault="00A773FE" w:rsidP="00BB45EF">
      <w:pPr>
        <w:rPr>
          <w:rFonts w:asciiTheme="minorHAnsi" w:hAnsiTheme="minorHAnsi"/>
        </w:rPr>
      </w:pPr>
      <w:r w:rsidRPr="00A773FE">
        <w:rPr>
          <w:rFonts w:asciiTheme="minorHAnsi" w:hAnsiTheme="minorHAnsi"/>
        </w:rPr>
        <w:t xml:space="preserve">It is widely recognized that education is a key factor in determining each citizen’s quality of life; in the same way, the collective education of our citizens will determine to a significant degree the quality of the community in which we live. </w:t>
      </w:r>
      <w:r w:rsidR="00E67BAB">
        <w:rPr>
          <w:rFonts w:asciiTheme="minorHAnsi" w:hAnsiTheme="minorHAnsi"/>
        </w:rPr>
        <w:t xml:space="preserve"> In recognition of its importance, governments provide massive support for public education; the investment is justified </w:t>
      </w:r>
      <w:r w:rsidRPr="00A773FE">
        <w:rPr>
          <w:rFonts w:asciiTheme="minorHAnsi" w:hAnsiTheme="minorHAnsi"/>
        </w:rPr>
        <w:t xml:space="preserve">for two reasons, one to ensure a high level of personal growth and development for every citizen; the other is to ensure the common good. </w:t>
      </w:r>
    </w:p>
    <w:p w:rsidR="00A773FE" w:rsidRPr="00A773FE" w:rsidRDefault="00A773FE" w:rsidP="00BB45EF">
      <w:pPr>
        <w:rPr>
          <w:rFonts w:asciiTheme="minorHAnsi" w:hAnsiTheme="minorHAnsi"/>
        </w:rPr>
      </w:pPr>
    </w:p>
    <w:p w:rsidR="00A773FE" w:rsidRPr="00A773FE" w:rsidRDefault="00A773FE" w:rsidP="00BB45EF">
      <w:pPr>
        <w:rPr>
          <w:rFonts w:asciiTheme="minorHAnsi" w:hAnsiTheme="minorHAnsi" w:cs="Times New Roman"/>
          <w:b/>
        </w:rPr>
      </w:pPr>
      <w:r w:rsidRPr="00A773FE">
        <w:rPr>
          <w:rFonts w:asciiTheme="minorHAnsi" w:hAnsiTheme="minorHAnsi"/>
        </w:rPr>
        <w:t xml:space="preserve">There is a gap between what Islanders have and what they want in the way of education.  Indicators of the gap include: the limited engagement between educators and the community they serve; the lack of a philosophy of education that encompasses all our citizens; government’s focus on the young and schooling; service gaps such as the availability of independent information on which to make educational choices; availability of part time instruction; lack of market conditions normal for a sector; politicization of decision making and limits on professional autonomy and accountability. Citizens see most of the issues as organizational, created by government decision-makers and, therefore, capable of being changed by those same government decision-makers.  </w:t>
      </w:r>
    </w:p>
    <w:p w:rsidR="00A773FE" w:rsidRPr="00A773FE" w:rsidRDefault="00A773FE" w:rsidP="00BB45EF">
      <w:pPr>
        <w:rPr>
          <w:rFonts w:asciiTheme="minorHAnsi" w:hAnsiTheme="minorHAnsi"/>
          <w:color w:val="FF0000"/>
        </w:rPr>
      </w:pPr>
    </w:p>
    <w:p w:rsidR="00A773FE" w:rsidRPr="00A773FE" w:rsidRDefault="00A773FE" w:rsidP="00BB45EF">
      <w:pPr>
        <w:rPr>
          <w:rFonts w:asciiTheme="minorHAnsi" w:hAnsiTheme="minorHAnsi"/>
          <w:color w:val="000000" w:themeColor="text1"/>
        </w:rPr>
      </w:pPr>
      <w:r w:rsidRPr="00A773FE">
        <w:rPr>
          <w:rFonts w:asciiTheme="minorHAnsi" w:hAnsiTheme="minorHAnsi"/>
          <w:color w:val="000000" w:themeColor="text1"/>
        </w:rPr>
        <w:t>To close the gap between what Islanders want and what the Province provides; Education 20/20 Inc. recommends that:</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 xml:space="preserve">As an immediate step, Government engage in the development of a short, clear, overarching, public statement about education, </w:t>
      </w:r>
      <w:proofErr w:type="gramStart"/>
      <w:r w:rsidRPr="00A773FE">
        <w:rPr>
          <w:rFonts w:asciiTheme="minorHAnsi" w:hAnsiTheme="minorHAnsi"/>
          <w:color w:val="000000" w:themeColor="text1"/>
        </w:rPr>
        <w:t>who</w:t>
      </w:r>
      <w:proofErr w:type="gramEnd"/>
      <w:r w:rsidRPr="00A773FE">
        <w:rPr>
          <w:rFonts w:asciiTheme="minorHAnsi" w:hAnsiTheme="minorHAnsi"/>
          <w:color w:val="000000" w:themeColor="text1"/>
        </w:rPr>
        <w:t xml:space="preserve"> it </w:t>
      </w:r>
      <w:r w:rsidR="00D33260">
        <w:rPr>
          <w:rFonts w:asciiTheme="minorHAnsi" w:hAnsiTheme="minorHAnsi"/>
          <w:color w:val="000000" w:themeColor="text1"/>
        </w:rPr>
        <w:t>is intended to serve</w:t>
      </w:r>
      <w:r w:rsidRPr="00A773FE">
        <w:rPr>
          <w:rFonts w:asciiTheme="minorHAnsi" w:hAnsiTheme="minorHAnsi"/>
          <w:color w:val="000000" w:themeColor="text1"/>
        </w:rPr>
        <w:t>, its gui</w:t>
      </w:r>
      <w:r w:rsidRPr="00A773FE">
        <w:rPr>
          <w:rFonts w:asciiTheme="minorHAnsi" w:hAnsiTheme="minorHAnsi"/>
          <w:color w:val="000000" w:themeColor="text1"/>
        </w:rPr>
        <w:t>d</w:t>
      </w:r>
      <w:r w:rsidRPr="00A773FE">
        <w:rPr>
          <w:rFonts w:asciiTheme="minorHAnsi" w:hAnsiTheme="minorHAnsi"/>
          <w:color w:val="000000" w:themeColor="text1"/>
        </w:rPr>
        <w:t xml:space="preserve">ing principles and basic beliefs.  Although much has been written about education, a comprehensive vision statement does not currently exist for PEI. We believe that having such a statement is required, especially for a service as large and complex as </w:t>
      </w:r>
      <w:r w:rsidRPr="00A773FE">
        <w:rPr>
          <w:rFonts w:asciiTheme="minorHAnsi" w:hAnsiTheme="minorHAnsi"/>
          <w:color w:val="000000" w:themeColor="text1"/>
        </w:rPr>
        <w:lastRenderedPageBreak/>
        <w:t>education, however, we are not suggesting another study but rather a document prepared by a small working with opportunity for citizen input.</w:t>
      </w:r>
    </w:p>
    <w:p w:rsidR="00206DEF" w:rsidRDefault="00206DEF" w:rsidP="00BB45EF">
      <w:pPr>
        <w:pStyle w:val="ListParagraph"/>
        <w:ind w:left="1080"/>
        <w:rPr>
          <w:rFonts w:asciiTheme="minorHAnsi" w:hAnsiTheme="minorHAnsi"/>
          <w:color w:val="000000" w:themeColor="text1"/>
        </w:rPr>
      </w:pPr>
    </w:p>
    <w:p w:rsidR="00A773FE" w:rsidRPr="00A773FE" w:rsidRDefault="00A773FE" w:rsidP="00BB45EF">
      <w:pPr>
        <w:pStyle w:val="ListParagraph"/>
        <w:ind w:left="1080"/>
        <w:rPr>
          <w:rFonts w:asciiTheme="minorHAnsi" w:hAnsiTheme="minorHAnsi"/>
          <w:color w:val="000000" w:themeColor="text1"/>
        </w:rPr>
      </w:pPr>
      <w:r w:rsidRPr="00A773FE">
        <w:rPr>
          <w:rFonts w:asciiTheme="minorHAnsi" w:hAnsiTheme="minorHAnsi"/>
          <w:color w:val="000000" w:themeColor="text1"/>
        </w:rPr>
        <w:t xml:space="preserve">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Develop a learner centered service model that provides support in all domains to learners as, when and where needed.  Doing so would involve student centered ou</w:t>
      </w:r>
      <w:r w:rsidRPr="00A773FE">
        <w:rPr>
          <w:rFonts w:asciiTheme="minorHAnsi" w:hAnsiTheme="minorHAnsi"/>
          <w:color w:val="000000" w:themeColor="text1"/>
        </w:rPr>
        <w:t>t</w:t>
      </w:r>
      <w:r w:rsidRPr="00A773FE">
        <w:rPr>
          <w:rFonts w:asciiTheme="minorHAnsi" w:hAnsiTheme="minorHAnsi"/>
          <w:color w:val="000000" w:themeColor="text1"/>
        </w:rPr>
        <w:t>comes, criterion referenced assessment, flexible scheduling, challenge for credit a</w:t>
      </w:r>
      <w:r w:rsidRPr="00A773FE">
        <w:rPr>
          <w:rFonts w:asciiTheme="minorHAnsi" w:hAnsiTheme="minorHAnsi"/>
          <w:color w:val="000000" w:themeColor="text1"/>
        </w:rPr>
        <w:t>r</w:t>
      </w:r>
      <w:r w:rsidRPr="00A773FE">
        <w:rPr>
          <w:rFonts w:asciiTheme="minorHAnsi" w:hAnsiTheme="minorHAnsi"/>
          <w:color w:val="000000" w:themeColor="text1"/>
        </w:rPr>
        <w:t xml:space="preserve">rangements, and greater autonomy and accountability for teachers.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reserve for itself a leadership role in creating a learning culture and providing a quality education for every Islander.  Such a role is important but curren</w:t>
      </w:r>
      <w:r w:rsidRPr="00A773FE">
        <w:rPr>
          <w:rFonts w:asciiTheme="minorHAnsi" w:hAnsiTheme="minorHAnsi"/>
          <w:color w:val="000000" w:themeColor="text1"/>
        </w:rPr>
        <w:t>t</w:t>
      </w:r>
      <w:r w:rsidRPr="00A773FE">
        <w:rPr>
          <w:rFonts w:asciiTheme="minorHAnsi" w:hAnsiTheme="minorHAnsi"/>
          <w:color w:val="000000" w:themeColor="text1"/>
        </w:rPr>
        <w:t xml:space="preserve">ly lacking, and education suffers as a result. Government </w:t>
      </w:r>
      <w:proofErr w:type="gramStart"/>
      <w:r w:rsidRPr="00A773FE">
        <w:rPr>
          <w:rFonts w:asciiTheme="minorHAnsi" w:hAnsiTheme="minorHAnsi"/>
          <w:color w:val="000000" w:themeColor="text1"/>
        </w:rPr>
        <w:t>should  focus</w:t>
      </w:r>
      <w:proofErr w:type="gramEnd"/>
      <w:r w:rsidRPr="00A773FE">
        <w:rPr>
          <w:rFonts w:asciiTheme="minorHAnsi" w:hAnsiTheme="minorHAnsi"/>
          <w:color w:val="000000" w:themeColor="text1"/>
        </w:rPr>
        <w:t xml:space="preserve"> on matters of planning, setting priorities, funding, monitoring, quality control, ensuring the avail</w:t>
      </w:r>
      <w:r w:rsidRPr="00A773FE">
        <w:rPr>
          <w:rFonts w:asciiTheme="minorHAnsi" w:hAnsiTheme="minorHAnsi"/>
          <w:color w:val="000000" w:themeColor="text1"/>
        </w:rPr>
        <w:t>a</w:t>
      </w:r>
      <w:r w:rsidRPr="00A773FE">
        <w:rPr>
          <w:rFonts w:asciiTheme="minorHAnsi" w:hAnsiTheme="minorHAnsi"/>
          <w:color w:val="000000" w:themeColor="text1"/>
        </w:rPr>
        <w:t xml:space="preserve">bility of professional resources, home support for preschool children,  information and continuing education. Under such an arrangement, the Department may well play an increased role in delivering support to families with </w:t>
      </w:r>
      <w:proofErr w:type="spellStart"/>
      <w:r w:rsidRPr="00A773FE">
        <w:rPr>
          <w:rFonts w:asciiTheme="minorHAnsi" w:hAnsiTheme="minorHAnsi"/>
          <w:color w:val="000000" w:themeColor="text1"/>
        </w:rPr>
        <w:t>pre- school</w:t>
      </w:r>
      <w:proofErr w:type="spellEnd"/>
      <w:r w:rsidRPr="00A773FE">
        <w:rPr>
          <w:rFonts w:asciiTheme="minorHAnsi" w:hAnsiTheme="minorHAnsi"/>
          <w:color w:val="000000" w:themeColor="text1"/>
        </w:rPr>
        <w:t xml:space="preserve"> children, more active role in promoting and offering continuing education classes and even in providing information and services to children and their parents.</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delegate the role of providing instruction; actual provision of instru</w:t>
      </w:r>
      <w:r w:rsidRPr="00A773FE">
        <w:rPr>
          <w:rFonts w:asciiTheme="minorHAnsi" w:hAnsiTheme="minorHAnsi"/>
          <w:color w:val="000000" w:themeColor="text1"/>
        </w:rPr>
        <w:t>c</w:t>
      </w:r>
      <w:r w:rsidRPr="00A773FE">
        <w:rPr>
          <w:rFonts w:asciiTheme="minorHAnsi" w:hAnsiTheme="minorHAnsi"/>
          <w:color w:val="000000" w:themeColor="text1"/>
        </w:rPr>
        <w:t xml:space="preserve">tion to be expanded beyond schools, colleges, universities to include community agencies, professionals in private practice and learners themselves. </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NormalWeb"/>
        <w:numPr>
          <w:ilvl w:val="0"/>
          <w:numId w:val="14"/>
        </w:numPr>
        <w:spacing w:before="0" w:beforeAutospacing="0" w:after="0" w:afterAutospacing="0"/>
        <w:rPr>
          <w:rFonts w:asciiTheme="minorHAnsi" w:hAnsiTheme="minorHAnsi"/>
          <w:color w:val="000000" w:themeColor="text1"/>
        </w:rPr>
      </w:pPr>
      <w:r w:rsidRPr="00A773FE">
        <w:rPr>
          <w:rFonts w:asciiTheme="minorHAnsi" w:hAnsiTheme="minorHAnsi"/>
          <w:color w:val="000000" w:themeColor="text1"/>
        </w:rPr>
        <w:t>Establish a qualification authority, a separate body for the purpose certifying ind</w:t>
      </w:r>
      <w:r w:rsidRPr="00A773FE">
        <w:rPr>
          <w:rFonts w:asciiTheme="minorHAnsi" w:hAnsiTheme="minorHAnsi"/>
          <w:color w:val="000000" w:themeColor="text1"/>
        </w:rPr>
        <w:t>i</w:t>
      </w:r>
      <w:r w:rsidRPr="00A773FE">
        <w:rPr>
          <w:rFonts w:asciiTheme="minorHAnsi" w:hAnsiTheme="minorHAnsi"/>
          <w:color w:val="000000" w:themeColor="text1"/>
        </w:rPr>
        <w:t>vidual levels of achievement to persons wanting or needing such documentation.  The role of teaching is to help others learn; when a teachers rank their students they are putting their ability to teach at risk; assigning student grades, selecting students for prizes and awards and awarding diplomas and degrees is a sorting process and should not be part of a teacher’s role.  Apprenticeship with certification through a Provincial Department of Labour and music through the Royal Canadian Music</w:t>
      </w:r>
      <w:r w:rsidR="00D33260">
        <w:rPr>
          <w:rFonts w:asciiTheme="minorHAnsi" w:hAnsiTheme="minorHAnsi"/>
          <w:color w:val="000000" w:themeColor="text1"/>
        </w:rPr>
        <w:t xml:space="preserve"> C</w:t>
      </w:r>
      <w:r w:rsidRPr="00A773FE">
        <w:rPr>
          <w:rFonts w:asciiTheme="minorHAnsi" w:hAnsiTheme="minorHAnsi"/>
          <w:color w:val="000000" w:themeColor="text1"/>
        </w:rPr>
        <w:t>o</w:t>
      </w:r>
      <w:r w:rsidRPr="00A773FE">
        <w:rPr>
          <w:rFonts w:asciiTheme="minorHAnsi" w:hAnsiTheme="minorHAnsi"/>
          <w:color w:val="000000" w:themeColor="text1"/>
        </w:rPr>
        <w:t>n</w:t>
      </w:r>
      <w:r w:rsidRPr="00A773FE">
        <w:rPr>
          <w:rFonts w:asciiTheme="minorHAnsi" w:hAnsiTheme="minorHAnsi"/>
          <w:color w:val="000000" w:themeColor="text1"/>
        </w:rPr>
        <w:t xml:space="preserve">servatory are examples of </w:t>
      </w:r>
      <w:r w:rsidR="00D33260">
        <w:rPr>
          <w:rFonts w:asciiTheme="minorHAnsi" w:hAnsiTheme="minorHAnsi"/>
          <w:color w:val="000000" w:themeColor="text1"/>
        </w:rPr>
        <w:t>a</w:t>
      </w:r>
      <w:r w:rsidRPr="00A773FE">
        <w:rPr>
          <w:rFonts w:asciiTheme="minorHAnsi" w:hAnsiTheme="minorHAnsi"/>
          <w:color w:val="000000" w:themeColor="text1"/>
        </w:rPr>
        <w:t xml:space="preserve"> preferred arrangement.  </w:t>
      </w:r>
    </w:p>
    <w:p w:rsidR="00A773FE" w:rsidRPr="00A773FE" w:rsidRDefault="00A773FE" w:rsidP="00BB45EF">
      <w:pPr>
        <w:pStyle w:val="ListParagraph"/>
        <w:ind w:left="1080"/>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Take steps to establish a more professional model of service delivery such as in health and justice services, where professionals are directly accountable to clients for the nature, extent and quality of service provided.  Such a model must include closer professional-client relationship than now exist, the potential for a family ed</w:t>
      </w:r>
      <w:r w:rsidRPr="00A773FE">
        <w:rPr>
          <w:rFonts w:asciiTheme="minorHAnsi" w:hAnsiTheme="minorHAnsi"/>
          <w:color w:val="000000" w:themeColor="text1"/>
        </w:rPr>
        <w:t>u</w:t>
      </w:r>
      <w:r w:rsidRPr="00A773FE">
        <w:rPr>
          <w:rFonts w:asciiTheme="minorHAnsi" w:hAnsiTheme="minorHAnsi"/>
          <w:color w:val="000000" w:themeColor="text1"/>
        </w:rPr>
        <w:t>cation adviser for those who want it, and professional autonomy and accountability</w:t>
      </w:r>
      <w:r w:rsidR="00D33260">
        <w:rPr>
          <w:rFonts w:asciiTheme="minorHAnsi" w:hAnsiTheme="minorHAnsi"/>
          <w:color w:val="000000" w:themeColor="text1"/>
        </w:rPr>
        <w:t xml:space="preserve"> for all</w:t>
      </w:r>
      <w:r w:rsidRPr="00A773FE">
        <w:rPr>
          <w:rFonts w:asciiTheme="minorHAnsi" w:hAnsiTheme="minorHAnsi"/>
          <w:color w:val="000000" w:themeColor="text1"/>
        </w:rPr>
        <w:t>.</w:t>
      </w:r>
    </w:p>
    <w:p w:rsidR="00A773FE" w:rsidRPr="00A773FE" w:rsidRDefault="00A773FE" w:rsidP="00BB45EF">
      <w:pPr>
        <w:pStyle w:val="ListParagraph"/>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outlineLvl w:val="3"/>
        <w:rPr>
          <w:rFonts w:asciiTheme="minorHAnsi" w:eastAsia="Times New Roman" w:hAnsiTheme="minorHAnsi" w:cs="Arial"/>
          <w:color w:val="666666"/>
          <w:lang w:eastAsia="en-CA"/>
        </w:rPr>
      </w:pPr>
      <w:r w:rsidRPr="00A773FE">
        <w:rPr>
          <w:rFonts w:asciiTheme="minorHAnsi" w:eastAsia="Times New Roman" w:hAnsiTheme="minorHAnsi" w:cs="Arial"/>
          <w:color w:val="666666"/>
          <w:lang w:eastAsia="en-CA"/>
        </w:rPr>
        <w:t>______________________________________________________________________</w:t>
      </w:r>
    </w:p>
    <w:p w:rsidR="00A773FE" w:rsidRDefault="009A7CCE" w:rsidP="00BB45EF">
      <w:pPr>
        <w:pStyle w:val="Standard"/>
        <w:ind w:left="720"/>
        <w:jc w:val="center"/>
        <w:rPr>
          <w:rFonts w:asciiTheme="minorHAnsi" w:hAnsiTheme="minorHAnsi" w:cs="Calibri"/>
          <w:b/>
          <w:bCs/>
          <w:i/>
          <w:sz w:val="18"/>
          <w:szCs w:val="18"/>
          <w:lang w:eastAsia="en-CA"/>
        </w:rPr>
      </w:pPr>
      <w:r>
        <w:rPr>
          <w:rFonts w:asciiTheme="minorHAnsi" w:hAnsiTheme="minorHAnsi" w:cs="Calibri"/>
          <w:b/>
          <w:bCs/>
          <w:i/>
          <w:sz w:val="18"/>
          <w:szCs w:val="18"/>
          <w:lang w:eastAsia="en-CA"/>
        </w:rPr>
        <w:t>The above article represents the views of the writer and not Education 20/20 (</w:t>
      </w:r>
      <w:proofErr w:type="spellStart"/>
      <w:proofErr w:type="gramStart"/>
      <w:r>
        <w:rPr>
          <w:rFonts w:asciiTheme="minorHAnsi" w:hAnsiTheme="minorHAnsi" w:cs="Calibri"/>
          <w:b/>
          <w:bCs/>
          <w:i/>
          <w:sz w:val="18"/>
          <w:szCs w:val="18"/>
          <w:lang w:eastAsia="en-CA"/>
        </w:rPr>
        <w:t>nc</w:t>
      </w:r>
      <w:proofErr w:type="spellEnd"/>
      <w:proofErr w:type="gramEnd"/>
      <w:r>
        <w:rPr>
          <w:rFonts w:asciiTheme="minorHAnsi" w:hAnsiTheme="minorHAnsi" w:cs="Calibri"/>
          <w:b/>
          <w:bCs/>
          <w:i/>
          <w:sz w:val="18"/>
          <w:szCs w:val="18"/>
          <w:lang w:eastAsia="en-CA"/>
        </w:rPr>
        <w:t>.</w:t>
      </w:r>
    </w:p>
    <w:p w:rsidR="009A7CCE" w:rsidRPr="009A7CCE" w:rsidRDefault="009A7CCE" w:rsidP="00BB45EF">
      <w:pPr>
        <w:pStyle w:val="Standard"/>
        <w:ind w:left="720"/>
        <w:jc w:val="center"/>
        <w:rPr>
          <w:rFonts w:asciiTheme="minorHAnsi" w:hAnsiTheme="minorHAnsi" w:cs="Calibri"/>
          <w:b/>
          <w:bCs/>
          <w:i/>
          <w:sz w:val="18"/>
          <w:szCs w:val="18"/>
          <w:lang w:eastAsia="en-CA"/>
        </w:rPr>
      </w:pPr>
    </w:p>
    <w:p w:rsidR="00A773FE" w:rsidRPr="00BB45EF" w:rsidRDefault="00A773FE" w:rsidP="00BB45EF">
      <w:pPr>
        <w:pStyle w:val="Standard"/>
        <w:ind w:left="720"/>
        <w:jc w:val="center"/>
        <w:rPr>
          <w:rFonts w:asciiTheme="minorHAnsi" w:hAnsiTheme="minorHAnsi"/>
          <w:sz w:val="18"/>
          <w:szCs w:val="18"/>
        </w:rPr>
      </w:pPr>
      <w:r w:rsidRPr="00BB45EF">
        <w:rPr>
          <w:rFonts w:asciiTheme="minorHAnsi" w:hAnsiTheme="minorHAnsi" w:cs="Calibri"/>
          <w:b/>
          <w:bCs/>
          <w:i/>
          <w:sz w:val="18"/>
          <w:szCs w:val="18"/>
          <w:lang w:eastAsia="en-CA"/>
        </w:rPr>
        <w:t xml:space="preserve">Education 20/20 Inc. </w:t>
      </w:r>
      <w:r w:rsidRPr="00BB45EF">
        <w:rPr>
          <w:rFonts w:asciiTheme="minorHAnsi" w:hAnsiTheme="minorHAnsi" w:cs="Calibri"/>
          <w:sz w:val="18"/>
          <w:szCs w:val="18"/>
        </w:rPr>
        <w:t>101 Kent St., PO Box 624/rue Kent, BP 624 Charlottetown, PEI C1A 1M0 Canada</w:t>
      </w:r>
    </w:p>
    <w:p w:rsidR="00CF2221" w:rsidRPr="00A773FE" w:rsidRDefault="00A773FE" w:rsidP="00823193">
      <w:pPr>
        <w:pStyle w:val="Standard"/>
        <w:ind w:left="720"/>
        <w:jc w:val="center"/>
        <w:rPr>
          <w:rFonts w:asciiTheme="minorHAnsi" w:hAnsiTheme="minorHAnsi"/>
        </w:rPr>
      </w:pPr>
      <w:r w:rsidRPr="00BB45EF">
        <w:rPr>
          <w:rFonts w:asciiTheme="minorHAnsi" w:hAnsiTheme="minorHAnsi" w:cs="Calibri"/>
          <w:sz w:val="18"/>
          <w:szCs w:val="18"/>
        </w:rPr>
        <w:t xml:space="preserve">Tel: 902-892-2060; Email: </w:t>
      </w:r>
      <w:hyperlink r:id="rId16" w:history="1">
        <w:r w:rsidRPr="00BB45EF">
          <w:rPr>
            <w:rStyle w:val="Hyperlink"/>
            <w:rFonts w:asciiTheme="minorHAnsi" w:hAnsiTheme="minorHAnsi" w:cs="Calibri"/>
            <w:sz w:val="18"/>
            <w:szCs w:val="18"/>
          </w:rPr>
          <w:t>pei@education2020.ca</w:t>
        </w:r>
      </w:hyperlink>
      <w:r w:rsidRPr="00BB45EF">
        <w:rPr>
          <w:rStyle w:val="Hyperlink"/>
          <w:rFonts w:asciiTheme="minorHAnsi" w:hAnsiTheme="minorHAnsi" w:cs="Calibri"/>
          <w:sz w:val="18"/>
          <w:szCs w:val="18"/>
        </w:rPr>
        <w:t xml:space="preserve">; </w:t>
      </w:r>
      <w:hyperlink r:id="rId17" w:history="1">
        <w:r w:rsidRPr="00BB45EF">
          <w:rPr>
            <w:rStyle w:val="Hyperlink"/>
            <w:rFonts w:asciiTheme="minorHAnsi" w:hAnsiTheme="minorHAnsi" w:cs="Calibri"/>
            <w:sz w:val="18"/>
            <w:szCs w:val="18"/>
          </w:rPr>
          <w:t>www.education2020.ca</w:t>
        </w:r>
      </w:hyperlink>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rsidSect="00765992">
      <w:type w:val="continuous"/>
      <w:pgSz w:w="12240" w:h="15840"/>
      <w:pgMar w:top="680" w:right="1440" w:bottom="1134" w:left="1440" w:header="720" w:footer="720" w:gutter="0"/>
      <w:cols w:space="720" w:equalWidth="0">
        <w:col w:w="9360" w:space="72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5C7C" w:rsidRDefault="00A75C7C">
      <w:r>
        <w:separator/>
      </w:r>
    </w:p>
  </w:endnote>
  <w:endnote w:type="continuationSeparator" w:id="0">
    <w:p w:rsidR="00A75C7C" w:rsidRDefault="00A7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5C7C" w:rsidRDefault="00A75C7C">
      <w:r>
        <w:rPr>
          <w:color w:val="000000"/>
        </w:rPr>
        <w:separator/>
      </w:r>
    </w:p>
  </w:footnote>
  <w:footnote w:type="continuationSeparator" w:id="0">
    <w:p w:rsidR="00A75C7C" w:rsidRDefault="00A75C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776126"/>
      <w:docPartObj>
        <w:docPartGallery w:val="Watermarks"/>
        <w:docPartUnique/>
      </w:docPartObj>
    </w:sdtPr>
    <w:sdtEndPr/>
    <w:sdtContent>
      <w:p w:rsidR="00D33260" w:rsidRDefault="00A75C7C">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260" w:rsidRDefault="00D332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3"/>
  </w:num>
  <w:num w:numId="5">
    <w:abstractNumId w:val="4"/>
  </w:num>
  <w:num w:numId="6">
    <w:abstractNumId w:val="6"/>
  </w:num>
  <w:num w:numId="7">
    <w:abstractNumId w:val="5"/>
  </w:num>
  <w:num w:numId="8">
    <w:abstractNumId w:val="0"/>
  </w:num>
  <w:num w:numId="9">
    <w:abstractNumId w:val="1"/>
    <w:lvlOverride w:ilvl="0">
      <w:startOverride w:val="1"/>
    </w:lvlOverride>
  </w:num>
  <w:num w:numId="10">
    <w:abstractNumId w:val="4"/>
  </w:num>
  <w:num w:numId="11">
    <w:abstractNumId w:val="3"/>
  </w:num>
  <w:num w:numId="12">
    <w:abstractNumId w:val="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A7F8F"/>
    <w:rsid w:val="00206DEF"/>
    <w:rsid w:val="0021450D"/>
    <w:rsid w:val="0025232B"/>
    <w:rsid w:val="002553A2"/>
    <w:rsid w:val="00283734"/>
    <w:rsid w:val="002A0477"/>
    <w:rsid w:val="002B1BA5"/>
    <w:rsid w:val="002C459C"/>
    <w:rsid w:val="002C56E7"/>
    <w:rsid w:val="002D012C"/>
    <w:rsid w:val="002F4783"/>
    <w:rsid w:val="002F4A7D"/>
    <w:rsid w:val="00322472"/>
    <w:rsid w:val="003457D2"/>
    <w:rsid w:val="0038102B"/>
    <w:rsid w:val="00397DB9"/>
    <w:rsid w:val="003B47F1"/>
    <w:rsid w:val="003E6347"/>
    <w:rsid w:val="004002E2"/>
    <w:rsid w:val="00454602"/>
    <w:rsid w:val="00461971"/>
    <w:rsid w:val="00495457"/>
    <w:rsid w:val="004B1892"/>
    <w:rsid w:val="004B18B9"/>
    <w:rsid w:val="004C54D8"/>
    <w:rsid w:val="005372E8"/>
    <w:rsid w:val="0054357B"/>
    <w:rsid w:val="00593318"/>
    <w:rsid w:val="006059DC"/>
    <w:rsid w:val="006F7C44"/>
    <w:rsid w:val="00730753"/>
    <w:rsid w:val="00765992"/>
    <w:rsid w:val="00787A18"/>
    <w:rsid w:val="007B3BD5"/>
    <w:rsid w:val="00823193"/>
    <w:rsid w:val="0082427B"/>
    <w:rsid w:val="00877393"/>
    <w:rsid w:val="008A2ED8"/>
    <w:rsid w:val="008D6DEB"/>
    <w:rsid w:val="00904D30"/>
    <w:rsid w:val="00961C50"/>
    <w:rsid w:val="00962FEE"/>
    <w:rsid w:val="009A7CCE"/>
    <w:rsid w:val="00A43B6C"/>
    <w:rsid w:val="00A730F4"/>
    <w:rsid w:val="00A75C7C"/>
    <w:rsid w:val="00A773FE"/>
    <w:rsid w:val="00A808D0"/>
    <w:rsid w:val="00A81484"/>
    <w:rsid w:val="00AB0ABD"/>
    <w:rsid w:val="00AE396E"/>
    <w:rsid w:val="00B670DC"/>
    <w:rsid w:val="00B87E4C"/>
    <w:rsid w:val="00BB24E8"/>
    <w:rsid w:val="00BB45EF"/>
    <w:rsid w:val="00BC1D0F"/>
    <w:rsid w:val="00C02C51"/>
    <w:rsid w:val="00C1471C"/>
    <w:rsid w:val="00C65F9C"/>
    <w:rsid w:val="00C67595"/>
    <w:rsid w:val="00C776FA"/>
    <w:rsid w:val="00CE0679"/>
    <w:rsid w:val="00CF2221"/>
    <w:rsid w:val="00D05DEF"/>
    <w:rsid w:val="00D33260"/>
    <w:rsid w:val="00DD09A9"/>
    <w:rsid w:val="00DF768B"/>
    <w:rsid w:val="00E22E59"/>
    <w:rsid w:val="00E67BAB"/>
    <w:rsid w:val="00EB2F5B"/>
    <w:rsid w:val="00EC5668"/>
    <w:rsid w:val="00ED4EA9"/>
    <w:rsid w:val="00EF2333"/>
    <w:rsid w:val="00F26F89"/>
    <w:rsid w:val="00F60AB1"/>
    <w:rsid w:val="00F73E6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education2020.ca" TargetMode="External"/><Relationship Id="rId2" Type="http://schemas.openxmlformats.org/officeDocument/2006/relationships/numbering" Target="numbering.xml"/><Relationship Id="rId16" Type="http://schemas.openxmlformats.org/officeDocument/2006/relationships/hyperlink" Target="mailto:pei@education2020.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1535B-9842-4817-ABE9-2A359B1E7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19</cp:revision>
  <cp:lastPrinted>2015-03-26T11:34:00Z</cp:lastPrinted>
  <dcterms:created xsi:type="dcterms:W3CDTF">2015-03-19T16:49:00Z</dcterms:created>
  <dcterms:modified xsi:type="dcterms:W3CDTF">2015-03-26T23:31:00Z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