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1DC" w:rsidRDefault="001B757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p</w:t>
      </w:r>
    </w:p>
    <w:p w:rsidR="009711DC" w:rsidRPr="007D0844" w:rsidRDefault="009711DC" w:rsidP="007D0844">
      <w:pPr>
        <w:pStyle w:val="Standard"/>
        <w:jc w:val="both"/>
        <w:rPr>
          <w:rFonts w:cstheme="minorHAnsi"/>
          <w:b/>
          <w:i/>
          <w:color w:val="C0504D" w:themeColor="accent2"/>
        </w:rPr>
      </w:pPr>
      <w:r w:rsidRPr="007D0844">
        <w:rPr>
          <w:rFonts w:cstheme="minorHAnsi"/>
          <w:b/>
          <w:i/>
        </w:rPr>
        <w:t>About Education</w:t>
      </w:r>
      <w:r w:rsidRPr="007D0844">
        <w:rPr>
          <w:rFonts w:cstheme="minorHAnsi"/>
          <w:b/>
          <w:i/>
        </w:rPr>
        <w:tab/>
      </w:r>
      <w:r w:rsidRPr="007D0844">
        <w:rPr>
          <w:rFonts w:cstheme="minorHAnsi"/>
          <w:b/>
          <w:i/>
          <w:color w:val="C0504D" w:themeColor="accent2"/>
        </w:rPr>
        <w:tab/>
      </w:r>
      <w:r w:rsidRPr="007D0844">
        <w:rPr>
          <w:rFonts w:cstheme="minorHAnsi"/>
          <w:b/>
          <w:i/>
          <w:color w:val="C0504D" w:themeColor="accent2"/>
        </w:rPr>
        <w:tab/>
      </w:r>
      <w:r w:rsidRPr="007D0844">
        <w:rPr>
          <w:rFonts w:cstheme="minorHAnsi"/>
          <w:b/>
          <w:i/>
          <w:color w:val="C0504D" w:themeColor="accent2"/>
        </w:rPr>
        <w:tab/>
      </w:r>
      <w:r w:rsidRPr="007D0844">
        <w:rPr>
          <w:rFonts w:cstheme="minorHAnsi"/>
          <w:b/>
          <w:i/>
          <w:color w:val="C0504D" w:themeColor="accent2"/>
        </w:rPr>
        <w:tab/>
      </w:r>
      <w:r w:rsidRPr="007D0844">
        <w:rPr>
          <w:rFonts w:cstheme="minorHAnsi"/>
          <w:b/>
          <w:i/>
          <w:color w:val="C0504D" w:themeColor="accent2"/>
        </w:rPr>
        <w:tab/>
      </w:r>
      <w:r w:rsidRPr="007D0844">
        <w:rPr>
          <w:rFonts w:cstheme="minorHAnsi"/>
          <w:b/>
          <w:i/>
          <w:color w:val="C0504D" w:themeColor="accent2"/>
        </w:rPr>
        <w:tab/>
      </w:r>
      <w:r w:rsidRPr="007D0844">
        <w:rPr>
          <w:rFonts w:cstheme="minorHAnsi"/>
          <w:b/>
          <w:i/>
          <w:color w:val="C0504D" w:themeColor="accent2"/>
        </w:rPr>
        <w:tab/>
      </w:r>
      <w:r w:rsidRPr="007D0844">
        <w:rPr>
          <w:noProof/>
          <w:lang w:eastAsia="en-CA"/>
        </w:rPr>
        <w:drawing>
          <wp:inline distT="0" distB="0" distL="0" distR="0" wp14:anchorId="227C5606" wp14:editId="16FCD93B">
            <wp:extent cx="762133" cy="368968"/>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1895" cy="373694"/>
                    </a:xfrm>
                    <a:prstGeom prst="rect">
                      <a:avLst/>
                    </a:prstGeom>
                    <a:noFill/>
                    <a:ln>
                      <a:noFill/>
                    </a:ln>
                  </pic:spPr>
                </pic:pic>
              </a:graphicData>
            </a:graphic>
          </wp:inline>
        </w:drawing>
      </w:r>
      <w:r w:rsidRPr="007D0844">
        <w:rPr>
          <w:rFonts w:cstheme="minorHAnsi"/>
          <w:b/>
          <w:i/>
          <w:color w:val="C0504D" w:themeColor="accent2"/>
        </w:rPr>
        <w:t xml:space="preserve"> </w:t>
      </w:r>
    </w:p>
    <w:p w:rsidR="009711DC" w:rsidRPr="007D0844" w:rsidRDefault="009711DC" w:rsidP="007D0844">
      <w:pPr>
        <w:pStyle w:val="Standard"/>
        <w:jc w:val="center"/>
      </w:pPr>
      <w:r w:rsidRPr="007D0844">
        <w:rPr>
          <w:rFonts w:asciiTheme="minorHAnsi" w:hAnsiTheme="minorHAnsi"/>
          <w:b/>
          <w:i/>
          <w:color w:val="C00000"/>
          <w:lang w:val="en-US"/>
        </w:rPr>
        <w:t>Math Misc N</w:t>
      </w:r>
      <w:r w:rsidR="00212579" w:rsidRPr="007D0844">
        <w:rPr>
          <w:rFonts w:asciiTheme="minorHAnsi" w:hAnsiTheme="minorHAnsi"/>
          <w:b/>
          <w:i/>
          <w:color w:val="C00000"/>
          <w:lang w:val="en-US"/>
        </w:rPr>
        <w:t>o</w:t>
      </w:r>
      <w:r w:rsidRPr="007D0844">
        <w:rPr>
          <w:rFonts w:asciiTheme="minorHAnsi" w:hAnsiTheme="minorHAnsi"/>
          <w:b/>
          <w:i/>
          <w:color w:val="C00000"/>
          <w:lang w:val="en-US"/>
        </w:rPr>
        <w:t>tes</w:t>
      </w:r>
    </w:p>
    <w:p w:rsidR="009711DC" w:rsidRPr="007D0844" w:rsidRDefault="009711DC" w:rsidP="007D0844">
      <w:pPr>
        <w:pStyle w:val="Standard"/>
        <w:jc w:val="right"/>
        <w:rPr>
          <w:rFonts w:asciiTheme="minorHAnsi" w:hAnsiTheme="minorHAnsi"/>
          <w:b/>
          <w:i/>
          <w:color w:val="C00000"/>
          <w:lang w:val="en-US"/>
        </w:rPr>
      </w:pPr>
      <w:r w:rsidRPr="007D0844">
        <w:rPr>
          <w:rFonts w:asciiTheme="minorHAnsi" w:hAnsiTheme="minorHAnsi"/>
          <w:b/>
          <w:i/>
          <w:color w:val="C00000"/>
          <w:lang w:val="en-US"/>
        </w:rPr>
        <w:t>Math-</w:t>
      </w:r>
      <w:r w:rsidR="003A1AEF">
        <w:rPr>
          <w:rFonts w:asciiTheme="minorHAnsi" w:hAnsiTheme="minorHAnsi"/>
          <w:b/>
          <w:i/>
          <w:color w:val="C00000"/>
          <w:lang w:val="en-US"/>
        </w:rPr>
        <w:t>5</w:t>
      </w:r>
      <w:bookmarkStart w:id="0" w:name="_GoBack"/>
      <w:bookmarkEnd w:id="0"/>
    </w:p>
    <w:p w:rsidR="009711DC" w:rsidRPr="007D0844" w:rsidRDefault="009711DC" w:rsidP="007D0844">
      <w:pPr>
        <w:pStyle w:val="Standard"/>
        <w:rPr>
          <w:rFonts w:cs="Times New Roman"/>
          <w:b/>
          <w:lang w:val="en-US"/>
        </w:rPr>
      </w:pPr>
      <w:r w:rsidRPr="007D0844">
        <w:rPr>
          <w:rFonts w:cs="Times New Roman"/>
          <w:b/>
          <w:lang w:val="en-US"/>
        </w:rPr>
        <w:t>______________________________________________</w:t>
      </w:r>
      <w:r w:rsidR="007D0844" w:rsidRPr="007D0844">
        <w:rPr>
          <w:rFonts w:cs="Times New Roman"/>
          <w:b/>
          <w:lang w:val="en-US"/>
        </w:rPr>
        <w:t>_______________________________</w:t>
      </w:r>
      <w:r w:rsidRPr="007D0844">
        <w:rPr>
          <w:rFonts w:cs="Times New Roman"/>
          <w:b/>
          <w:lang w:val="en-US"/>
        </w:rPr>
        <w:t>_</w:t>
      </w:r>
    </w:p>
    <w:p w:rsidR="00FD69A8" w:rsidRPr="007D0844" w:rsidRDefault="00FD69A8" w:rsidP="00FD69A8">
      <w:pPr>
        <w:widowControl/>
        <w:suppressAutoHyphens w:val="0"/>
        <w:autoSpaceDN/>
        <w:spacing w:after="100" w:afterAutospacing="1"/>
        <w:textAlignment w:val="auto"/>
        <w:rPr>
          <w:sz w:val="22"/>
          <w:szCs w:val="22"/>
          <w:lang w:val="en"/>
        </w:rPr>
      </w:pPr>
      <w:r>
        <w:rPr>
          <w:rFonts w:asciiTheme="minorHAnsi" w:hAnsiTheme="minorHAnsi"/>
          <w:b/>
          <w:i/>
          <w:color w:val="C00000"/>
          <w:lang w:val="en-US"/>
        </w:rPr>
        <w:t xml:space="preserve"> </w:t>
      </w:r>
      <w:r>
        <w:rPr>
          <w:rFonts w:asciiTheme="minorHAnsi" w:hAnsiTheme="minorHAnsi"/>
          <w:b/>
          <w:i/>
          <w:color w:val="C00000"/>
          <w:lang w:val="en-US"/>
        </w:rPr>
        <w:tab/>
      </w:r>
      <w:r w:rsidRPr="007D0844">
        <w:rPr>
          <w:sz w:val="22"/>
          <w:szCs w:val="22"/>
          <w:lang w:val="en"/>
        </w:rPr>
        <w:t>http://www.THEIMP.ca•</w:t>
      </w:r>
      <w:r w:rsidRPr="007D0844">
        <w:rPr>
          <w:sz w:val="22"/>
          <w:szCs w:val="22"/>
          <w:lang w:val="en"/>
        </w:rPr>
        <w:tab/>
        <w:t>Statistics Canada:  http://www.statcan.gc.ca/pub/81-004-x/def/4153348-eng.htm</w:t>
      </w:r>
    </w:p>
    <w:p w:rsidR="009711DC" w:rsidRPr="007D0844" w:rsidRDefault="009711DC" w:rsidP="00FD69A8">
      <w:pPr>
        <w:pStyle w:val="Standard"/>
        <w:tabs>
          <w:tab w:val="left" w:pos="6454"/>
        </w:tabs>
        <w:rPr>
          <w:rFonts w:asciiTheme="minorHAnsi" w:hAnsiTheme="minorHAnsi"/>
          <w:b/>
          <w:i/>
          <w:color w:val="C00000"/>
          <w:lang w:val="en-US"/>
        </w:rPr>
      </w:pPr>
    </w:p>
    <w:p w:rsidR="00A9407A" w:rsidRPr="007D0844" w:rsidRDefault="00A9407A" w:rsidP="007D0844">
      <w:r w:rsidRPr="007D0844">
        <w:rPr>
          <w:b/>
        </w:rPr>
        <w:t xml:space="preserve">Definition </w:t>
      </w:r>
      <w:r w:rsidRPr="007D0844">
        <w:t xml:space="preserve">– the study of </w:t>
      </w:r>
      <w:r w:rsidRPr="007D0844">
        <w:rPr>
          <w:rFonts w:ascii="Arial" w:hAnsi="Arial" w:cs="Arial"/>
          <w:color w:val="222222"/>
        </w:rPr>
        <w:t xml:space="preserve">science of number, quantity, and space. </w:t>
      </w:r>
    </w:p>
    <w:p w:rsidR="00A9407A" w:rsidRPr="007D0844" w:rsidRDefault="00A9407A" w:rsidP="007D0844">
      <w:pPr>
        <w:rPr>
          <w:b/>
          <w:sz w:val="22"/>
          <w:szCs w:val="22"/>
        </w:rPr>
      </w:pPr>
    </w:p>
    <w:p w:rsidR="00A9407A" w:rsidRPr="007D0844" w:rsidRDefault="00A9407A" w:rsidP="007D0844">
      <w:pPr>
        <w:rPr>
          <w:b/>
          <w:sz w:val="22"/>
          <w:szCs w:val="22"/>
        </w:rPr>
      </w:pPr>
      <w:r w:rsidRPr="007D0844">
        <w:rPr>
          <w:b/>
          <w:sz w:val="22"/>
          <w:szCs w:val="22"/>
        </w:rPr>
        <w:t>References/sources:</w:t>
      </w:r>
    </w:p>
    <w:p w:rsidR="00A9407A" w:rsidRPr="007D0844" w:rsidRDefault="00751A55" w:rsidP="007D0844">
      <w:pPr>
        <w:pStyle w:val="ListParagraph"/>
        <w:numPr>
          <w:ilvl w:val="0"/>
          <w:numId w:val="13"/>
        </w:numPr>
        <w:suppressAutoHyphens w:val="0"/>
        <w:autoSpaceDN/>
        <w:contextualSpacing/>
        <w:textAlignment w:val="auto"/>
        <w:rPr>
          <w:sz w:val="22"/>
          <w:szCs w:val="22"/>
        </w:rPr>
      </w:pPr>
      <w:hyperlink r:id="rId9" w:history="1">
        <w:r w:rsidR="00A9407A" w:rsidRPr="007D0844">
          <w:rPr>
            <w:rStyle w:val="Hyperlink"/>
            <w:sz w:val="22"/>
            <w:szCs w:val="22"/>
          </w:rPr>
          <w:t>http://www.THEIMP.ca</w:t>
        </w:r>
      </w:hyperlink>
    </w:p>
    <w:p w:rsidR="00A9407A" w:rsidRPr="007D0844" w:rsidRDefault="00A9407A" w:rsidP="007D0844">
      <w:pPr>
        <w:pStyle w:val="ListParagraph"/>
        <w:numPr>
          <w:ilvl w:val="0"/>
          <w:numId w:val="13"/>
        </w:numPr>
        <w:suppressAutoHyphens w:val="0"/>
        <w:autoSpaceDN/>
        <w:contextualSpacing/>
        <w:textAlignment w:val="auto"/>
        <w:rPr>
          <w:sz w:val="22"/>
          <w:szCs w:val="22"/>
        </w:rPr>
      </w:pPr>
      <w:r w:rsidRPr="007D0844">
        <w:rPr>
          <w:b/>
          <w:sz w:val="22"/>
          <w:szCs w:val="22"/>
        </w:rPr>
        <w:t>Statistics Canada</w:t>
      </w:r>
      <w:r w:rsidRPr="007D0844">
        <w:rPr>
          <w:sz w:val="22"/>
          <w:szCs w:val="22"/>
        </w:rPr>
        <w:t>:  http://www.statcan.gc.ca/pub/81-004-x/def/4153348-eng.htm</w:t>
      </w:r>
    </w:p>
    <w:p w:rsidR="00A9407A" w:rsidRPr="007D0844" w:rsidRDefault="00A9407A" w:rsidP="007D0844">
      <w:pPr>
        <w:rPr>
          <w:sz w:val="22"/>
          <w:szCs w:val="22"/>
        </w:rPr>
      </w:pPr>
    </w:p>
    <w:p w:rsidR="00E1018F" w:rsidRPr="007D0844" w:rsidRDefault="00E1018F" w:rsidP="007D0844">
      <w:pPr>
        <w:widowControl/>
        <w:suppressAutoHyphens w:val="0"/>
        <w:autoSpaceDN/>
        <w:textAlignment w:val="auto"/>
        <w:rPr>
          <w:sz w:val="22"/>
          <w:szCs w:val="22"/>
          <w:lang w:val="en"/>
        </w:rPr>
      </w:pPr>
      <w:r w:rsidRPr="007D0844">
        <w:rPr>
          <w:sz w:val="22"/>
          <w:szCs w:val="22"/>
          <w:lang w:val="en"/>
        </w:rPr>
        <w:t>School system deficiencies:</w:t>
      </w:r>
    </w:p>
    <w:p w:rsidR="00E1018F" w:rsidRPr="007D0844" w:rsidRDefault="00E1018F" w:rsidP="007D0844">
      <w:pPr>
        <w:widowControl/>
        <w:suppressAutoHyphens w:val="0"/>
        <w:autoSpaceDN/>
        <w:textAlignment w:val="auto"/>
        <w:rPr>
          <w:sz w:val="22"/>
          <w:szCs w:val="22"/>
          <w:lang w:val="en"/>
        </w:rPr>
      </w:pPr>
      <w:r w:rsidRPr="007D0844">
        <w:rPr>
          <w:sz w:val="22"/>
          <w:szCs w:val="22"/>
          <w:lang w:val="en"/>
        </w:rPr>
        <w:t>1</w:t>
      </w:r>
      <w:r w:rsidRPr="007D0844">
        <w:rPr>
          <w:sz w:val="22"/>
          <w:szCs w:val="22"/>
          <w:lang w:val="en"/>
        </w:rPr>
        <w:tab/>
        <w:t>Schools favour system of ranking students over assessing levels</w:t>
      </w:r>
    </w:p>
    <w:p w:rsidR="00E1018F" w:rsidRPr="007D0844" w:rsidRDefault="00E1018F" w:rsidP="007D0844">
      <w:pPr>
        <w:widowControl/>
        <w:suppressAutoHyphens w:val="0"/>
        <w:autoSpaceDN/>
        <w:textAlignment w:val="auto"/>
        <w:rPr>
          <w:sz w:val="22"/>
          <w:szCs w:val="22"/>
          <w:lang w:val="en"/>
        </w:rPr>
      </w:pPr>
      <w:r w:rsidRPr="007D0844">
        <w:rPr>
          <w:sz w:val="22"/>
          <w:szCs w:val="22"/>
          <w:lang w:val="en"/>
        </w:rPr>
        <w:t>2</w:t>
      </w:r>
      <w:r w:rsidRPr="007D0844">
        <w:rPr>
          <w:sz w:val="22"/>
          <w:szCs w:val="22"/>
          <w:lang w:val="en"/>
        </w:rPr>
        <w:tab/>
        <w:t>Teaching and ranking constitute a conflict of roles</w:t>
      </w:r>
    </w:p>
    <w:p w:rsidR="00E1018F" w:rsidRPr="007D0844" w:rsidRDefault="00E1018F" w:rsidP="007D0844">
      <w:pPr>
        <w:widowControl/>
        <w:suppressAutoHyphens w:val="0"/>
        <w:autoSpaceDN/>
        <w:textAlignment w:val="auto"/>
        <w:rPr>
          <w:sz w:val="22"/>
          <w:szCs w:val="22"/>
          <w:lang w:val="en"/>
        </w:rPr>
      </w:pPr>
      <w:r w:rsidRPr="007D0844">
        <w:rPr>
          <w:sz w:val="22"/>
          <w:szCs w:val="22"/>
          <w:lang w:val="en"/>
        </w:rPr>
        <w:t>3</w:t>
      </w:r>
      <w:r w:rsidRPr="007D0844">
        <w:rPr>
          <w:sz w:val="22"/>
          <w:szCs w:val="22"/>
          <w:lang w:val="en"/>
        </w:rPr>
        <w:tab/>
        <w:t>Lacks system of identified math levels</w:t>
      </w:r>
    </w:p>
    <w:p w:rsidR="00E1018F" w:rsidRPr="007D0844" w:rsidRDefault="00E1018F" w:rsidP="007D0844">
      <w:pPr>
        <w:widowControl/>
        <w:suppressAutoHyphens w:val="0"/>
        <w:autoSpaceDN/>
        <w:textAlignment w:val="auto"/>
        <w:rPr>
          <w:sz w:val="22"/>
          <w:szCs w:val="22"/>
          <w:lang w:val="en"/>
        </w:rPr>
      </w:pPr>
      <w:r w:rsidRPr="007D0844">
        <w:rPr>
          <w:sz w:val="22"/>
          <w:szCs w:val="22"/>
          <w:lang w:val="en"/>
        </w:rPr>
        <w:t>4</w:t>
      </w:r>
      <w:r w:rsidRPr="007D0844">
        <w:rPr>
          <w:sz w:val="22"/>
          <w:szCs w:val="22"/>
          <w:lang w:val="en"/>
        </w:rPr>
        <w:tab/>
        <w:t>System rejects grouping by level of difficulty</w:t>
      </w:r>
    </w:p>
    <w:p w:rsidR="00E1018F" w:rsidRPr="007D0844" w:rsidRDefault="00E1018F" w:rsidP="007D0844">
      <w:pPr>
        <w:widowControl/>
        <w:suppressAutoHyphens w:val="0"/>
        <w:autoSpaceDN/>
        <w:textAlignment w:val="auto"/>
        <w:rPr>
          <w:sz w:val="22"/>
          <w:szCs w:val="22"/>
          <w:lang w:val="en"/>
        </w:rPr>
      </w:pPr>
      <w:r w:rsidRPr="007D0844">
        <w:rPr>
          <w:sz w:val="22"/>
          <w:szCs w:val="22"/>
          <w:lang w:val="en"/>
        </w:rPr>
        <w:t>5</w:t>
      </w:r>
      <w:r w:rsidRPr="007D0844">
        <w:rPr>
          <w:sz w:val="22"/>
          <w:szCs w:val="22"/>
          <w:lang w:val="en"/>
        </w:rPr>
        <w:tab/>
        <w:t>Transcripts do not identify levels</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Assessments</w:t>
      </w:r>
    </w:p>
    <w:p w:rsidR="00E1018F" w:rsidRPr="007D0844" w:rsidRDefault="00E1018F" w:rsidP="00C45D06">
      <w:pPr>
        <w:widowControl/>
        <w:suppressAutoHyphens w:val="0"/>
        <w:autoSpaceDN/>
        <w:spacing w:before="100" w:beforeAutospacing="1" w:after="100" w:afterAutospacing="1"/>
        <w:textAlignment w:val="auto"/>
        <w:rPr>
          <w:sz w:val="22"/>
          <w:szCs w:val="22"/>
          <w:lang w:val="en"/>
        </w:rPr>
      </w:pPr>
      <w:r w:rsidRPr="007D0844">
        <w:rPr>
          <w:sz w:val="22"/>
          <w:szCs w:val="22"/>
          <w:lang w:val="en"/>
        </w:rPr>
        <w:t xml:space="preserve">PCAP- Pan Canadian Assessmennnnnnt Program, created in 2003, CMEC,  created to  serve as a national report card on how well CaNADIAN YOUTH ARE DOING  IN CORE LEArning subjects – 32,000 Grade 8 students in math in 2010, 1600 schools – are PCAP results available to individual students?  </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 xml:space="preserve">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lastRenderedPageBreak/>
        <w:t>The Department of Education and Early Childhood Development also supports a national assessment which takes place every three years. The Pan-Canadian Assessment Program (PCAP) assesses the performance of Grade 8 students in reading, math and science.</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 xml:space="preserve">Every three years, Island students also take part in the Programme for International Student Assessment (PISA), which assesses the achievement of 15-year-old students in reading, math and science through a common international test. </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 xml:space="preserve"> </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Primary Literacy Assessment+</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Primary Mathematics Assessment (PMA)+</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Elementary Literacy Assessment+</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Elementary Mathematics Assessment+</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Intermediate Literacy Assessment+</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Intermediate Mathematics Assessment+</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Pan-Canadian Assessment Program (PCAP)</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Programme of International Student Assessment (PISA)</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Educational achievement can and should be measured in terms other than time spent on a subject or in school.</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 xml:space="preserve">Credentials are no longer an adequate instrument to describe depth or breadth of study in a subject or field. </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The practice of having teachers act as both coach and referee of their own students is unfair to students.</w:t>
      </w:r>
    </w:p>
    <w:p w:rsidR="00E1018F" w:rsidRPr="007D0844" w:rsidRDefault="00E1018F"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Math is studied at all grade levels, and in both College and UPEI; It would be advantageous to students, therefore, if all institutions and accreditation agencies operated from the same master list of competencies.</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/sources:</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http://www.THEIMP.ca</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w:t>
      </w:r>
      <w:r w:rsidRPr="007D0844">
        <w:rPr>
          <w:sz w:val="22"/>
          <w:szCs w:val="22"/>
          <w:lang w:val="en"/>
        </w:rPr>
        <w:tab/>
        <w:t>Statistics Canada:  http://www.statcan.gc.ca/pub/81-004-x/def/4153348-eng.htm</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PCAP- Pan Canadian Assessmennnnnnt Program, created in 2003, CMEC,  created to  serve as a national report card on how well CaNADIAN YOUTH ARE DOING  IN CORE LEArning subjects – 32,000 Grade 8 students in math in 2010, 1600 schools – are PCAP results available to individual students?  Researchers can access the data</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PISA</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Statistics Canada math proficiency levels</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 xml:space="preserve">Provincial assessments are conducted yearly and tell us how well students are doing at key stages of learning. Students are assessed in reading, writing and mathematics at the end of Grade 3, Grade 6, and Grade 9. We also have an assessment called Early Years Evaluation (EYE) that takes place before a child goes into kindergarten.  </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These assessments are developed by teachers from across the province and are based on the curriculum used in Island schools. They tell us how well students are learning the curriculum, where students may need help, and how resources may be directed to improve our education system.</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Provincial assessments are just one of many tools used to monitor student learning. Parents should talk to the teacher about the full scope of their child’s performance. Working together with good information, parents and teachers can help students to reach their full potential.</w:t>
      </w:r>
    </w:p>
    <w:p w:rsidR="005C4D13" w:rsidRPr="007D0844" w:rsidRDefault="005C4D13" w:rsidP="007D0844">
      <w:pPr>
        <w:widowControl/>
        <w:suppressAutoHyphens w:val="0"/>
        <w:autoSpaceDN/>
        <w:spacing w:before="100" w:beforeAutospacing="1" w:after="100" w:afterAutospacing="1"/>
        <w:textAlignment w:val="auto"/>
        <w:rPr>
          <w:sz w:val="22"/>
          <w:szCs w:val="22"/>
          <w:lang w:val="en"/>
        </w:rPr>
      </w:pPr>
    </w:p>
    <w:p w:rsidR="005C4D13" w:rsidRDefault="005C4D13" w:rsidP="007D0844">
      <w:pPr>
        <w:widowControl/>
        <w:suppressAutoHyphens w:val="0"/>
        <w:autoSpaceDN/>
        <w:spacing w:before="100" w:beforeAutospacing="1" w:after="100" w:afterAutospacing="1"/>
        <w:textAlignment w:val="auto"/>
        <w:rPr>
          <w:sz w:val="22"/>
          <w:szCs w:val="22"/>
          <w:lang w:val="en"/>
        </w:rPr>
      </w:pPr>
      <w:r w:rsidRPr="007D0844">
        <w:rPr>
          <w:sz w:val="22"/>
          <w:szCs w:val="22"/>
          <w:lang w:val="en"/>
        </w:rPr>
        <w:t>The Department of Education and Early Childhood Development also supports a national assessment which takes place every three years. The Pan-Canadian Assessment Program (PCAP) assesses the performance of Grade 8 students in reading, math and science.</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 xml:space="preserve">Every three years, Island students also take part in the Programme for International Student Assessment (PISA), which assesses the achievement of 15-year-old students in reading, math and science through a common international test. </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 xml:space="preserve"> </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Primary Literacy Assessment+</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Primary Mathematics Assessment (PMA)+</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Elementary Literacy Assessment+</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Elementary Mathematics Assessment+</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Intermediate Literacy Assessment+</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Intermediate Mathematics Assessment+</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Pan-Canadian Assessment Program (PCAP)</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Programme of International Student Assessment (PISA)</w:t>
      </w:r>
    </w:p>
    <w:p w:rsidR="005C4D13" w:rsidRPr="007D0844" w:rsidRDefault="005C4D13" w:rsidP="007D0844">
      <w:pPr>
        <w:widowControl/>
        <w:suppressAutoHyphens w:val="0"/>
        <w:autoSpaceDN/>
        <w:textAlignment w:val="auto"/>
        <w:rPr>
          <w:sz w:val="22"/>
          <w:szCs w:val="22"/>
          <w:lang w:val="en"/>
        </w:rPr>
      </w:pP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lastRenderedPageBreak/>
        <w:t>•</w:t>
      </w:r>
      <w:r w:rsidRPr="007D0844">
        <w:rPr>
          <w:sz w:val="22"/>
          <w:szCs w:val="22"/>
          <w:lang w:val="en"/>
        </w:rPr>
        <w:tab/>
        <w:t>Educational achievement can and should be measured in terms other than time spent on a subject or in school.</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 xml:space="preserve">Credentials are no longer an adequate instrument to describe depth or breadth of study in a subject or field. </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The practice of having teachers act as both coach and referee of their own students is unfair to students.</w:t>
      </w:r>
    </w:p>
    <w:p w:rsidR="005C4D13" w:rsidRPr="007D0844" w:rsidRDefault="005C4D13" w:rsidP="007D0844">
      <w:pPr>
        <w:widowControl/>
        <w:suppressAutoHyphens w:val="0"/>
        <w:autoSpaceDN/>
        <w:textAlignment w:val="auto"/>
        <w:rPr>
          <w:sz w:val="22"/>
          <w:szCs w:val="22"/>
          <w:lang w:val="en"/>
        </w:rPr>
      </w:pPr>
      <w:r w:rsidRPr="007D0844">
        <w:rPr>
          <w:sz w:val="22"/>
          <w:szCs w:val="22"/>
          <w:lang w:val="en"/>
        </w:rPr>
        <w:t>•</w:t>
      </w:r>
      <w:r w:rsidRPr="007D0844">
        <w:rPr>
          <w:sz w:val="22"/>
          <w:szCs w:val="22"/>
          <w:lang w:val="en"/>
        </w:rPr>
        <w:tab/>
        <w:t>Math is studied at all grade levels, and in both College and UPEI; It would be advantageous to students, therefore, if all institutions and accreditation agencies operated from the same master list of competencies.</w:t>
      </w:r>
    </w:p>
    <w:p w:rsidR="005D3968" w:rsidRPr="007D0844" w:rsidRDefault="005D3968" w:rsidP="007D0844">
      <w:pPr>
        <w:rPr>
          <w:b/>
          <w:sz w:val="22"/>
          <w:szCs w:val="22"/>
        </w:rPr>
      </w:pPr>
      <w:r w:rsidRPr="007D0844">
        <w:rPr>
          <w:b/>
          <w:sz w:val="22"/>
          <w:szCs w:val="22"/>
        </w:rPr>
        <w:t>Why Math?</w:t>
      </w:r>
    </w:p>
    <w:p w:rsidR="005D3968" w:rsidRPr="007D0844" w:rsidRDefault="005D3968" w:rsidP="007D0844">
      <w:pPr>
        <w:pStyle w:val="ListParagraph"/>
        <w:numPr>
          <w:ilvl w:val="0"/>
          <w:numId w:val="19"/>
        </w:numPr>
        <w:suppressAutoHyphens w:val="0"/>
        <w:autoSpaceDN/>
        <w:contextualSpacing/>
        <w:textAlignment w:val="auto"/>
        <w:rPr>
          <w:sz w:val="22"/>
          <w:szCs w:val="22"/>
        </w:rPr>
      </w:pPr>
      <w:r w:rsidRPr="007D0844">
        <w:rPr>
          <w:sz w:val="22"/>
          <w:szCs w:val="22"/>
        </w:rPr>
        <w:t>Needed for day-to-day living and is often a prerequisite for accessing many opportunities in later life</w:t>
      </w:r>
    </w:p>
    <w:p w:rsidR="005D3968" w:rsidRPr="007D0844" w:rsidRDefault="005D3968" w:rsidP="007D0844">
      <w:pPr>
        <w:pStyle w:val="ListParagraph"/>
        <w:numPr>
          <w:ilvl w:val="0"/>
          <w:numId w:val="19"/>
        </w:numPr>
        <w:suppressAutoHyphens w:val="0"/>
        <w:autoSpaceDN/>
        <w:contextualSpacing/>
        <w:textAlignment w:val="auto"/>
        <w:rPr>
          <w:sz w:val="22"/>
          <w:szCs w:val="22"/>
        </w:rPr>
      </w:pPr>
      <w:r w:rsidRPr="007D0844">
        <w:rPr>
          <w:sz w:val="22"/>
          <w:szCs w:val="22"/>
        </w:rPr>
        <w:t>Has an identifiable structure namely  numeracy, elementary mathematics, algebra, geometry, trigonometry, calculus, set and function, complex numbers, logarithmic functions, and infinite series</w:t>
      </w:r>
    </w:p>
    <w:p w:rsidR="005D3968" w:rsidRPr="007D0844" w:rsidRDefault="005D3968" w:rsidP="007D0844">
      <w:pPr>
        <w:pStyle w:val="ListParagraph"/>
        <w:numPr>
          <w:ilvl w:val="0"/>
          <w:numId w:val="19"/>
        </w:numPr>
        <w:suppressAutoHyphens w:val="0"/>
        <w:autoSpaceDN/>
        <w:contextualSpacing/>
        <w:textAlignment w:val="auto"/>
        <w:rPr>
          <w:sz w:val="22"/>
          <w:szCs w:val="22"/>
        </w:rPr>
      </w:pPr>
      <w:r w:rsidRPr="007D0844">
        <w:rPr>
          <w:sz w:val="22"/>
          <w:szCs w:val="22"/>
        </w:rPr>
        <w:t>Lacks a widely available and accepted analysis of outcomes or competencies</w:t>
      </w:r>
    </w:p>
    <w:p w:rsidR="005D3968" w:rsidRPr="007D0844" w:rsidRDefault="005D3968" w:rsidP="007D0844">
      <w:pPr>
        <w:pStyle w:val="ListParagraph"/>
        <w:numPr>
          <w:ilvl w:val="0"/>
          <w:numId w:val="19"/>
        </w:numPr>
        <w:suppressAutoHyphens w:val="0"/>
        <w:autoSpaceDN/>
        <w:contextualSpacing/>
        <w:textAlignment w:val="auto"/>
        <w:rPr>
          <w:sz w:val="22"/>
          <w:szCs w:val="22"/>
        </w:rPr>
      </w:pPr>
      <w:r w:rsidRPr="007D0844">
        <w:rPr>
          <w:sz w:val="22"/>
          <w:szCs w:val="22"/>
        </w:rPr>
        <w:t>Lack widely accepted agreement on levels</w:t>
      </w:r>
    </w:p>
    <w:p w:rsidR="005D3968" w:rsidRPr="007D0844" w:rsidRDefault="005D3968" w:rsidP="007D0844">
      <w:pPr>
        <w:rPr>
          <w:sz w:val="22"/>
          <w:szCs w:val="22"/>
        </w:rPr>
      </w:pPr>
    </w:p>
    <w:p w:rsidR="00176A88" w:rsidRPr="007D0844" w:rsidRDefault="00176A88" w:rsidP="007D0844">
      <w:pPr>
        <w:rPr>
          <w:sz w:val="22"/>
          <w:szCs w:val="22"/>
        </w:rPr>
      </w:pPr>
    </w:p>
    <w:sectPr w:rsidR="00176A88" w:rsidRPr="007D0844"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1A55" w:rsidRDefault="00751A55">
      <w:r>
        <w:separator/>
      </w:r>
    </w:p>
  </w:endnote>
  <w:endnote w:type="continuationSeparator" w:id="0">
    <w:p w:rsidR="00751A55" w:rsidRDefault="00751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1A55" w:rsidRDefault="00751A55">
      <w:r>
        <w:rPr>
          <w:color w:val="000000"/>
        </w:rPr>
        <w:separator/>
      </w:r>
    </w:p>
  </w:footnote>
  <w:footnote w:type="continuationSeparator" w:id="0">
    <w:p w:rsidR="00751A55" w:rsidRDefault="00751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15:restartNumberingAfterBreak="0">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15:restartNumberingAfterBreak="0">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8"/>
  </w:num>
  <w:num w:numId="2">
    <w:abstractNumId w:val="3"/>
  </w:num>
  <w:num w:numId="3">
    <w:abstractNumId w:val="20"/>
  </w:num>
  <w:num w:numId="4">
    <w:abstractNumId w:val="6"/>
  </w:num>
  <w:num w:numId="5">
    <w:abstractNumId w:val="7"/>
  </w:num>
  <w:num w:numId="6">
    <w:abstractNumId w:val="12"/>
  </w:num>
  <w:num w:numId="7">
    <w:abstractNumId w:val="8"/>
  </w:num>
  <w:num w:numId="8">
    <w:abstractNumId w:val="2"/>
  </w:num>
  <w:num w:numId="9">
    <w:abstractNumId w:val="15"/>
  </w:num>
  <w:num w:numId="10">
    <w:abstractNumId w:val="5"/>
  </w:num>
  <w:num w:numId="11">
    <w:abstractNumId w:val="17"/>
  </w:num>
  <w:num w:numId="12">
    <w:abstractNumId w:val="9"/>
  </w:num>
  <w:num w:numId="13">
    <w:abstractNumId w:val="13"/>
  </w:num>
  <w:num w:numId="14">
    <w:abstractNumId w:val="10"/>
  </w:num>
  <w:num w:numId="15">
    <w:abstractNumId w:val="0"/>
  </w:num>
  <w:num w:numId="16">
    <w:abstractNumId w:val="4"/>
  </w:num>
  <w:num w:numId="17">
    <w:abstractNumId w:val="11"/>
  </w:num>
  <w:num w:numId="18">
    <w:abstractNumId w:val="16"/>
  </w:num>
  <w:num w:numId="19">
    <w:abstractNumId w:val="1"/>
  </w:num>
  <w:num w:numId="20">
    <w:abstractNumId w:val="19"/>
  </w:num>
  <w:num w:numId="21">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41534"/>
    <w:rsid w:val="00176A88"/>
    <w:rsid w:val="001A7F8F"/>
    <w:rsid w:val="001B7579"/>
    <w:rsid w:val="001E4A9A"/>
    <w:rsid w:val="001E6FA5"/>
    <w:rsid w:val="001F7ED2"/>
    <w:rsid w:val="002104E1"/>
    <w:rsid w:val="00212579"/>
    <w:rsid w:val="002A374C"/>
    <w:rsid w:val="002B4AC3"/>
    <w:rsid w:val="002C56E7"/>
    <w:rsid w:val="002F4783"/>
    <w:rsid w:val="002F4A7D"/>
    <w:rsid w:val="003A1AEF"/>
    <w:rsid w:val="003D670A"/>
    <w:rsid w:val="004106A2"/>
    <w:rsid w:val="0041183A"/>
    <w:rsid w:val="0043179F"/>
    <w:rsid w:val="00454602"/>
    <w:rsid w:val="00461971"/>
    <w:rsid w:val="0047764F"/>
    <w:rsid w:val="004A1183"/>
    <w:rsid w:val="004B1892"/>
    <w:rsid w:val="004B3A7A"/>
    <w:rsid w:val="004D5D19"/>
    <w:rsid w:val="004E0715"/>
    <w:rsid w:val="00574BC8"/>
    <w:rsid w:val="005A43CD"/>
    <w:rsid w:val="005B2D37"/>
    <w:rsid w:val="005C4D13"/>
    <w:rsid w:val="005D3968"/>
    <w:rsid w:val="005F1BB7"/>
    <w:rsid w:val="006223B1"/>
    <w:rsid w:val="00676222"/>
    <w:rsid w:val="006A32E1"/>
    <w:rsid w:val="006E4D26"/>
    <w:rsid w:val="006F7C44"/>
    <w:rsid w:val="007130AA"/>
    <w:rsid w:val="00751A55"/>
    <w:rsid w:val="00787A18"/>
    <w:rsid w:val="007A4326"/>
    <w:rsid w:val="007B747C"/>
    <w:rsid w:val="007D0844"/>
    <w:rsid w:val="007F1477"/>
    <w:rsid w:val="0080242E"/>
    <w:rsid w:val="0081075A"/>
    <w:rsid w:val="00852075"/>
    <w:rsid w:val="00854BC6"/>
    <w:rsid w:val="008D6DEB"/>
    <w:rsid w:val="008E1FB1"/>
    <w:rsid w:val="008E69EF"/>
    <w:rsid w:val="009646B7"/>
    <w:rsid w:val="009711DC"/>
    <w:rsid w:val="00992332"/>
    <w:rsid w:val="009A0C7B"/>
    <w:rsid w:val="009D3E02"/>
    <w:rsid w:val="009F1D00"/>
    <w:rsid w:val="00A035F7"/>
    <w:rsid w:val="00A100B3"/>
    <w:rsid w:val="00A57DBE"/>
    <w:rsid w:val="00A81484"/>
    <w:rsid w:val="00A9407A"/>
    <w:rsid w:val="00B5120A"/>
    <w:rsid w:val="00B87E4C"/>
    <w:rsid w:val="00BB24E8"/>
    <w:rsid w:val="00BB2637"/>
    <w:rsid w:val="00BC1D0F"/>
    <w:rsid w:val="00BC6CE2"/>
    <w:rsid w:val="00C15003"/>
    <w:rsid w:val="00C215AA"/>
    <w:rsid w:val="00C45D06"/>
    <w:rsid w:val="00C6238A"/>
    <w:rsid w:val="00C932D1"/>
    <w:rsid w:val="00CC72D4"/>
    <w:rsid w:val="00D0241E"/>
    <w:rsid w:val="00D03EBD"/>
    <w:rsid w:val="00D70BA2"/>
    <w:rsid w:val="00D8021B"/>
    <w:rsid w:val="00D82459"/>
    <w:rsid w:val="00D95C5D"/>
    <w:rsid w:val="00DA44B1"/>
    <w:rsid w:val="00DC54FA"/>
    <w:rsid w:val="00DD09A9"/>
    <w:rsid w:val="00DF768B"/>
    <w:rsid w:val="00E1018F"/>
    <w:rsid w:val="00E4671B"/>
    <w:rsid w:val="00EA2928"/>
    <w:rsid w:val="00EC5668"/>
    <w:rsid w:val="00EF141A"/>
    <w:rsid w:val="00EF2333"/>
    <w:rsid w:val="00F10343"/>
    <w:rsid w:val="00FD69A8"/>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82E0"/>
  <w15:docId w15:val="{FF24F22D-D8F7-4389-A283-9D85F194C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17343">
      <w:bodyDiv w:val="1"/>
      <w:marLeft w:val="0"/>
      <w:marRight w:val="0"/>
      <w:marTop w:val="0"/>
      <w:marBottom w:val="0"/>
      <w:divBdr>
        <w:top w:val="none" w:sz="0" w:space="0" w:color="auto"/>
        <w:left w:val="none" w:sz="0" w:space="0" w:color="auto"/>
        <w:bottom w:val="none" w:sz="0" w:space="0" w:color="auto"/>
        <w:right w:val="none" w:sz="0" w:space="0" w:color="auto"/>
      </w:divBdr>
      <w:divsChild>
        <w:div w:id="1484856929">
          <w:marLeft w:val="0"/>
          <w:marRight w:val="0"/>
          <w:marTop w:val="0"/>
          <w:marBottom w:val="0"/>
          <w:divBdr>
            <w:top w:val="none" w:sz="0" w:space="0" w:color="auto"/>
            <w:left w:val="none" w:sz="0" w:space="0" w:color="auto"/>
            <w:bottom w:val="none" w:sz="0" w:space="0" w:color="auto"/>
            <w:right w:val="none" w:sz="0" w:space="0" w:color="auto"/>
          </w:divBdr>
          <w:divsChild>
            <w:div w:id="121577023">
              <w:marLeft w:val="0"/>
              <w:marRight w:val="0"/>
              <w:marTop w:val="0"/>
              <w:marBottom w:val="0"/>
              <w:divBdr>
                <w:top w:val="none" w:sz="0" w:space="0" w:color="auto"/>
                <w:left w:val="none" w:sz="0" w:space="0" w:color="auto"/>
                <w:bottom w:val="none" w:sz="0" w:space="0" w:color="auto"/>
                <w:right w:val="none" w:sz="0" w:space="0" w:color="auto"/>
              </w:divBdr>
              <w:divsChild>
                <w:div w:id="580457090">
                  <w:marLeft w:val="0"/>
                  <w:marRight w:val="0"/>
                  <w:marTop w:val="0"/>
                  <w:marBottom w:val="0"/>
                  <w:divBdr>
                    <w:top w:val="none" w:sz="0" w:space="0" w:color="auto"/>
                    <w:left w:val="none" w:sz="0" w:space="0" w:color="auto"/>
                    <w:bottom w:val="none" w:sz="0" w:space="0" w:color="auto"/>
                    <w:right w:val="none" w:sz="0" w:space="0" w:color="auto"/>
                  </w:divBdr>
                  <w:divsChild>
                    <w:div w:id="979192498">
                      <w:marLeft w:val="0"/>
                      <w:marRight w:val="0"/>
                      <w:marTop w:val="0"/>
                      <w:marBottom w:val="0"/>
                      <w:divBdr>
                        <w:top w:val="none" w:sz="0" w:space="0" w:color="auto"/>
                        <w:left w:val="none" w:sz="0" w:space="0" w:color="auto"/>
                        <w:bottom w:val="none" w:sz="0" w:space="0" w:color="auto"/>
                        <w:right w:val="none" w:sz="0" w:space="0" w:color="auto"/>
                      </w:divBdr>
                      <w:divsChild>
                        <w:div w:id="4231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6496">
      <w:bodyDiv w:val="1"/>
      <w:marLeft w:val="0"/>
      <w:marRight w:val="0"/>
      <w:marTop w:val="0"/>
      <w:marBottom w:val="0"/>
      <w:divBdr>
        <w:top w:val="none" w:sz="0" w:space="0" w:color="auto"/>
        <w:left w:val="none" w:sz="0" w:space="0" w:color="auto"/>
        <w:bottom w:val="none" w:sz="0" w:space="0" w:color="auto"/>
        <w:right w:val="none" w:sz="0" w:space="0" w:color="auto"/>
      </w:divBdr>
    </w:div>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HEIMP.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33513-222E-4A13-9D2F-9600DA482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961</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3</cp:revision>
  <cp:lastPrinted>2013-04-23T12:00:00Z</cp:lastPrinted>
  <dcterms:created xsi:type="dcterms:W3CDTF">2017-09-01T00:37:00Z</dcterms:created>
  <dcterms:modified xsi:type="dcterms:W3CDTF">2017-09-25T14:14:00Z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