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CE1" w:rsidRPr="004945C2" w:rsidRDefault="00475CE1" w:rsidP="00475CE1">
      <w:pPr>
        <w:spacing w:after="0" w:line="240" w:lineRule="auto"/>
        <w:jc w:val="center"/>
        <w:rPr>
          <w:b/>
          <w:lang w:val="en-US"/>
        </w:rPr>
      </w:pPr>
      <w:r w:rsidRPr="004945C2">
        <w:rPr>
          <w:b/>
          <w:lang w:val="en-US"/>
        </w:rPr>
        <w:t>Education 20/20 Inc.</w:t>
      </w:r>
    </w:p>
    <w:p w:rsidR="00475CE1" w:rsidRDefault="00475CE1" w:rsidP="00475CE1">
      <w:pPr>
        <w:spacing w:after="0" w:line="240" w:lineRule="auto"/>
        <w:jc w:val="center"/>
        <w:rPr>
          <w:b/>
          <w:lang w:val="en-US"/>
        </w:rPr>
      </w:pPr>
      <w:r>
        <w:rPr>
          <w:b/>
          <w:lang w:val="en-US"/>
        </w:rPr>
        <w:t>Curriculum map-mathematics</w:t>
      </w:r>
    </w:p>
    <w:p w:rsidR="00475CE1" w:rsidRDefault="00475CE1" w:rsidP="00475CE1">
      <w:pPr>
        <w:spacing w:after="0" w:line="240" w:lineRule="auto"/>
        <w:rPr>
          <w:b/>
          <w:lang w:val="en-US"/>
        </w:rPr>
      </w:pPr>
      <w:r>
        <w:rPr>
          <w:b/>
          <w:lang w:val="en-US"/>
        </w:rPr>
        <w:t>Introduction:</w:t>
      </w:r>
    </w:p>
    <w:p w:rsidR="00475CE1" w:rsidRPr="000E1AED" w:rsidRDefault="00475CE1" w:rsidP="00475CE1">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issues that directly affect them; the report, T</w:t>
      </w:r>
      <w:r w:rsidRPr="000E1AED">
        <w:rPr>
          <w:rFonts w:ascii="Calibri" w:eastAsia="Times New Roman" w:hAnsi="Calibri" w:cs="Times New Roman"/>
          <w:bCs/>
          <w:kern w:val="36"/>
          <w:u w:val="single"/>
          <w:lang w:eastAsia="en-CA"/>
        </w:rPr>
        <w:t>aking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5"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475CE1" w:rsidRPr="000E1AED" w:rsidRDefault="00475CE1" w:rsidP="00475CE1">
      <w:pPr>
        <w:spacing w:after="0" w:line="240" w:lineRule="auto"/>
        <w:jc w:val="center"/>
        <w:rPr>
          <w:rFonts w:ascii="Calibri" w:hAnsi="Calibri" w:cs="Helvetica"/>
        </w:rPr>
      </w:pPr>
    </w:p>
    <w:p w:rsidR="00475CE1" w:rsidRPr="000E1AED" w:rsidRDefault="00475CE1" w:rsidP="00475CE1">
      <w:pPr>
        <w:spacing w:after="0" w:line="240" w:lineRule="auto"/>
        <w:jc w:val="center"/>
        <w:rPr>
          <w:b/>
          <w:i/>
          <w:lang w:val="en-US"/>
        </w:rPr>
      </w:pPr>
      <w:r w:rsidRPr="000E1AED">
        <w:rPr>
          <w:b/>
          <w:i/>
          <w:lang w:val="en-US"/>
        </w:rPr>
        <w:t>“preparedness gaps with regard to readiness for</w:t>
      </w:r>
    </w:p>
    <w:p w:rsidR="00475CE1" w:rsidRPr="000E1AED" w:rsidRDefault="00475CE1" w:rsidP="00475CE1">
      <w:pPr>
        <w:spacing w:after="0" w:line="240" w:lineRule="auto"/>
        <w:jc w:val="center"/>
        <w:rPr>
          <w:b/>
          <w:lang w:val="en-US"/>
        </w:rPr>
      </w:pPr>
      <w:r>
        <w:rPr>
          <w:b/>
          <w:i/>
          <w:lang w:val="en-US"/>
        </w:rPr>
        <w:t>post</w:t>
      </w:r>
      <w:r w:rsidRPr="000E1AED">
        <w:rPr>
          <w:b/>
          <w:i/>
          <w:lang w:val="en-US"/>
        </w:rPr>
        <w:t xml:space="preserve">secondary study and the workplace” </w:t>
      </w:r>
      <w:r w:rsidRPr="000E1AED">
        <w:rPr>
          <w:b/>
          <w:lang w:val="en-US"/>
        </w:rPr>
        <w:t>– Vital Signs, CFPEI, 2013</w:t>
      </w:r>
    </w:p>
    <w:p w:rsidR="00475CE1" w:rsidRPr="000E1AED" w:rsidRDefault="00475CE1" w:rsidP="00475CE1">
      <w:pPr>
        <w:spacing w:after="0" w:line="240" w:lineRule="auto"/>
        <w:jc w:val="center"/>
        <w:rPr>
          <w:b/>
          <w:lang w:val="en-US"/>
        </w:rPr>
      </w:pPr>
    </w:p>
    <w:p w:rsidR="00475CE1" w:rsidRDefault="00475CE1" w:rsidP="00475CE1">
      <w:pPr>
        <w:spacing w:after="0" w:line="240" w:lineRule="auto"/>
        <w:jc w:val="both"/>
        <w:outlineLvl w:val="0"/>
        <w:rPr>
          <w:rFonts w:ascii="Calibri" w:hAnsi="Calibri"/>
        </w:rPr>
      </w:pPr>
      <w:r>
        <w:rPr>
          <w:rFonts w:ascii="Calibri" w:hAnsi="Calibri"/>
        </w:rPr>
        <w:t>Following the publication of the CFPEI Report, Edu</w:t>
      </w:r>
      <w:r w:rsidRPr="000E1AED">
        <w:rPr>
          <w:rFonts w:ascii="Calibri" w:hAnsi="Calibri"/>
        </w:rPr>
        <w:t xml:space="preserve">cation 20/20 organized </w:t>
      </w:r>
      <w:r>
        <w:rPr>
          <w:rFonts w:ascii="Calibri" w:hAnsi="Calibri"/>
        </w:rPr>
        <w:t>six</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recommendation that.   </w:t>
      </w:r>
    </w:p>
    <w:p w:rsidR="00475CE1" w:rsidRDefault="00475CE1" w:rsidP="00475CE1">
      <w:pPr>
        <w:spacing w:after="0" w:line="240" w:lineRule="auto"/>
        <w:jc w:val="both"/>
        <w:outlineLvl w:val="0"/>
        <w:rPr>
          <w:rFonts w:ascii="Calibri" w:hAnsi="Calibri"/>
          <w:b/>
          <w:u w:val="single"/>
        </w:rPr>
      </w:pPr>
    </w:p>
    <w:p w:rsidR="00475CE1" w:rsidRDefault="00475CE1" w:rsidP="00475CE1">
      <w:pPr>
        <w:pStyle w:val="ListParagraph"/>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 Education 20/20 Inc., Occasional Paper No. 1)</w:t>
      </w:r>
    </w:p>
    <w:p w:rsidR="00475CE1" w:rsidRPr="004107B5" w:rsidRDefault="00475CE1" w:rsidP="00475CE1">
      <w:pPr>
        <w:spacing w:after="0" w:line="240" w:lineRule="auto"/>
        <w:jc w:val="both"/>
        <w:outlineLvl w:val="0"/>
        <w:rPr>
          <w:rFonts w:ascii="Calibri" w:hAnsi="Calibri"/>
        </w:rPr>
      </w:pPr>
      <w:r>
        <w:rPr>
          <w:rFonts w:ascii="Calibri" w:hAnsi="Calibri"/>
        </w:rPr>
        <w:t>Education 20/20 has continued its exploration under the title, “basic skills”, meaning those skills required of any and all citizens, and considered foundational to all other learning.  Basic skills are an issue because:</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Content and levels are not consistently defined</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drag down </w:t>
      </w:r>
      <w:r w:rsidRPr="000A0336">
        <w:rPr>
          <w:color w:val="000000" w:themeColor="text1"/>
        </w:rPr>
        <w:t>the economy of P</w:t>
      </w:r>
      <w:r>
        <w:rPr>
          <w:color w:val="000000" w:themeColor="text1"/>
        </w:rPr>
        <w:t>EI</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There is an added expense of re-teaching basic skills at the postsecondary level. </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 xml:space="preserve">The skill identification process appears to be repeated at each level of education </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Responsibility for education is scattered across a number of agencies.</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475CE1" w:rsidRDefault="00475CE1" w:rsidP="00475CE1">
      <w:pPr>
        <w:pStyle w:val="ListParagraph"/>
        <w:numPr>
          <w:ilvl w:val="0"/>
          <w:numId w:val="1"/>
        </w:numPr>
        <w:suppressAutoHyphens/>
        <w:autoSpaceDN w:val="0"/>
        <w:spacing w:after="0" w:line="240" w:lineRule="auto"/>
        <w:contextualSpacing w:val="0"/>
        <w:textAlignment w:val="baseline"/>
        <w:rPr>
          <w:color w:val="000000" w:themeColor="text1"/>
        </w:rPr>
      </w:pPr>
      <w:r w:rsidRPr="00D56652">
        <w:rPr>
          <w:color w:val="000000" w:themeColor="text1"/>
        </w:rPr>
        <w:t>A low level of basic skills may not only block entrance to postsecondary education but may also lower sk</w:t>
      </w:r>
      <w:r>
        <w:rPr>
          <w:color w:val="000000" w:themeColor="text1"/>
        </w:rPr>
        <w:t>i</w:t>
      </w:r>
      <w:r w:rsidRPr="00D56652">
        <w:rPr>
          <w:color w:val="000000" w:themeColor="text1"/>
        </w:rPr>
        <w:t>ll levels of people who graduate.</w:t>
      </w:r>
    </w:p>
    <w:p w:rsidR="00475CE1" w:rsidRPr="004562E6" w:rsidRDefault="00475CE1" w:rsidP="00475CE1">
      <w:pPr>
        <w:pStyle w:val="ListParagraph"/>
        <w:suppressAutoHyphens/>
        <w:autoSpaceDN w:val="0"/>
        <w:spacing w:after="0" w:line="240" w:lineRule="auto"/>
        <w:contextualSpacing w:val="0"/>
        <w:textAlignment w:val="baseline"/>
        <w:rPr>
          <w:color w:val="000000" w:themeColor="text1"/>
        </w:rPr>
      </w:pPr>
    </w:p>
    <w:p w:rsidR="00475CE1" w:rsidRDefault="00475CE1" w:rsidP="00475CE1">
      <w:pPr>
        <w:rPr>
          <w:color w:val="000000" w:themeColor="text1"/>
        </w:rPr>
      </w:pPr>
      <w:r>
        <w:rPr>
          <w:lang w:val="en-US"/>
        </w:rPr>
        <w:t>Education 20/20has has searched, without success,  the literature, examined curriculum materials from a variety of institutions and Provinces and at various levels, reviewed achievement levels and assessment procedures for the OECD sponsored PISA assessment, Canada’s PCAP assessment, TOWES and others, for  a recognized list of competencies to be learned.  Provinces develop curriculum based on outcomes and, it is our considered view, that outcomes are too broad a level and do not lend themselves to common understanding and measurement lack readily identified assessment criteria ;</w:t>
      </w:r>
      <w:r>
        <w:rPr>
          <w:color w:val="000000" w:themeColor="text1"/>
        </w:rPr>
        <w:t xml:space="preserve"> the format  of outcomes used  by schools is at odds with the original as c</w:t>
      </w:r>
      <w:r w:rsidRPr="00FE4A95">
        <w:rPr>
          <w:color w:val="000000" w:themeColor="text1"/>
        </w:rPr>
        <w:t xml:space="preserve">onceived by William </w:t>
      </w:r>
      <w:proofErr w:type="spellStart"/>
      <w:r w:rsidRPr="00FE4A95">
        <w:rPr>
          <w:color w:val="000000" w:themeColor="text1"/>
        </w:rPr>
        <w:t>Spady</w:t>
      </w:r>
      <w:proofErr w:type="spellEnd"/>
      <w:r w:rsidRPr="00FE4A95">
        <w:rPr>
          <w:color w:val="000000" w:themeColor="text1"/>
        </w:rPr>
        <w:t xml:space="preserve"> </w:t>
      </w:r>
      <w:r>
        <w:rPr>
          <w:color w:val="000000" w:themeColor="text1"/>
        </w:rPr>
        <w:t xml:space="preserve">and later proponents of Outcomes Based Education.  An outcome is a clear statement of expectations at the end of a learning experience; a competency is one form of outcome but one that focuses more directly on what happens to learners. </w:t>
      </w:r>
    </w:p>
    <w:p w:rsidR="00475CE1" w:rsidRPr="004107B5" w:rsidRDefault="00475CE1" w:rsidP="00475CE1">
      <w:pPr>
        <w:rPr>
          <w:lang w:val="en-US"/>
        </w:rPr>
      </w:pPr>
      <w:r>
        <w:rPr>
          <w:lang w:val="en-US"/>
        </w:rPr>
        <w:lastRenderedPageBreak/>
        <w:t>We have now narrowed our focus to mathematics in the belief that it carries less cultural baggage, is a key field of student education for the information age and is of interest to people from a variety of institutions.  While continuing our search, but with the narrower focus, b</w:t>
      </w:r>
      <w:r>
        <w:rPr>
          <w:color w:val="000000" w:themeColor="text1"/>
        </w:rPr>
        <w:t>y chance we discovered a competency based analysis of Practical Mathematics prepared some time ago for Holland College and the PEI Department of Education and we propose to use this analysis as a starting place for defining the gap in mathematics.</w:t>
      </w:r>
    </w:p>
    <w:p w:rsidR="00475CE1" w:rsidRDefault="00475CE1" w:rsidP="00475CE1">
      <w:pPr>
        <w:spacing w:after="0" w:line="240" w:lineRule="auto"/>
        <w:rPr>
          <w:rFonts w:eastAsia="Times New Roman" w:cs="Times New Roman"/>
          <w:b/>
          <w:lang w:val="en-US" w:eastAsia="en-CA"/>
        </w:rPr>
      </w:pPr>
      <w:r>
        <w:rPr>
          <w:rFonts w:eastAsia="Times New Roman" w:cs="Times New Roman"/>
          <w:b/>
          <w:lang w:val="en-US" w:eastAsia="en-CA"/>
        </w:rPr>
        <w:t>Proposal:</w:t>
      </w:r>
    </w:p>
    <w:p w:rsidR="00475CE1" w:rsidRDefault="00475CE1" w:rsidP="00475CE1">
      <w:pPr>
        <w:spacing w:after="0" w:line="240" w:lineRule="auto"/>
        <w:rPr>
          <w:color w:val="000000" w:themeColor="text1"/>
        </w:rPr>
      </w:pPr>
      <w:r>
        <w:rPr>
          <w:rFonts w:eastAsia="Times New Roman" w:cs="Times New Roman"/>
          <w:lang w:val="en-US" w:eastAsia="en-CA"/>
        </w:rPr>
        <w:t xml:space="preserve">To prepare a competency based curriculum map </w:t>
      </w:r>
      <w:r w:rsidRPr="00B424E2">
        <w:rPr>
          <w:rFonts w:eastAsia="Times New Roman" w:cs="Times New Roman"/>
          <w:lang w:val="en-US" w:eastAsia="en-CA"/>
        </w:rPr>
        <w:t>in the field of</w:t>
      </w:r>
      <w:r>
        <w:rPr>
          <w:rFonts w:eastAsia="Times New Roman" w:cs="Times New Roman"/>
          <w:lang w:val="en-US" w:eastAsia="en-CA"/>
        </w:rPr>
        <w:t xml:space="preserve"> basic </w:t>
      </w:r>
      <w:r w:rsidRPr="00B424E2">
        <w:rPr>
          <w:rFonts w:eastAsia="Times New Roman" w:cs="Times New Roman"/>
          <w:lang w:val="en-US" w:eastAsia="en-CA"/>
        </w:rPr>
        <w:t>mathematics</w:t>
      </w:r>
      <w:r>
        <w:rPr>
          <w:rFonts w:eastAsia="Times New Roman" w:cs="Times New Roman"/>
          <w:lang w:val="en-US" w:eastAsia="en-CA"/>
        </w:rPr>
        <w:t xml:space="preserve"> used or needed by Islanders; </w:t>
      </w:r>
      <w:r w:rsidRPr="00B424E2">
        <w:rPr>
          <w:color w:val="000000" w:themeColor="text1"/>
        </w:rPr>
        <w:t>The analysis process will be based on DACUM (</w:t>
      </w:r>
      <w:r w:rsidRPr="00B424E2">
        <w:rPr>
          <w:b/>
          <w:color w:val="000000" w:themeColor="text1"/>
        </w:rPr>
        <w:t>D</w:t>
      </w:r>
      <w:r w:rsidRPr="00B424E2">
        <w:rPr>
          <w:color w:val="000000" w:themeColor="text1"/>
        </w:rPr>
        <w:t xml:space="preserve">eveloping </w:t>
      </w:r>
      <w:r w:rsidRPr="00B424E2">
        <w:rPr>
          <w:b/>
          <w:color w:val="000000" w:themeColor="text1"/>
          <w:u w:val="single"/>
        </w:rPr>
        <w:t>A</w:t>
      </w:r>
      <w:r w:rsidRPr="00B424E2">
        <w:rPr>
          <w:color w:val="000000" w:themeColor="text1"/>
        </w:rPr>
        <w:t xml:space="preserve">  </w:t>
      </w:r>
      <w:proofErr w:type="spellStart"/>
      <w:r w:rsidRPr="00B424E2">
        <w:rPr>
          <w:b/>
          <w:color w:val="000000" w:themeColor="text1"/>
          <w:u w:val="single"/>
        </w:rPr>
        <w:t>CU</w:t>
      </w:r>
      <w:r w:rsidRPr="00B424E2">
        <w:rPr>
          <w:color w:val="000000" w:themeColor="text1"/>
        </w:rPr>
        <w:t>rriculu</w:t>
      </w:r>
      <w:r w:rsidRPr="00B424E2">
        <w:rPr>
          <w:b/>
          <w:color w:val="000000" w:themeColor="text1"/>
          <w:u w:val="single"/>
        </w:rPr>
        <w:t>M</w:t>
      </w:r>
      <w:proofErr w:type="spellEnd"/>
      <w:r w:rsidRPr="00B424E2">
        <w:rPr>
          <w:color w:val="000000" w:themeColor="text1"/>
        </w:rPr>
        <w:t xml:space="preserve">), originally developed as part of a Nova Scotia </w:t>
      </w:r>
      <w:proofErr w:type="spellStart"/>
      <w:r w:rsidRPr="00B424E2">
        <w:rPr>
          <w:color w:val="000000" w:themeColor="text1"/>
        </w:rPr>
        <w:t>NewStart</w:t>
      </w:r>
      <w:proofErr w:type="spellEnd"/>
      <w:r w:rsidRPr="00B424E2">
        <w:rPr>
          <w:color w:val="000000" w:themeColor="text1"/>
        </w:rPr>
        <w:t xml:space="preserve"> project on Yarmouth, Nova Scotia but pioneered by Holland College in Charlottetown</w:t>
      </w:r>
      <w:r>
        <w:rPr>
          <w:color w:val="000000" w:themeColor="text1"/>
        </w:rPr>
        <w:t xml:space="preserve">.  The </w:t>
      </w:r>
      <w:r>
        <w:rPr>
          <w:rFonts w:eastAsia="Times New Roman" w:cs="Times New Roman"/>
          <w:lang w:val="en-US" w:eastAsia="en-CA"/>
        </w:rPr>
        <w:t xml:space="preserve">“map” san </w:t>
      </w:r>
      <w:r w:rsidRPr="00B424E2">
        <w:rPr>
          <w:rFonts w:eastAsia="Times New Roman" w:cs="Times New Roman"/>
          <w:lang w:val="en-US" w:eastAsia="en-CA"/>
        </w:rPr>
        <w:t xml:space="preserve">serve </w:t>
      </w:r>
      <w:r>
        <w:rPr>
          <w:rFonts w:eastAsia="Times New Roman" w:cs="Times New Roman"/>
          <w:lang w:val="en-US" w:eastAsia="en-CA"/>
        </w:rPr>
        <w:t xml:space="preserve">many </w:t>
      </w:r>
      <w:r w:rsidRPr="00B424E2">
        <w:rPr>
          <w:rFonts w:eastAsia="Times New Roman" w:cs="Times New Roman"/>
          <w:lang w:val="en-US" w:eastAsia="en-CA"/>
        </w:rPr>
        <w:t>users</w:t>
      </w:r>
      <w:r>
        <w:rPr>
          <w:rFonts w:eastAsia="Times New Roman" w:cs="Times New Roman"/>
          <w:lang w:val="en-US" w:eastAsia="en-CA"/>
        </w:rPr>
        <w:t xml:space="preserve"> including t</w:t>
      </w:r>
      <w:r w:rsidRPr="00B424E2">
        <w:rPr>
          <w:rFonts w:eastAsia="Times New Roman" w:cs="Times New Roman"/>
          <w:lang w:val="en-US" w:eastAsia="en-CA"/>
        </w:rPr>
        <w:t xml:space="preserve">eachers to identify what is to be learned, students to track what has been learned, and curriculum developers as an analysis of the field, employers to identify the expectations of a new employee, and credentialing and qualifications bodies </w:t>
      </w:r>
      <w:r>
        <w:rPr>
          <w:rFonts w:eastAsia="Times New Roman" w:cs="Times New Roman"/>
          <w:lang w:val="en-US" w:eastAsia="en-CA"/>
        </w:rPr>
        <w:t xml:space="preserve">in establishing qualification levels.  </w:t>
      </w:r>
      <w:r>
        <w:rPr>
          <w:color w:val="000000" w:themeColor="text1"/>
        </w:rPr>
        <w:t xml:space="preserve">Finally, and absolutely critical to our project, is to develop a rating scale based on externally referenced criteria for application to the teaching-learning process.  . </w:t>
      </w:r>
    </w:p>
    <w:p w:rsidR="00475CE1" w:rsidRDefault="00475CE1" w:rsidP="00475CE1">
      <w:pPr>
        <w:spacing w:after="0" w:line="240" w:lineRule="auto"/>
        <w:rPr>
          <w:color w:val="000000" w:themeColor="text1"/>
        </w:rPr>
      </w:pPr>
    </w:p>
    <w:p w:rsidR="00475CE1" w:rsidRDefault="00475CE1" w:rsidP="00475CE1">
      <w:pPr>
        <w:spacing w:after="0" w:line="240" w:lineRule="auto"/>
        <w:rPr>
          <w:color w:val="000000" w:themeColor="text1"/>
        </w:rPr>
      </w:pPr>
      <w:r>
        <w:rPr>
          <w:color w:val="000000" w:themeColor="text1"/>
        </w:rPr>
        <w:t>On completion, the map will be made available to any interested party including:</w:t>
      </w:r>
    </w:p>
    <w:p w:rsidR="00475CE1" w:rsidRPr="00D007CD" w:rsidRDefault="00475CE1" w:rsidP="00475CE1">
      <w:pPr>
        <w:pStyle w:val="ListParagraph"/>
        <w:numPr>
          <w:ilvl w:val="0"/>
          <w:numId w:val="2"/>
        </w:numPr>
        <w:spacing w:after="0" w:line="240" w:lineRule="auto"/>
        <w:rPr>
          <w:rFonts w:eastAsia="Times New Roman" w:cs="Times New Roman"/>
          <w:lang w:val="en-US" w:eastAsia="en-CA"/>
        </w:rPr>
      </w:pPr>
      <w:r w:rsidRPr="00D007CD">
        <w:rPr>
          <w:rFonts w:eastAsia="Times New Roman" w:cs="Times New Roman"/>
          <w:lang w:val="en-US" w:eastAsia="en-CA"/>
        </w:rPr>
        <w:t xml:space="preserve">Employers as a master list of competencies from  which to draw </w:t>
      </w:r>
      <w:r>
        <w:rPr>
          <w:rFonts w:eastAsia="Times New Roman" w:cs="Times New Roman"/>
          <w:lang w:val="en-US" w:eastAsia="en-CA"/>
        </w:rPr>
        <w:t>t</w:t>
      </w:r>
      <w:r w:rsidRPr="00D007CD">
        <w:rPr>
          <w:rFonts w:eastAsia="Times New Roman" w:cs="Times New Roman"/>
          <w:lang w:val="en-US" w:eastAsia="en-CA"/>
        </w:rPr>
        <w:t>heir requirements’</w:t>
      </w:r>
    </w:p>
    <w:p w:rsidR="00475CE1" w:rsidRDefault="00475CE1" w:rsidP="00475CE1">
      <w:pPr>
        <w:pStyle w:val="ListParagraph"/>
        <w:numPr>
          <w:ilvl w:val="0"/>
          <w:numId w:val="2"/>
        </w:numPr>
        <w:spacing w:after="0" w:line="240" w:lineRule="auto"/>
        <w:rPr>
          <w:rFonts w:eastAsia="Times New Roman" w:cs="Times New Roman"/>
          <w:lang w:val="en-US" w:eastAsia="en-CA"/>
        </w:rPr>
      </w:pPr>
      <w:r w:rsidRPr="00D007CD">
        <w:rPr>
          <w:rFonts w:eastAsia="Times New Roman" w:cs="Times New Roman"/>
          <w:lang w:val="en-US" w:eastAsia="en-CA"/>
        </w:rPr>
        <w:t>Tutors of mathematic</w:t>
      </w:r>
      <w:r>
        <w:rPr>
          <w:rFonts w:eastAsia="Times New Roman" w:cs="Times New Roman"/>
          <w:lang w:val="en-US" w:eastAsia="en-CA"/>
        </w:rPr>
        <w:t>s</w:t>
      </w:r>
      <w:r w:rsidRPr="00D007CD">
        <w:rPr>
          <w:rFonts w:eastAsia="Times New Roman" w:cs="Times New Roman"/>
          <w:lang w:val="en-US" w:eastAsia="en-CA"/>
        </w:rPr>
        <w:t xml:space="preserve"> as a guide to what is needed and a </w:t>
      </w:r>
      <w:r>
        <w:rPr>
          <w:rFonts w:eastAsia="Times New Roman" w:cs="Times New Roman"/>
          <w:lang w:val="en-US" w:eastAsia="en-CA"/>
        </w:rPr>
        <w:t>record of what has been learned.</w:t>
      </w:r>
    </w:p>
    <w:p w:rsidR="00475CE1" w:rsidRDefault="00475CE1" w:rsidP="00475CE1">
      <w:pPr>
        <w:pStyle w:val="ListParagraph"/>
        <w:numPr>
          <w:ilvl w:val="0"/>
          <w:numId w:val="2"/>
        </w:numPr>
        <w:spacing w:after="0" w:line="240" w:lineRule="auto"/>
        <w:rPr>
          <w:rFonts w:eastAsia="Times New Roman" w:cs="Times New Roman"/>
          <w:lang w:val="en-US" w:eastAsia="en-CA"/>
        </w:rPr>
      </w:pPr>
      <w:r>
        <w:rPr>
          <w:rFonts w:eastAsia="Times New Roman" w:cs="Times New Roman"/>
          <w:lang w:val="en-US" w:eastAsia="en-CA"/>
        </w:rPr>
        <w:t>Students as both an academic map and tracking tool</w:t>
      </w:r>
    </w:p>
    <w:p w:rsidR="00475CE1" w:rsidRDefault="00475CE1" w:rsidP="00475CE1">
      <w:pPr>
        <w:pStyle w:val="ListParagraph"/>
        <w:numPr>
          <w:ilvl w:val="0"/>
          <w:numId w:val="2"/>
        </w:numPr>
        <w:spacing w:after="0" w:line="240" w:lineRule="auto"/>
        <w:rPr>
          <w:rFonts w:eastAsia="Times New Roman" w:cs="Times New Roman"/>
          <w:lang w:val="en-US" w:eastAsia="en-CA"/>
        </w:rPr>
      </w:pPr>
      <w:r>
        <w:rPr>
          <w:rFonts w:eastAsia="Times New Roman" w:cs="Times New Roman"/>
          <w:lang w:val="en-US" w:eastAsia="en-CA"/>
        </w:rPr>
        <w:t>Certification bodies for whom mathematics is felt to be an important component</w:t>
      </w:r>
    </w:p>
    <w:p w:rsidR="00475CE1" w:rsidRPr="00D007CD" w:rsidRDefault="00475CE1" w:rsidP="00475CE1">
      <w:pPr>
        <w:pStyle w:val="ListParagraph"/>
        <w:numPr>
          <w:ilvl w:val="0"/>
          <w:numId w:val="2"/>
        </w:numPr>
        <w:spacing w:after="0" w:line="240" w:lineRule="auto"/>
        <w:rPr>
          <w:rFonts w:eastAsia="Times New Roman" w:cs="Times New Roman"/>
          <w:lang w:val="en-US" w:eastAsia="en-CA"/>
        </w:rPr>
      </w:pPr>
      <w:r>
        <w:rPr>
          <w:rFonts w:eastAsia="Times New Roman" w:cs="Times New Roman"/>
          <w:lang w:val="en-US" w:eastAsia="en-CA"/>
        </w:rPr>
        <w:t>Others with an interest in mathematics</w:t>
      </w:r>
    </w:p>
    <w:p w:rsidR="00475CE1" w:rsidRPr="00D007CD" w:rsidRDefault="00475CE1" w:rsidP="00475CE1">
      <w:pPr>
        <w:suppressAutoHyphens/>
        <w:autoSpaceDN w:val="0"/>
        <w:spacing w:after="0" w:line="240" w:lineRule="auto"/>
        <w:textAlignment w:val="baseline"/>
      </w:pPr>
    </w:p>
    <w:p w:rsidR="00475CE1" w:rsidRDefault="00475CE1" w:rsidP="00475CE1">
      <w:pPr>
        <w:spacing w:after="0" w:line="240" w:lineRule="auto"/>
        <w:rPr>
          <w:b/>
          <w:lang w:val="en-US"/>
        </w:rPr>
      </w:pPr>
      <w:r>
        <w:rPr>
          <w:rFonts w:ascii="Calibri" w:hAnsi="Calibri"/>
          <w:b/>
          <w:lang w:val="en-US"/>
        </w:rPr>
        <w:t>Next steps:</w:t>
      </w:r>
    </w:p>
    <w:p w:rsidR="00475CE1" w:rsidRPr="00E971DB" w:rsidRDefault="00475CE1" w:rsidP="00475CE1">
      <w:pPr>
        <w:pStyle w:val="ListParagraph"/>
        <w:numPr>
          <w:ilvl w:val="0"/>
          <w:numId w:val="3"/>
        </w:numPr>
        <w:spacing w:after="0" w:line="240" w:lineRule="auto"/>
        <w:rPr>
          <w:lang w:val="en-US"/>
        </w:rPr>
      </w:pPr>
      <w:r>
        <w:rPr>
          <w:lang w:val="en-US"/>
        </w:rPr>
        <w:t>Establish a small steering committee</w:t>
      </w:r>
    </w:p>
    <w:p w:rsidR="00475CE1" w:rsidRPr="00E971DB" w:rsidRDefault="00475CE1" w:rsidP="00475CE1">
      <w:pPr>
        <w:pStyle w:val="ListParagraph"/>
        <w:numPr>
          <w:ilvl w:val="0"/>
          <w:numId w:val="3"/>
        </w:numPr>
        <w:spacing w:after="0" w:line="240" w:lineRule="auto"/>
        <w:rPr>
          <w:lang w:val="en-US"/>
        </w:rPr>
      </w:pPr>
      <w:r>
        <w:rPr>
          <w:lang w:val="en-US"/>
        </w:rPr>
        <w:t>Review existing map</w:t>
      </w:r>
    </w:p>
    <w:p w:rsidR="00475CE1" w:rsidRPr="00E971DB" w:rsidRDefault="00475CE1" w:rsidP="00475CE1">
      <w:pPr>
        <w:pStyle w:val="ListParagraph"/>
        <w:numPr>
          <w:ilvl w:val="0"/>
          <w:numId w:val="3"/>
        </w:numPr>
        <w:spacing w:after="0" w:line="240" w:lineRule="auto"/>
        <w:rPr>
          <w:lang w:val="en-US"/>
        </w:rPr>
      </w:pPr>
      <w:r w:rsidRPr="00E971DB">
        <w:rPr>
          <w:lang w:val="en-US"/>
        </w:rPr>
        <w:t xml:space="preserve">Develop </w:t>
      </w:r>
      <w:r>
        <w:rPr>
          <w:lang w:val="en-US"/>
        </w:rPr>
        <w:t xml:space="preserve">math rating </w:t>
      </w:r>
      <w:r w:rsidRPr="00E971DB">
        <w:rPr>
          <w:lang w:val="en-US"/>
        </w:rPr>
        <w:t>scale</w:t>
      </w:r>
    </w:p>
    <w:p w:rsidR="00475CE1" w:rsidRPr="00E971DB" w:rsidRDefault="00475CE1" w:rsidP="00475CE1">
      <w:pPr>
        <w:pStyle w:val="ListParagraph"/>
        <w:numPr>
          <w:ilvl w:val="0"/>
          <w:numId w:val="3"/>
        </w:numPr>
        <w:spacing w:after="0" w:line="240" w:lineRule="auto"/>
        <w:rPr>
          <w:lang w:val="en-US"/>
        </w:rPr>
      </w:pPr>
      <w:r>
        <w:rPr>
          <w:lang w:val="en-US"/>
        </w:rPr>
        <w:t>Identify profiles – general, employment and postsecondary</w:t>
      </w:r>
      <w:r w:rsidRPr="00E971DB">
        <w:rPr>
          <w:lang w:val="en-US"/>
        </w:rPr>
        <w:t xml:space="preserve"> </w:t>
      </w:r>
    </w:p>
    <w:p w:rsidR="00475CE1" w:rsidRPr="00E971DB" w:rsidRDefault="00475CE1" w:rsidP="00475CE1">
      <w:pPr>
        <w:pStyle w:val="ListParagraph"/>
        <w:numPr>
          <w:ilvl w:val="0"/>
          <w:numId w:val="3"/>
        </w:numPr>
        <w:spacing w:after="0" w:line="240" w:lineRule="auto"/>
        <w:rPr>
          <w:lang w:val="en-US"/>
        </w:rPr>
      </w:pPr>
      <w:r w:rsidRPr="00E971DB">
        <w:rPr>
          <w:lang w:val="en-US"/>
        </w:rPr>
        <w:t>Develop and test an assessment process</w:t>
      </w:r>
    </w:p>
    <w:p w:rsidR="00475CE1" w:rsidRPr="00E971DB" w:rsidRDefault="00475CE1" w:rsidP="00475CE1">
      <w:pPr>
        <w:pStyle w:val="ListParagraph"/>
        <w:numPr>
          <w:ilvl w:val="0"/>
          <w:numId w:val="3"/>
        </w:numPr>
        <w:spacing w:after="0" w:line="240" w:lineRule="auto"/>
        <w:rPr>
          <w:lang w:val="en-US"/>
        </w:rPr>
      </w:pPr>
      <w:r w:rsidRPr="00E971DB">
        <w:rPr>
          <w:lang w:val="en-US"/>
        </w:rPr>
        <w:t>Prepare final report</w:t>
      </w:r>
    </w:p>
    <w:p w:rsidR="00475CE1" w:rsidRPr="00E971DB" w:rsidRDefault="00475CE1" w:rsidP="00475CE1">
      <w:pPr>
        <w:spacing w:after="0" w:line="240" w:lineRule="auto"/>
        <w:rPr>
          <w:lang w:val="en-US"/>
        </w:rPr>
      </w:pPr>
    </w:p>
    <w:p w:rsidR="00475CE1" w:rsidRPr="00E971DB" w:rsidRDefault="00475CE1" w:rsidP="00475CE1">
      <w:pPr>
        <w:spacing w:after="0" w:line="240" w:lineRule="auto"/>
        <w:rPr>
          <w:lang w:val="en-US"/>
        </w:rPr>
      </w:pPr>
    </w:p>
    <w:p w:rsidR="00C47356" w:rsidRDefault="00C47356">
      <w:bookmarkStart w:id="0" w:name="_GoBack"/>
      <w:bookmarkEnd w:id="0"/>
    </w:p>
    <w:sectPr w:rsidR="00C47356" w:rsidSect="00331768">
      <w:headerReference w:type="default" r:id="rId6"/>
      <w:pgSz w:w="12240" w:h="15840"/>
      <w:pgMar w:top="1134"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4174100"/>
      <w:docPartObj>
        <w:docPartGallery w:val="Watermarks"/>
        <w:docPartUnique/>
      </w:docPartObj>
    </w:sdtPr>
    <w:sdtEndPr/>
    <w:sdtContent>
      <w:p w:rsidR="007237E9" w:rsidRDefault="00475CE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1F511A8"/>
    <w:multiLevelType w:val="hybridMultilevel"/>
    <w:tmpl w:val="018827DC"/>
    <w:lvl w:ilvl="0" w:tplc="10090001">
      <w:start w:val="1"/>
      <w:numFmt w:val="bullet"/>
      <w:lvlText w:val=""/>
      <w:lvlJc w:val="left"/>
      <w:pPr>
        <w:ind w:left="864" w:hanging="360"/>
      </w:pPr>
      <w:rPr>
        <w:rFonts w:ascii="Symbol" w:hAnsi="Symbol" w:hint="default"/>
      </w:rPr>
    </w:lvl>
    <w:lvl w:ilvl="1" w:tplc="10090003" w:tentative="1">
      <w:start w:val="1"/>
      <w:numFmt w:val="bullet"/>
      <w:lvlText w:val="o"/>
      <w:lvlJc w:val="left"/>
      <w:pPr>
        <w:ind w:left="1584" w:hanging="360"/>
      </w:pPr>
      <w:rPr>
        <w:rFonts w:ascii="Courier New" w:hAnsi="Courier New" w:cs="Courier New" w:hint="default"/>
      </w:rPr>
    </w:lvl>
    <w:lvl w:ilvl="2" w:tplc="10090005" w:tentative="1">
      <w:start w:val="1"/>
      <w:numFmt w:val="bullet"/>
      <w:lvlText w:val=""/>
      <w:lvlJc w:val="left"/>
      <w:pPr>
        <w:ind w:left="2304" w:hanging="360"/>
      </w:pPr>
      <w:rPr>
        <w:rFonts w:ascii="Wingdings" w:hAnsi="Wingdings" w:hint="default"/>
      </w:rPr>
    </w:lvl>
    <w:lvl w:ilvl="3" w:tplc="10090001" w:tentative="1">
      <w:start w:val="1"/>
      <w:numFmt w:val="bullet"/>
      <w:lvlText w:val=""/>
      <w:lvlJc w:val="left"/>
      <w:pPr>
        <w:ind w:left="3024" w:hanging="360"/>
      </w:pPr>
      <w:rPr>
        <w:rFonts w:ascii="Symbol" w:hAnsi="Symbol" w:hint="default"/>
      </w:rPr>
    </w:lvl>
    <w:lvl w:ilvl="4" w:tplc="10090003" w:tentative="1">
      <w:start w:val="1"/>
      <w:numFmt w:val="bullet"/>
      <w:lvlText w:val="o"/>
      <w:lvlJc w:val="left"/>
      <w:pPr>
        <w:ind w:left="3744" w:hanging="360"/>
      </w:pPr>
      <w:rPr>
        <w:rFonts w:ascii="Courier New" w:hAnsi="Courier New" w:cs="Courier New" w:hint="default"/>
      </w:rPr>
    </w:lvl>
    <w:lvl w:ilvl="5" w:tplc="10090005" w:tentative="1">
      <w:start w:val="1"/>
      <w:numFmt w:val="bullet"/>
      <w:lvlText w:val=""/>
      <w:lvlJc w:val="left"/>
      <w:pPr>
        <w:ind w:left="4464" w:hanging="360"/>
      </w:pPr>
      <w:rPr>
        <w:rFonts w:ascii="Wingdings" w:hAnsi="Wingdings" w:hint="default"/>
      </w:rPr>
    </w:lvl>
    <w:lvl w:ilvl="6" w:tplc="10090001" w:tentative="1">
      <w:start w:val="1"/>
      <w:numFmt w:val="bullet"/>
      <w:lvlText w:val=""/>
      <w:lvlJc w:val="left"/>
      <w:pPr>
        <w:ind w:left="5184" w:hanging="360"/>
      </w:pPr>
      <w:rPr>
        <w:rFonts w:ascii="Symbol" w:hAnsi="Symbol" w:hint="default"/>
      </w:rPr>
    </w:lvl>
    <w:lvl w:ilvl="7" w:tplc="10090003" w:tentative="1">
      <w:start w:val="1"/>
      <w:numFmt w:val="bullet"/>
      <w:lvlText w:val="o"/>
      <w:lvlJc w:val="left"/>
      <w:pPr>
        <w:ind w:left="5904" w:hanging="360"/>
      </w:pPr>
      <w:rPr>
        <w:rFonts w:ascii="Courier New" w:hAnsi="Courier New" w:cs="Courier New" w:hint="default"/>
      </w:rPr>
    </w:lvl>
    <w:lvl w:ilvl="8" w:tplc="10090005" w:tentative="1">
      <w:start w:val="1"/>
      <w:numFmt w:val="bullet"/>
      <w:lvlText w:val=""/>
      <w:lvlJc w:val="left"/>
      <w:pPr>
        <w:ind w:left="6624"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50"/>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CE1"/>
    <w:rsid w:val="00012344"/>
    <w:rsid w:val="00475CE1"/>
    <w:rsid w:val="00A65516"/>
    <w:rsid w:val="00C47356"/>
    <w:rsid w:val="00F63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A798239-69EF-411E-9B42-4512F551A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475CE1"/>
    <w:pPr>
      <w:spacing w:after="200" w:line="276" w:lineRule="auto"/>
    </w:pPr>
    <w:rPr>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75CE1"/>
    <w:pPr>
      <w:ind w:left="720"/>
      <w:contextualSpacing/>
    </w:pPr>
  </w:style>
  <w:style w:type="character" w:styleId="Hyperlink">
    <w:name w:val="Hyperlink"/>
    <w:basedOn w:val="DefaultParagraphFont"/>
    <w:uiPriority w:val="99"/>
    <w:unhideWhenUsed/>
    <w:rsid w:val="00475CE1"/>
    <w:rPr>
      <w:color w:val="0563C1" w:themeColor="hyperlink"/>
      <w:u w:val="single"/>
    </w:rPr>
  </w:style>
  <w:style w:type="paragraph" w:styleId="Header">
    <w:name w:val="header"/>
    <w:basedOn w:val="Normal"/>
    <w:link w:val="HeaderChar"/>
    <w:uiPriority w:val="99"/>
    <w:unhideWhenUsed/>
    <w:rsid w:val="00475C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CE1"/>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hyperlink" Target="http://www.cfpei.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953</Words>
  <Characters>4407</Characters>
  <Application>Microsoft Office Word</Application>
  <DocSecurity>0</DocSecurity>
  <Lines>169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1</cp:revision>
  <dcterms:created xsi:type="dcterms:W3CDTF">2016-11-27T18:29:00Z</dcterms:created>
  <dcterms:modified xsi:type="dcterms:W3CDTF">2016-11-27T18:31:00Z</dcterms:modified>
</cp:coreProperties>
</file>