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9A4464">
        <w:rPr>
          <w:b/>
          <w:i/>
          <w:color w:val="C00000"/>
          <w:sz w:val="56"/>
          <w:szCs w:val="56"/>
          <w:lang w:val="en-US"/>
        </w:rPr>
        <w:t xml:space="preserve"> </w:t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BF9" w:rsidRDefault="001F2BF9">
      <w:pPr>
        <w:pStyle w:val="Standard"/>
        <w:pBdr>
          <w:bottom w:val="single" w:sz="12" w:space="1" w:color="00000A"/>
        </w:pBdr>
        <w:rPr>
          <w:lang w:val="en-US"/>
        </w:rPr>
        <w:sectPr w:rsidR="001F2BF9" w:rsidSect="007C130F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C5774B">
      <w:pPr>
        <w:pStyle w:val="Standard"/>
        <w:pBdr>
          <w:bottom w:val="single" w:sz="12" w:space="1" w:color="00000A"/>
        </w:pBdr>
      </w:pPr>
      <w:r>
        <w:rPr>
          <w:lang w:val="en-US"/>
        </w:rPr>
        <w:lastRenderedPageBreak/>
        <w:t>09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FB275A">
        <w:rPr>
          <w:lang w:val="en-US"/>
        </w:rPr>
        <w:t xml:space="preserve">    November 15, 2</w:t>
      </w:r>
      <w:r w:rsidR="00DF768B">
        <w:rPr>
          <w:lang w:val="en-US"/>
        </w:rPr>
        <w:t>013</w:t>
      </w:r>
    </w:p>
    <w:p w:rsidR="00BB1EF0" w:rsidRPr="00CB7B2F" w:rsidRDefault="00BB1EF0" w:rsidP="00BB1EF0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cs="Calibri"/>
          <w:b/>
          <w:i/>
          <w:sz w:val="20"/>
          <w:szCs w:val="20"/>
        </w:rPr>
      </w:pPr>
      <w:r w:rsidRPr="00CB7B2F">
        <w:rPr>
          <w:rFonts w:cs="Calibri"/>
          <w:b/>
          <w:i/>
          <w:sz w:val="20"/>
          <w:szCs w:val="20"/>
        </w:rPr>
        <w:t xml:space="preserve">The tragedy of education is that it could easily be different and better for everyone… </w:t>
      </w:r>
    </w:p>
    <w:p w:rsidR="00B87E4C" w:rsidRPr="00CB7B2F" w:rsidRDefault="00BB1EF0" w:rsidP="00BB1EF0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cs="Calibri"/>
          <w:b/>
          <w:i/>
          <w:sz w:val="20"/>
          <w:szCs w:val="20"/>
        </w:rPr>
      </w:pPr>
      <w:proofErr w:type="gramStart"/>
      <w:r w:rsidRPr="00CB7B2F">
        <w:rPr>
          <w:rFonts w:cs="Calibri"/>
          <w:b/>
          <w:i/>
          <w:sz w:val="20"/>
          <w:szCs w:val="20"/>
        </w:rPr>
        <w:t>even</w:t>
      </w:r>
      <w:proofErr w:type="gramEnd"/>
      <w:r w:rsidRPr="00CB7B2F">
        <w:rPr>
          <w:rFonts w:cs="Calibri"/>
          <w:b/>
          <w:i/>
          <w:sz w:val="20"/>
          <w:szCs w:val="20"/>
        </w:rPr>
        <w:t xml:space="preserve"> under current constraints -  Jerry Wilhelm</w:t>
      </w:r>
    </w:p>
    <w:p w:rsidR="001F2BF9" w:rsidRDefault="001F2BF9" w:rsidP="004240CF">
      <w:pPr>
        <w:suppressAutoHyphens w:val="0"/>
        <w:autoSpaceDN/>
        <w:spacing w:line="276" w:lineRule="auto"/>
        <w:contextualSpacing/>
        <w:jc w:val="both"/>
        <w:textAlignment w:val="auto"/>
        <w:rPr>
          <w:szCs w:val="21"/>
        </w:rPr>
      </w:pPr>
      <w:bookmarkStart w:id="0" w:name="_GoBack"/>
    </w:p>
    <w:bookmarkEnd w:id="0"/>
    <w:p w:rsidR="007C130F" w:rsidRDefault="007C130F" w:rsidP="004240CF">
      <w:pPr>
        <w:suppressAutoHyphens w:val="0"/>
        <w:autoSpaceDN/>
        <w:spacing w:line="276" w:lineRule="auto"/>
        <w:contextualSpacing/>
        <w:jc w:val="both"/>
        <w:textAlignment w:val="auto"/>
        <w:rPr>
          <w:szCs w:val="21"/>
        </w:rPr>
        <w:sectPr w:rsidR="007C130F" w:rsidSect="007C130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547F58" w:rsidRPr="004240CF" w:rsidRDefault="004240CF" w:rsidP="004240CF">
      <w:pPr>
        <w:jc w:val="center"/>
        <w:rPr>
          <w:rFonts w:ascii="Calibri" w:hAnsi="Calibri" w:cs="Calibri"/>
          <w:b/>
          <w:bCs/>
          <w:lang w:eastAsia="en-CA"/>
        </w:rPr>
      </w:pPr>
      <w:r>
        <w:rPr>
          <w:rFonts w:ascii="Calibri" w:hAnsi="Calibri" w:cs="Calibri"/>
          <w:b/>
          <w:bCs/>
          <w:lang w:eastAsia="en-CA"/>
        </w:rPr>
        <w:lastRenderedPageBreak/>
        <w:t>Support for learning</w:t>
      </w:r>
    </w:p>
    <w:p w:rsidR="00547F58" w:rsidRDefault="001F2BF9" w:rsidP="004240CF">
      <w:pPr>
        <w:jc w:val="center"/>
        <w:rPr>
          <w:rFonts w:ascii="Calibri" w:hAnsi="Calibri" w:cs="Calibri"/>
          <w:b/>
          <w:bCs/>
          <w:sz w:val="20"/>
          <w:szCs w:val="20"/>
          <w:lang w:eastAsia="en-CA"/>
        </w:rPr>
      </w:pPr>
      <w:r>
        <w:rPr>
          <w:rFonts w:ascii="Calibri" w:hAnsi="Calibri" w:cs="Calibri"/>
          <w:b/>
          <w:bCs/>
          <w:sz w:val="20"/>
          <w:szCs w:val="20"/>
          <w:lang w:eastAsia="en-CA"/>
        </w:rPr>
        <w:t>.</w:t>
      </w:r>
    </w:p>
    <w:p w:rsidR="004240CF" w:rsidRDefault="00C5774B" w:rsidP="00704AF9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Recently </w:t>
      </w:r>
      <w:r w:rsidR="00843CCF" w:rsidRPr="006001CE">
        <w:rPr>
          <w:rFonts w:ascii="Calibri" w:hAnsi="Calibri" w:cs="Calibri"/>
          <w:color w:val="000000"/>
          <w:sz w:val="22"/>
          <w:szCs w:val="22"/>
        </w:rPr>
        <w:t xml:space="preserve">the question arose as to </w:t>
      </w:r>
      <w:r w:rsidR="00FB275A">
        <w:rPr>
          <w:rFonts w:ascii="Calibri" w:hAnsi="Calibri" w:cs="Calibri"/>
          <w:color w:val="000000"/>
          <w:sz w:val="22"/>
          <w:szCs w:val="22"/>
        </w:rPr>
        <w:t xml:space="preserve">ways </w:t>
      </w:r>
      <w:r w:rsidR="00843CCF" w:rsidRPr="006001CE">
        <w:rPr>
          <w:rFonts w:ascii="Calibri" w:hAnsi="Calibri" w:cs="Calibri"/>
          <w:color w:val="000000"/>
          <w:sz w:val="22"/>
          <w:szCs w:val="22"/>
        </w:rPr>
        <w:t>we</w:t>
      </w:r>
      <w:r w:rsidR="00FB275A">
        <w:rPr>
          <w:rFonts w:ascii="Calibri" w:hAnsi="Calibri" w:cs="Calibri"/>
          <w:color w:val="000000"/>
          <w:sz w:val="22"/>
          <w:szCs w:val="22"/>
        </w:rPr>
        <w:t xml:space="preserve"> support </w:t>
      </w:r>
      <w:r w:rsidR="00843CCF" w:rsidRPr="006001CE">
        <w:rPr>
          <w:rFonts w:ascii="Calibri" w:hAnsi="Calibri" w:cs="Calibri"/>
          <w:color w:val="000000"/>
          <w:sz w:val="22"/>
          <w:szCs w:val="22"/>
        </w:rPr>
        <w:t xml:space="preserve">others </w:t>
      </w:r>
      <w:r w:rsidR="009262C2" w:rsidRPr="006001CE">
        <w:rPr>
          <w:rFonts w:ascii="Calibri" w:hAnsi="Calibri" w:cs="Calibri"/>
          <w:color w:val="000000"/>
          <w:sz w:val="22"/>
          <w:szCs w:val="22"/>
        </w:rPr>
        <w:t xml:space="preserve">with their learning.  It is the first time I’ve ever been part of such a discussion and I found it very interesting. </w:t>
      </w:r>
    </w:p>
    <w:p w:rsidR="004240CF" w:rsidRDefault="004240CF" w:rsidP="00704AF9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:rsidR="004240CF" w:rsidRDefault="00FB275A" w:rsidP="00704AF9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 w:rsidR="004240CF">
        <w:rPr>
          <w:rFonts w:ascii="Calibri" w:hAnsi="Calibri" w:cs="Calibri"/>
          <w:color w:val="000000"/>
          <w:sz w:val="22"/>
          <w:szCs w:val="22"/>
        </w:rPr>
        <w:t>focus was on learning, whenever and wherever it occurs</w:t>
      </w:r>
      <w:r w:rsidR="00082B84">
        <w:rPr>
          <w:rFonts w:ascii="Calibri" w:hAnsi="Calibri" w:cs="Calibri"/>
          <w:color w:val="000000"/>
          <w:sz w:val="22"/>
          <w:szCs w:val="22"/>
        </w:rPr>
        <w:t xml:space="preserve">.  Every </w:t>
      </w:r>
      <w:r w:rsidR="004240CF">
        <w:rPr>
          <w:rFonts w:ascii="Calibri" w:hAnsi="Calibri" w:cs="Calibri"/>
          <w:color w:val="000000"/>
          <w:sz w:val="22"/>
          <w:szCs w:val="22"/>
        </w:rPr>
        <w:t>learner come</w:t>
      </w:r>
      <w:r w:rsidR="00704AF9">
        <w:rPr>
          <w:rFonts w:ascii="Calibri" w:hAnsi="Calibri" w:cs="Calibri"/>
          <w:color w:val="000000"/>
          <w:sz w:val="22"/>
          <w:szCs w:val="22"/>
        </w:rPr>
        <w:t>s</w:t>
      </w:r>
      <w:r w:rsidR="004240CF">
        <w:rPr>
          <w:rFonts w:ascii="Calibri" w:hAnsi="Calibri" w:cs="Calibri"/>
          <w:color w:val="000000"/>
          <w:sz w:val="22"/>
          <w:szCs w:val="22"/>
        </w:rPr>
        <w:t xml:space="preserve"> to a learning situation with a mix of previous experiences and differing motivations, ambitions, expectations, trepidations and future plans.</w:t>
      </w:r>
    </w:p>
    <w:p w:rsidR="009262C2" w:rsidRPr="006001CE" w:rsidRDefault="009262C2" w:rsidP="00704AF9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:rsidR="006001CE" w:rsidRPr="006001CE" w:rsidRDefault="00082B84" w:rsidP="00704AF9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It was noted also that </w:t>
      </w:r>
      <w:r w:rsidR="006001CE" w:rsidRPr="006001CE">
        <w:rPr>
          <w:rFonts w:ascii="Calibri" w:hAnsi="Calibri" w:cs="Calibri"/>
          <w:color w:val="000000"/>
          <w:sz w:val="22"/>
          <w:szCs w:val="22"/>
        </w:rPr>
        <w:t>a</w:t>
      </w:r>
      <w:r w:rsidR="009262C2" w:rsidRPr="006001CE">
        <w:rPr>
          <w:rFonts w:ascii="Calibri" w:hAnsi="Calibri" w:cs="Calibri"/>
          <w:color w:val="000000"/>
          <w:sz w:val="22"/>
          <w:szCs w:val="22"/>
        </w:rPr>
        <w:t xml:space="preserve"> learner’s ability to learn is affected by his or her degree of wellness</w:t>
      </w:r>
      <w:r w:rsidR="006001CE" w:rsidRPr="006001CE">
        <w:rPr>
          <w:rFonts w:ascii="Calibri" w:hAnsi="Calibri" w:cs="Calibri"/>
          <w:color w:val="000000"/>
          <w:sz w:val="22"/>
          <w:szCs w:val="22"/>
        </w:rPr>
        <w:t>:</w:t>
      </w:r>
    </w:p>
    <w:p w:rsidR="006001CE" w:rsidRPr="006001CE" w:rsidRDefault="006001CE" w:rsidP="00704AF9">
      <w:pPr>
        <w:pStyle w:val="ListParagraph"/>
        <w:numPr>
          <w:ilvl w:val="0"/>
          <w:numId w:val="15"/>
        </w:numPr>
        <w:jc w:val="both"/>
        <w:rPr>
          <w:rFonts w:cs="Calibri"/>
          <w:color w:val="000000"/>
          <w:sz w:val="22"/>
          <w:szCs w:val="22"/>
        </w:rPr>
      </w:pPr>
      <w:r w:rsidRPr="006001CE">
        <w:rPr>
          <w:rFonts w:cs="Calibri"/>
          <w:color w:val="000000"/>
          <w:sz w:val="22"/>
          <w:szCs w:val="22"/>
        </w:rPr>
        <w:t>P</w:t>
      </w:r>
      <w:r w:rsidR="009262C2" w:rsidRPr="006001CE">
        <w:rPr>
          <w:rFonts w:cs="Calibri"/>
          <w:color w:val="000000"/>
          <w:sz w:val="22"/>
          <w:szCs w:val="22"/>
        </w:rPr>
        <w:t>hysical</w:t>
      </w:r>
    </w:p>
    <w:p w:rsidR="006001CE" w:rsidRPr="006001CE" w:rsidRDefault="006001CE" w:rsidP="00704AF9">
      <w:pPr>
        <w:pStyle w:val="ListParagraph"/>
        <w:numPr>
          <w:ilvl w:val="0"/>
          <w:numId w:val="15"/>
        </w:numPr>
        <w:jc w:val="both"/>
        <w:rPr>
          <w:rFonts w:cs="Calibri"/>
          <w:color w:val="000000"/>
          <w:sz w:val="22"/>
          <w:szCs w:val="22"/>
        </w:rPr>
      </w:pPr>
      <w:r w:rsidRPr="006001CE">
        <w:rPr>
          <w:rFonts w:cs="Calibri"/>
          <w:color w:val="000000"/>
          <w:sz w:val="22"/>
          <w:szCs w:val="22"/>
        </w:rPr>
        <w:t>S</w:t>
      </w:r>
      <w:r w:rsidR="009262C2" w:rsidRPr="006001CE">
        <w:rPr>
          <w:rFonts w:cs="Calibri"/>
          <w:color w:val="000000"/>
          <w:sz w:val="22"/>
          <w:szCs w:val="22"/>
        </w:rPr>
        <w:t>ocial</w:t>
      </w:r>
    </w:p>
    <w:p w:rsidR="006001CE" w:rsidRPr="006001CE" w:rsidRDefault="006001CE" w:rsidP="00704AF9">
      <w:pPr>
        <w:pStyle w:val="ListParagraph"/>
        <w:numPr>
          <w:ilvl w:val="0"/>
          <w:numId w:val="15"/>
        </w:numPr>
        <w:jc w:val="both"/>
        <w:rPr>
          <w:rFonts w:cs="Calibri"/>
          <w:color w:val="000000"/>
          <w:sz w:val="22"/>
          <w:szCs w:val="22"/>
        </w:rPr>
      </w:pPr>
      <w:r w:rsidRPr="006001CE">
        <w:rPr>
          <w:rFonts w:cs="Calibri"/>
          <w:color w:val="000000"/>
          <w:sz w:val="22"/>
          <w:szCs w:val="22"/>
        </w:rPr>
        <w:t>E</w:t>
      </w:r>
      <w:r w:rsidR="009262C2" w:rsidRPr="006001CE">
        <w:rPr>
          <w:rFonts w:cs="Calibri"/>
          <w:color w:val="000000"/>
          <w:sz w:val="22"/>
          <w:szCs w:val="22"/>
        </w:rPr>
        <w:t xml:space="preserve">motional </w:t>
      </w:r>
    </w:p>
    <w:p w:rsidR="006001CE" w:rsidRPr="006001CE" w:rsidRDefault="006001CE" w:rsidP="00704AF9">
      <w:pPr>
        <w:pStyle w:val="ListParagraph"/>
        <w:numPr>
          <w:ilvl w:val="0"/>
          <w:numId w:val="15"/>
        </w:numPr>
        <w:jc w:val="both"/>
        <w:rPr>
          <w:rFonts w:cs="Calibri"/>
          <w:color w:val="000000"/>
          <w:sz w:val="22"/>
          <w:szCs w:val="22"/>
        </w:rPr>
      </w:pPr>
      <w:r w:rsidRPr="006001CE">
        <w:rPr>
          <w:rFonts w:cs="Calibri"/>
          <w:color w:val="000000"/>
          <w:sz w:val="22"/>
          <w:szCs w:val="22"/>
        </w:rPr>
        <w:t xml:space="preserve">Mental </w:t>
      </w:r>
    </w:p>
    <w:p w:rsidR="006001CE" w:rsidRPr="006001CE" w:rsidRDefault="006001CE" w:rsidP="00704AF9">
      <w:pPr>
        <w:jc w:val="both"/>
        <w:rPr>
          <w:rFonts w:cs="Calibri"/>
          <w:color w:val="000000"/>
          <w:sz w:val="22"/>
          <w:szCs w:val="22"/>
        </w:rPr>
      </w:pPr>
    </w:p>
    <w:p w:rsidR="00082B84" w:rsidRDefault="00082B84" w:rsidP="00704AF9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When we </w:t>
      </w:r>
      <w:r w:rsidR="00FB275A">
        <w:rPr>
          <w:rFonts w:ascii="Calibri" w:hAnsi="Calibri" w:cs="Calibri"/>
          <w:color w:val="000000"/>
          <w:sz w:val="22"/>
          <w:szCs w:val="22"/>
        </w:rPr>
        <w:t xml:space="preserve">say </w:t>
      </w:r>
      <w:r>
        <w:rPr>
          <w:rFonts w:ascii="Calibri" w:hAnsi="Calibri" w:cs="Calibri"/>
          <w:color w:val="000000"/>
          <w:sz w:val="22"/>
          <w:szCs w:val="22"/>
        </w:rPr>
        <w:t>support we think of showing and telling, but as one probes further, learning is supported in many ways including the provision of: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Information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Instruction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Resource material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Recognition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Feedback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Counsel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Encouragement</w:t>
      </w:r>
      <w:r w:rsidR="00082B84">
        <w:rPr>
          <w:rFonts w:cs="Calibri"/>
          <w:color w:val="000000"/>
          <w:sz w:val="22"/>
          <w:szCs w:val="22"/>
        </w:rPr>
        <w:t>,</w:t>
      </w:r>
      <w:r w:rsidR="00E31260">
        <w:rPr>
          <w:rFonts w:cs="Calibri"/>
          <w:color w:val="000000"/>
          <w:sz w:val="22"/>
          <w:szCs w:val="22"/>
        </w:rPr>
        <w:t xml:space="preserve"> </w:t>
      </w:r>
      <w:r w:rsidR="00082B84">
        <w:rPr>
          <w:rFonts w:cs="Calibri"/>
          <w:color w:val="000000"/>
          <w:sz w:val="22"/>
          <w:szCs w:val="22"/>
        </w:rPr>
        <w:t>and</w:t>
      </w:r>
    </w:p>
    <w:p w:rsidR="00843CCF" w:rsidRPr="00A63CDF" w:rsidRDefault="00843CCF" w:rsidP="00704AF9">
      <w:pPr>
        <w:pStyle w:val="ListParagraph"/>
        <w:numPr>
          <w:ilvl w:val="0"/>
          <w:numId w:val="14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A63CDF">
        <w:rPr>
          <w:rFonts w:cs="Calibri"/>
          <w:color w:val="000000"/>
          <w:sz w:val="22"/>
          <w:szCs w:val="22"/>
        </w:rPr>
        <w:t>Opportunity</w:t>
      </w:r>
    </w:p>
    <w:p w:rsidR="006001CE" w:rsidRDefault="006001CE" w:rsidP="00704AF9">
      <w:pPr>
        <w:jc w:val="both"/>
        <w:rPr>
          <w:rFonts w:asciiTheme="minorHAnsi" w:hAnsiTheme="minorHAnsi" w:cs="Calibri"/>
          <w:sz w:val="22"/>
          <w:szCs w:val="22"/>
        </w:rPr>
      </w:pPr>
    </w:p>
    <w:p w:rsidR="00547F58" w:rsidRPr="006001CE" w:rsidRDefault="006001CE" w:rsidP="00704AF9">
      <w:pPr>
        <w:jc w:val="both"/>
        <w:rPr>
          <w:rFonts w:asciiTheme="minorHAnsi" w:hAnsiTheme="minorHAnsi" w:cs="Calibri"/>
          <w:sz w:val="22"/>
          <w:szCs w:val="22"/>
        </w:rPr>
      </w:pPr>
      <w:r w:rsidRPr="006001CE">
        <w:rPr>
          <w:rFonts w:asciiTheme="minorHAnsi" w:hAnsiTheme="minorHAnsi" w:cs="Calibri"/>
          <w:sz w:val="22"/>
          <w:szCs w:val="22"/>
        </w:rPr>
        <w:t>It’s a short list, there may be d</w:t>
      </w:r>
      <w:r w:rsidR="00A63CDF">
        <w:rPr>
          <w:rFonts w:asciiTheme="minorHAnsi" w:hAnsiTheme="minorHAnsi" w:cs="Calibri"/>
          <w:sz w:val="22"/>
          <w:szCs w:val="22"/>
        </w:rPr>
        <w:t>uplicates or even items missing, b</w:t>
      </w:r>
      <w:r w:rsidRPr="006001CE">
        <w:rPr>
          <w:rFonts w:asciiTheme="minorHAnsi" w:hAnsiTheme="minorHAnsi" w:cs="Calibri"/>
          <w:sz w:val="22"/>
          <w:szCs w:val="22"/>
        </w:rPr>
        <w:t>ut it is a start</w:t>
      </w:r>
      <w:r w:rsidR="00A63CDF">
        <w:rPr>
          <w:rFonts w:asciiTheme="minorHAnsi" w:hAnsiTheme="minorHAnsi" w:cs="Calibri"/>
          <w:sz w:val="22"/>
          <w:szCs w:val="22"/>
        </w:rPr>
        <w:t xml:space="preserve"> and may even be a first; I know it was for me.  Hopefully, when our website is up and running, </w:t>
      </w:r>
      <w:r w:rsidR="00082B84">
        <w:rPr>
          <w:rFonts w:asciiTheme="minorHAnsi" w:hAnsiTheme="minorHAnsi" w:cs="Calibri"/>
          <w:sz w:val="22"/>
          <w:szCs w:val="22"/>
        </w:rPr>
        <w:t>it will become the subject of a blog.</w:t>
      </w:r>
    </w:p>
    <w:p w:rsidR="00547F58" w:rsidRPr="006001CE" w:rsidRDefault="00547F58" w:rsidP="00704AF9">
      <w:pPr>
        <w:jc w:val="both"/>
        <w:rPr>
          <w:rFonts w:asciiTheme="minorHAnsi" w:hAnsiTheme="minorHAnsi"/>
          <w:sz w:val="22"/>
          <w:szCs w:val="22"/>
          <w:lang w:val="en-US"/>
        </w:rPr>
      </w:pPr>
    </w:p>
    <w:p w:rsidR="006001CE" w:rsidRDefault="006001CE" w:rsidP="00704AF9">
      <w:pPr>
        <w:jc w:val="both"/>
        <w:rPr>
          <w:b/>
          <w:sz w:val="22"/>
          <w:szCs w:val="22"/>
          <w:lang w:val="en-US"/>
        </w:rPr>
      </w:pPr>
    </w:p>
    <w:p w:rsidR="00082B84" w:rsidRDefault="00082B84" w:rsidP="00704AF9">
      <w:pPr>
        <w:jc w:val="both"/>
        <w:outlineLvl w:val="0"/>
        <w:rPr>
          <w:rFonts w:asciiTheme="minorHAnsi" w:eastAsia="Times New Roman" w:hAnsiTheme="minorHAnsi" w:cs="Times New Roman"/>
          <w:b/>
          <w:bCs/>
          <w:kern w:val="36"/>
          <w:sz w:val="22"/>
          <w:szCs w:val="22"/>
          <w:lang w:eastAsia="en-CA"/>
        </w:rPr>
      </w:pPr>
    </w:p>
    <w:p w:rsidR="007C130F" w:rsidRPr="00FB275A" w:rsidRDefault="007C130F" w:rsidP="00704AF9">
      <w:pPr>
        <w:jc w:val="both"/>
        <w:outlineLvl w:val="0"/>
        <w:rPr>
          <w:rFonts w:asciiTheme="minorHAnsi" w:eastAsia="Times New Roman" w:hAnsiTheme="minorHAnsi" w:cs="Times New Roman"/>
          <w:b/>
          <w:bCs/>
          <w:kern w:val="36"/>
          <w:lang w:eastAsia="en-CA"/>
        </w:rPr>
      </w:pPr>
      <w:r w:rsidRPr="00FB275A">
        <w:rPr>
          <w:rFonts w:asciiTheme="minorHAnsi" w:eastAsia="Times New Roman" w:hAnsiTheme="minorHAnsi" w:cs="Times New Roman"/>
          <w:b/>
          <w:bCs/>
          <w:kern w:val="36"/>
          <w:lang w:eastAsia="en-CA"/>
        </w:rPr>
        <w:lastRenderedPageBreak/>
        <w:t xml:space="preserve">The Pulse of </w:t>
      </w:r>
      <w:r w:rsidR="00B60180" w:rsidRPr="00FB275A">
        <w:rPr>
          <w:rFonts w:asciiTheme="minorHAnsi" w:eastAsia="Times New Roman" w:hAnsiTheme="minorHAnsi" w:cs="Times New Roman"/>
          <w:b/>
          <w:bCs/>
          <w:kern w:val="36"/>
          <w:lang w:eastAsia="en-CA"/>
        </w:rPr>
        <w:t>I</w:t>
      </w:r>
      <w:r w:rsidRPr="00FB275A">
        <w:rPr>
          <w:rFonts w:asciiTheme="minorHAnsi" w:eastAsia="Times New Roman" w:hAnsiTheme="minorHAnsi" w:cs="Times New Roman"/>
          <w:b/>
          <w:bCs/>
          <w:kern w:val="36"/>
          <w:lang w:eastAsia="en-CA"/>
        </w:rPr>
        <w:t>sland Youth</w:t>
      </w:r>
    </w:p>
    <w:p w:rsidR="007C130F" w:rsidRPr="007C130F" w:rsidRDefault="007C130F" w:rsidP="00704AF9">
      <w:pPr>
        <w:jc w:val="both"/>
        <w:outlineLvl w:val="0"/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</w:pPr>
    </w:p>
    <w:p w:rsidR="007C130F" w:rsidRPr="007C130F" w:rsidRDefault="007C130F" w:rsidP="00704AF9">
      <w:pPr>
        <w:jc w:val="both"/>
        <w:outlineLvl w:val="0"/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</w:pPr>
      <w:r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The Community Foundation of Prince Edward Island </w:t>
      </w:r>
      <w:r w:rsidR="002A77A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recently </w:t>
      </w:r>
      <w:r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released the results of a survey of Island youth.  The report, available on</w:t>
      </w:r>
      <w:r w:rsidR="00AD5144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 the Foundation website, </w:t>
      </w:r>
      <w:hyperlink r:id="rId10" w:history="1">
        <w:r w:rsidRPr="007C130F">
          <w:rPr>
            <w:rStyle w:val="Hyperlink"/>
            <w:rFonts w:asciiTheme="minorHAnsi" w:eastAsia="Times New Roman" w:hAnsiTheme="minorHAnsi" w:cs="Times New Roman"/>
            <w:bCs/>
            <w:kern w:val="36"/>
            <w:sz w:val="22"/>
            <w:szCs w:val="22"/>
            <w:lang w:eastAsia="en-CA"/>
          </w:rPr>
          <w:t>www.cfpei.ca</w:t>
        </w:r>
      </w:hyperlink>
      <w:r w:rsidR="00704AF9"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, is</w:t>
      </w:r>
      <w:r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 a snapshot </w:t>
      </w:r>
      <w:r w:rsidR="00704AF9"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of views</w:t>
      </w:r>
      <w:r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 o</w:t>
      </w:r>
      <w:r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f </w:t>
      </w:r>
      <w:r w:rsidR="002A77A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over </w:t>
      </w:r>
      <w:r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200 Island youth o</w:t>
      </w:r>
      <w:r w:rsidRPr="007C130F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n a number of issues that directly affect them. </w:t>
      </w:r>
    </w:p>
    <w:p w:rsidR="007C130F" w:rsidRDefault="007C130F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</w:p>
    <w:p w:rsidR="002A77A8" w:rsidRDefault="002A77A8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  <w:r>
        <w:rPr>
          <w:rFonts w:asciiTheme="minorHAnsi" w:hAnsiTheme="minorHAnsi" w:cs="Helvetica"/>
          <w:color w:val="000000"/>
          <w:sz w:val="22"/>
          <w:szCs w:val="22"/>
        </w:rPr>
        <w:t>Bright spots include a positive sense of community, emerging entrepreneurial opportunities, volunteerism</w:t>
      </w:r>
      <w:r w:rsidR="00082B84">
        <w:rPr>
          <w:rFonts w:asciiTheme="minorHAnsi" w:hAnsiTheme="minorHAnsi" w:cs="Helvetica"/>
          <w:color w:val="000000"/>
          <w:sz w:val="22"/>
          <w:szCs w:val="22"/>
        </w:rPr>
        <w:t xml:space="preserve"> and </w:t>
      </w:r>
      <w:r>
        <w:rPr>
          <w:rFonts w:asciiTheme="minorHAnsi" w:hAnsiTheme="minorHAnsi" w:cs="Helvetica"/>
          <w:color w:val="000000"/>
          <w:sz w:val="22"/>
          <w:szCs w:val="22"/>
        </w:rPr>
        <w:t xml:space="preserve">new postsecondary offerings.  Main concerns include lack of jobs, surviving on low paying jobs, </w:t>
      </w:r>
      <w:r w:rsidR="00082B84">
        <w:rPr>
          <w:rFonts w:asciiTheme="minorHAnsi" w:hAnsiTheme="minorHAnsi" w:cs="Helvetica"/>
          <w:color w:val="000000"/>
          <w:sz w:val="22"/>
          <w:szCs w:val="22"/>
        </w:rPr>
        <w:t xml:space="preserve">educational </w:t>
      </w:r>
      <w:r w:rsidR="00FB275A">
        <w:rPr>
          <w:rFonts w:asciiTheme="minorHAnsi" w:hAnsiTheme="minorHAnsi" w:cs="Helvetica"/>
          <w:color w:val="000000"/>
          <w:sz w:val="22"/>
          <w:szCs w:val="22"/>
        </w:rPr>
        <w:t>def</w:t>
      </w:r>
      <w:r w:rsidR="00082B84">
        <w:rPr>
          <w:rFonts w:asciiTheme="minorHAnsi" w:hAnsiTheme="minorHAnsi" w:cs="Helvetica"/>
          <w:color w:val="000000"/>
          <w:sz w:val="22"/>
          <w:szCs w:val="22"/>
        </w:rPr>
        <w:t xml:space="preserve">iciencies and </w:t>
      </w:r>
      <w:r>
        <w:rPr>
          <w:rFonts w:asciiTheme="minorHAnsi" w:hAnsiTheme="minorHAnsi" w:cs="Helvetica"/>
          <w:color w:val="000000"/>
          <w:sz w:val="22"/>
          <w:szCs w:val="22"/>
        </w:rPr>
        <w:t>drug and alcohol addi</w:t>
      </w:r>
      <w:r w:rsidR="00082B84">
        <w:rPr>
          <w:rFonts w:asciiTheme="minorHAnsi" w:hAnsiTheme="minorHAnsi" w:cs="Helvetica"/>
          <w:color w:val="000000"/>
          <w:sz w:val="22"/>
          <w:szCs w:val="22"/>
        </w:rPr>
        <w:t>c</w:t>
      </w:r>
      <w:r>
        <w:rPr>
          <w:rFonts w:asciiTheme="minorHAnsi" w:hAnsiTheme="minorHAnsi" w:cs="Helvetica"/>
          <w:color w:val="000000"/>
          <w:sz w:val="22"/>
          <w:szCs w:val="22"/>
        </w:rPr>
        <w:t>tions.</w:t>
      </w:r>
    </w:p>
    <w:p w:rsidR="002A77A8" w:rsidRDefault="002A77A8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</w:p>
    <w:p w:rsidR="007C130F" w:rsidRDefault="00EC7741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  <w:r>
        <w:rPr>
          <w:rFonts w:asciiTheme="minorHAnsi" w:hAnsiTheme="minorHAnsi" w:cs="Helvetica"/>
          <w:color w:val="000000"/>
          <w:sz w:val="22"/>
          <w:szCs w:val="22"/>
        </w:rPr>
        <w:t>For education and learning, the study reports a high rate of completion of high school and postsecondary education, relatively low levels of achievement on PISA tests in reading, mathematics and science</w:t>
      </w:r>
      <w:r w:rsidR="00082B84">
        <w:rPr>
          <w:rFonts w:asciiTheme="minorHAnsi" w:hAnsiTheme="minorHAnsi" w:cs="Helvetica"/>
          <w:color w:val="000000"/>
          <w:sz w:val="22"/>
          <w:szCs w:val="22"/>
        </w:rPr>
        <w:t xml:space="preserve"> but a high level </w:t>
      </w:r>
      <w:r>
        <w:rPr>
          <w:rFonts w:asciiTheme="minorHAnsi" w:hAnsiTheme="minorHAnsi" w:cs="Helvetica"/>
          <w:color w:val="000000"/>
          <w:sz w:val="22"/>
          <w:szCs w:val="22"/>
        </w:rPr>
        <w:t>of inclusivity</w:t>
      </w:r>
      <w:r w:rsidR="00E95321">
        <w:rPr>
          <w:rFonts w:asciiTheme="minorHAnsi" w:hAnsiTheme="minorHAnsi" w:cs="Helvetica"/>
          <w:color w:val="000000"/>
          <w:sz w:val="22"/>
          <w:szCs w:val="22"/>
        </w:rPr>
        <w:t xml:space="preserve"> and </w:t>
      </w:r>
      <w:r>
        <w:rPr>
          <w:rFonts w:asciiTheme="minorHAnsi" w:hAnsiTheme="minorHAnsi" w:cs="Helvetica"/>
          <w:color w:val="000000"/>
          <w:sz w:val="22"/>
          <w:szCs w:val="22"/>
        </w:rPr>
        <w:t>relatively affordable tuition costs.</w:t>
      </w:r>
    </w:p>
    <w:p w:rsidR="007C130F" w:rsidRDefault="007C130F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</w:p>
    <w:p w:rsidR="004C37C0" w:rsidRDefault="00EC7741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  <w:r>
        <w:rPr>
          <w:rFonts w:asciiTheme="minorHAnsi" w:hAnsiTheme="minorHAnsi" w:cs="Helvetica"/>
          <w:color w:val="000000"/>
          <w:sz w:val="22"/>
          <w:szCs w:val="22"/>
        </w:rPr>
        <w:t xml:space="preserve">Readers should take special </w:t>
      </w:r>
      <w:r w:rsidR="004C37C0">
        <w:rPr>
          <w:rFonts w:asciiTheme="minorHAnsi" w:hAnsiTheme="minorHAnsi" w:cs="Helvetica"/>
          <w:color w:val="000000"/>
          <w:sz w:val="22"/>
          <w:szCs w:val="22"/>
        </w:rPr>
        <w:t>note</w:t>
      </w:r>
      <w:r w:rsidR="00AD5144">
        <w:rPr>
          <w:rFonts w:asciiTheme="minorHAnsi" w:hAnsiTheme="minorHAnsi" w:cs="Helvetica"/>
          <w:color w:val="000000"/>
          <w:sz w:val="22"/>
          <w:szCs w:val="22"/>
        </w:rPr>
        <w:t xml:space="preserve">, however, </w:t>
      </w:r>
      <w:r w:rsidR="004C37C0">
        <w:rPr>
          <w:rFonts w:asciiTheme="minorHAnsi" w:hAnsiTheme="minorHAnsi" w:cs="Helvetica"/>
          <w:color w:val="000000"/>
          <w:sz w:val="22"/>
          <w:szCs w:val="22"/>
        </w:rPr>
        <w:t xml:space="preserve">of questions raised in the summary; most of them are directly related to education and learning.  </w:t>
      </w:r>
    </w:p>
    <w:p w:rsidR="004C37C0" w:rsidRDefault="004C37C0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</w:p>
    <w:p w:rsidR="00043E27" w:rsidRDefault="004C37C0" w:rsidP="00704AF9">
      <w:pPr>
        <w:autoSpaceDE w:val="0"/>
        <w:adjustRightInd w:val="0"/>
        <w:jc w:val="both"/>
        <w:rPr>
          <w:rFonts w:asciiTheme="minorHAnsi" w:hAnsiTheme="minorHAnsi" w:cs="Helvetica"/>
          <w:color w:val="000000"/>
          <w:sz w:val="22"/>
          <w:szCs w:val="22"/>
        </w:rPr>
      </w:pPr>
      <w:r>
        <w:rPr>
          <w:rFonts w:asciiTheme="minorHAnsi" w:hAnsiTheme="minorHAnsi" w:cs="Helvetica"/>
          <w:color w:val="000000"/>
          <w:sz w:val="22"/>
          <w:szCs w:val="22"/>
        </w:rPr>
        <w:t xml:space="preserve">The report </w:t>
      </w:r>
      <w:r w:rsidR="00E95321">
        <w:rPr>
          <w:rFonts w:asciiTheme="minorHAnsi" w:hAnsiTheme="minorHAnsi" w:cs="Helvetica"/>
          <w:color w:val="000000"/>
          <w:sz w:val="22"/>
          <w:szCs w:val="22"/>
        </w:rPr>
        <w:t xml:space="preserve">identifies some outstanding issues that need to be addressed especially in the area of basic education, personal skills and transition to employment.  </w:t>
      </w:r>
      <w:r w:rsidR="00E31260">
        <w:rPr>
          <w:rFonts w:asciiTheme="minorHAnsi" w:hAnsiTheme="minorHAnsi" w:cs="Helvetica"/>
          <w:color w:val="000000"/>
          <w:sz w:val="22"/>
          <w:szCs w:val="22"/>
        </w:rPr>
        <w:t>Great issues for a round-table of stakeholders.</w:t>
      </w:r>
    </w:p>
    <w:p w:rsidR="00FB275A" w:rsidRDefault="00FB275A" w:rsidP="00704AF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color w:val="DC2300"/>
          <w:sz w:val="22"/>
          <w:szCs w:val="22"/>
        </w:rPr>
      </w:pPr>
    </w:p>
    <w:p w:rsidR="00FB275A" w:rsidRPr="00FB275A" w:rsidRDefault="00E31260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FB275A">
        <w:rPr>
          <w:rFonts w:asciiTheme="minorHAnsi" w:hAnsiTheme="minorHAnsi"/>
          <w:i/>
          <w:sz w:val="22"/>
          <w:szCs w:val="22"/>
        </w:rPr>
        <w:t>Guest Editor - Don Glendenning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2F4783" w:rsidRDefault="00DF768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2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2F4783" w:rsidSect="007C130F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CE5" w:rsidRDefault="00AB3CE5">
      <w:r>
        <w:separator/>
      </w:r>
    </w:p>
  </w:endnote>
  <w:endnote w:type="continuationSeparator" w:id="0">
    <w:p w:rsidR="00AB3CE5" w:rsidRDefault="00AB3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CE5" w:rsidRDefault="00AB3CE5">
      <w:r>
        <w:rPr>
          <w:color w:val="000000"/>
        </w:rPr>
        <w:separator/>
      </w:r>
    </w:p>
  </w:footnote>
  <w:footnote w:type="continuationSeparator" w:id="0">
    <w:p w:rsidR="00AB3CE5" w:rsidRDefault="00AB3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B12D1"/>
    <w:multiLevelType w:val="hybridMultilevel"/>
    <w:tmpl w:val="435A20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17FC3"/>
    <w:multiLevelType w:val="hybridMultilevel"/>
    <w:tmpl w:val="5ECE89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F642D4F"/>
    <w:multiLevelType w:val="hybridMultilevel"/>
    <w:tmpl w:val="450AE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E436B4"/>
    <w:multiLevelType w:val="hybridMultilevel"/>
    <w:tmpl w:val="B78052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3"/>
  </w:num>
  <w:num w:numId="3">
    <w:abstractNumId w:val="13"/>
  </w:num>
  <w:num w:numId="4">
    <w:abstractNumId w:val="5"/>
  </w:num>
  <w:num w:numId="5">
    <w:abstractNumId w:val="6"/>
  </w:num>
  <w:num w:numId="6">
    <w:abstractNumId w:val="9"/>
  </w:num>
  <w:num w:numId="7">
    <w:abstractNumId w:val="7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11"/>
  </w:num>
  <w:num w:numId="14">
    <w:abstractNumId w:val="8"/>
  </w:num>
  <w:num w:numId="15">
    <w:abstractNumId w:val="1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6023"/>
    <w:rsid w:val="00043E27"/>
    <w:rsid w:val="00082B84"/>
    <w:rsid w:val="000D37EC"/>
    <w:rsid w:val="00185074"/>
    <w:rsid w:val="001A7F8F"/>
    <w:rsid w:val="001F2BF9"/>
    <w:rsid w:val="00257201"/>
    <w:rsid w:val="002A77A8"/>
    <w:rsid w:val="002C56E7"/>
    <w:rsid w:val="002F4783"/>
    <w:rsid w:val="002F4A7D"/>
    <w:rsid w:val="004240CF"/>
    <w:rsid w:val="00454602"/>
    <w:rsid w:val="00461971"/>
    <w:rsid w:val="00466F2E"/>
    <w:rsid w:val="004B1892"/>
    <w:rsid w:val="004C37C0"/>
    <w:rsid w:val="00516466"/>
    <w:rsid w:val="00536E18"/>
    <w:rsid w:val="00547687"/>
    <w:rsid w:val="00547F58"/>
    <w:rsid w:val="00570206"/>
    <w:rsid w:val="006001CE"/>
    <w:rsid w:val="00616F33"/>
    <w:rsid w:val="006867DC"/>
    <w:rsid w:val="006D249A"/>
    <w:rsid w:val="006F7C44"/>
    <w:rsid w:val="00704AF9"/>
    <w:rsid w:val="00787A18"/>
    <w:rsid w:val="007C130F"/>
    <w:rsid w:val="00843CCF"/>
    <w:rsid w:val="008D6DEB"/>
    <w:rsid w:val="008E7DD5"/>
    <w:rsid w:val="008F6BC3"/>
    <w:rsid w:val="009262C2"/>
    <w:rsid w:val="009A4464"/>
    <w:rsid w:val="00A63CDF"/>
    <w:rsid w:val="00A81484"/>
    <w:rsid w:val="00AB3CE5"/>
    <w:rsid w:val="00AD5144"/>
    <w:rsid w:val="00B60180"/>
    <w:rsid w:val="00B87E4C"/>
    <w:rsid w:val="00BB1EF0"/>
    <w:rsid w:val="00BB24E8"/>
    <w:rsid w:val="00BC1D0F"/>
    <w:rsid w:val="00C40582"/>
    <w:rsid w:val="00C5774B"/>
    <w:rsid w:val="00CB7B2F"/>
    <w:rsid w:val="00DD09A9"/>
    <w:rsid w:val="00DF768B"/>
    <w:rsid w:val="00E31260"/>
    <w:rsid w:val="00E95321"/>
    <w:rsid w:val="00EC5668"/>
    <w:rsid w:val="00EC7741"/>
    <w:rsid w:val="00EF2333"/>
    <w:rsid w:val="00FB275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aneducation2020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cfpei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32843-DB33-4902-A3FD-CB5A93D8E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>The Pulse of Island Youth</vt:lpstr>
      <vt:lpstr/>
      <vt:lpstr>The Community Foundation of Prince Edward Island recently released the results o</vt:lpstr>
    </vt:vector>
  </TitlesOfParts>
  <Company>Hewlett-Packard</Company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2013-04-23T12:00:00Z</cp:lastPrinted>
  <dcterms:created xsi:type="dcterms:W3CDTF">2013-11-17T10:35:00Z</dcterms:created>
  <dcterms:modified xsi:type="dcterms:W3CDTF">2013-11-17T10:41:00Z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