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 SunSystems Transition – Communication Plan</w:t>
      </w:r>
    </w:p>
    <w:p>
      <w:pPr>
        <w:pStyle w:val="Heading1"/>
      </w:pPr>
      <w:r>
        <w:t>1. Purpose</w:t>
      </w:r>
    </w:p>
    <w:p>
      <w:r>
        <w:t>The purpose of this Communication Plan is to establish a structured approach for communicating all relevant project information during the Infor SunSystems Transition. This plan ensures clear, timely, and effective communication among all stakeholders — internal teams, IT, project sponsors, and external partners — to facilitate smooth transition and decision-making.</w:t>
      </w:r>
    </w:p>
    <w:p>
      <w:pPr>
        <w:pStyle w:val="Heading1"/>
      </w:pPr>
      <w:r>
        <w:t>2. Project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Infor SunSystems Transition</w:t>
            </w:r>
          </w:p>
        </w:tc>
      </w:tr>
      <w:tr>
        <w:tc>
          <w:tcPr>
            <w:tcW w:type="dxa" w:w="4320"/>
          </w:tcPr>
          <w:p>
            <w:r>
              <w:t>Project Sponsor</w:t>
            </w:r>
          </w:p>
        </w:tc>
        <w:tc>
          <w:tcPr>
            <w:tcW w:type="dxa" w:w="4320"/>
          </w:tcPr>
          <w:p>
            <w:r>
              <w:t>Corporate IT Head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[Enter Project Manager Name]</w:t>
            </w:r>
          </w:p>
        </w:tc>
      </w:tr>
      <w:tr>
        <w:tc>
          <w:tcPr>
            <w:tcW w:type="dxa" w:w="4320"/>
          </w:tcPr>
          <w:p>
            <w:r>
              <w:t>Technical Architect</w:t>
            </w:r>
          </w:p>
        </w:tc>
        <w:tc>
          <w:tcPr>
            <w:tcW w:type="dxa" w:w="4320"/>
          </w:tcPr>
          <w:p>
            <w:r>
              <w:t>Maruthi</w:t>
            </w:r>
          </w:p>
        </w:tc>
      </w:tr>
      <w:tr>
        <w:tc>
          <w:tcPr>
            <w:tcW w:type="dxa" w:w="4320"/>
          </w:tcPr>
          <w:p>
            <w:r>
              <w:t>Platform Lead</w:t>
            </w:r>
          </w:p>
        </w:tc>
        <w:tc>
          <w:tcPr>
            <w:tcW w:type="dxa" w:w="4320"/>
          </w:tcPr>
          <w:p>
            <w:r>
              <w:t>Madan</w:t>
            </w:r>
          </w:p>
        </w:tc>
      </w:tr>
      <w:tr>
        <w:tc>
          <w:tcPr>
            <w:tcW w:type="dxa" w:w="4320"/>
          </w:tcPr>
          <w:p>
            <w:r>
              <w:t>Transition Coordinator</w:t>
            </w:r>
          </w:p>
        </w:tc>
        <w:tc>
          <w:tcPr>
            <w:tcW w:type="dxa" w:w="4320"/>
          </w:tcPr>
          <w:p>
            <w:r>
              <w:t>[Enter Name]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June 1 – June 30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[Insert Date]</w:t>
            </w:r>
          </w:p>
        </w:tc>
      </w:tr>
    </w:tbl>
    <w:p>
      <w:pPr>
        <w:pStyle w:val="Heading1"/>
      </w:pPr>
      <w:r>
        <w:t>3. Communication Objectives</w:t>
      </w:r>
    </w:p>
    <w:p>
      <w:pPr>
        <w:pStyle w:val="ListBullet"/>
      </w:pPr>
      <w:r>
        <w:t>Ensure alignment between functional, technical, and business stakeholders.</w:t>
      </w:r>
    </w:p>
    <w:p>
      <w:pPr>
        <w:pStyle w:val="ListBullet"/>
      </w:pPr>
      <w:r>
        <w:t>Provide visibility into project milestones, progress, and risks.</w:t>
      </w:r>
    </w:p>
    <w:p>
      <w:pPr>
        <w:pStyle w:val="ListBullet"/>
      </w:pPr>
      <w:r>
        <w:t>Enable fast decision-making and issue resolution.</w:t>
      </w:r>
    </w:p>
    <w:p>
      <w:pPr>
        <w:pStyle w:val="ListBullet"/>
      </w:pPr>
      <w:r>
        <w:t>Maintain transparent documentation for audits and compliance.</w:t>
      </w:r>
    </w:p>
    <w:p>
      <w:pPr>
        <w:pStyle w:val="ListBullet"/>
      </w:pPr>
      <w:r>
        <w:t>Support knowledge transfer and training for the new SunSystems environment.</w:t>
      </w:r>
    </w:p>
    <w:p>
      <w:pPr>
        <w:pStyle w:val="Heading1"/>
      </w:pPr>
      <w:r>
        <w:t>4. Stakeholder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Stakeholder</w:t>
            </w:r>
          </w:p>
        </w:tc>
        <w:tc>
          <w:tcPr>
            <w:tcW w:type="dxa" w:w="1728"/>
          </w:tcPr>
          <w:p>
            <w:r>
              <w:t>Role / Responsibility</w:t>
            </w:r>
          </w:p>
        </w:tc>
        <w:tc>
          <w:tcPr>
            <w:tcW w:type="dxa" w:w="1728"/>
          </w:tcPr>
          <w:p>
            <w:r>
              <w:t>Information Needs</w:t>
            </w:r>
          </w:p>
        </w:tc>
        <w:tc>
          <w:tcPr>
            <w:tcW w:type="dxa" w:w="1728"/>
          </w:tcPr>
          <w:p>
            <w:r>
              <w:t>Communication Frequency</w:t>
            </w:r>
          </w:p>
        </w:tc>
        <w:tc>
          <w:tcPr>
            <w:tcW w:type="dxa" w:w="1728"/>
          </w:tcPr>
          <w:p>
            <w:r>
              <w:t>Method / Channel</w:t>
            </w:r>
          </w:p>
        </w:tc>
      </w:tr>
      <w:tr>
        <w:tc>
          <w:tcPr>
            <w:tcW w:type="dxa" w:w="1728"/>
          </w:tcPr>
          <w:p>
            <w:r>
              <w:t>Corporate IT Head (Sponsor)</w:t>
            </w:r>
          </w:p>
        </w:tc>
        <w:tc>
          <w:tcPr>
            <w:tcW w:type="dxa" w:w="1728"/>
          </w:tcPr>
          <w:p>
            <w:r>
              <w:t>Strategic oversight</w:t>
            </w:r>
          </w:p>
        </w:tc>
        <w:tc>
          <w:tcPr>
            <w:tcW w:type="dxa" w:w="1728"/>
          </w:tcPr>
          <w:p>
            <w:r>
              <w:t>Project progress, risk, budget, and impact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Steering Committee / Email</w:t>
            </w:r>
          </w:p>
        </w:tc>
      </w:tr>
      <w:tr>
        <w:tc>
          <w:tcPr>
            <w:tcW w:type="dxa" w:w="1728"/>
          </w:tcPr>
          <w:p>
            <w:r>
              <w:t>Maruthi (Architect)</w:t>
            </w:r>
          </w:p>
        </w:tc>
        <w:tc>
          <w:tcPr>
            <w:tcW w:type="dxa" w:w="1728"/>
          </w:tcPr>
          <w:p>
            <w:r>
              <w:t>Overall transition design &amp; architecture</w:t>
            </w:r>
          </w:p>
        </w:tc>
        <w:tc>
          <w:tcPr>
            <w:tcW w:type="dxa" w:w="1728"/>
          </w:tcPr>
          <w:p>
            <w:r>
              <w:t>Technical issues, integration updates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Teams / Email / Technical meetings</w:t>
            </w:r>
          </w:p>
        </w:tc>
      </w:tr>
      <w:tr>
        <w:tc>
          <w:tcPr>
            <w:tcW w:type="dxa" w:w="1728"/>
          </w:tcPr>
          <w:p>
            <w:r>
              <w:t>Madan (Platform Engineer)</w:t>
            </w:r>
          </w:p>
        </w:tc>
        <w:tc>
          <w:tcPr>
            <w:tcW w:type="dxa" w:w="1728"/>
          </w:tcPr>
          <w:p>
            <w:r>
              <w:t>SunSystems platform operations</w:t>
            </w:r>
          </w:p>
        </w:tc>
        <w:tc>
          <w:tcPr>
            <w:tcW w:type="dxa" w:w="1728"/>
          </w:tcPr>
          <w:p>
            <w:r>
              <w:t>System readiness, testing results</w:t>
            </w:r>
          </w:p>
        </w:tc>
        <w:tc>
          <w:tcPr>
            <w:tcW w:type="dxa" w:w="1728"/>
          </w:tcPr>
          <w:p>
            <w:r>
              <w:t>Twice weekly</w:t>
            </w:r>
          </w:p>
        </w:tc>
        <w:tc>
          <w:tcPr>
            <w:tcW w:type="dxa" w:w="1728"/>
          </w:tcPr>
          <w:p>
            <w:r>
              <w:t>Daily stand-ups / Teams</w:t>
            </w:r>
          </w:p>
        </w:tc>
      </w:tr>
      <w:tr>
        <w:tc>
          <w:tcPr>
            <w:tcW w:type="dxa" w:w="1728"/>
          </w:tcPr>
          <w:p>
            <w:r>
              <w:t>Amit (RBA Team)</w:t>
            </w:r>
          </w:p>
        </w:tc>
        <w:tc>
          <w:tcPr>
            <w:tcW w:type="dxa" w:w="1728"/>
          </w:tcPr>
          <w:p>
            <w:r>
              <w:t>RBA application support</w:t>
            </w:r>
          </w:p>
        </w:tc>
        <w:tc>
          <w:tcPr>
            <w:tcW w:type="dxa" w:w="1728"/>
          </w:tcPr>
          <w:p>
            <w:r>
              <w:t>Integration dependencies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Email / Technical syncs</w:t>
            </w:r>
          </w:p>
        </w:tc>
      </w:tr>
      <w:tr>
        <w:tc>
          <w:tcPr>
            <w:tcW w:type="dxa" w:w="1728"/>
          </w:tcPr>
          <w:p>
            <w:r>
              <w:t>AFS Team (20 Members)</w:t>
            </w:r>
          </w:p>
        </w:tc>
        <w:tc>
          <w:tcPr>
            <w:tcW w:type="dxa" w:w="1728"/>
          </w:tcPr>
          <w:p>
            <w:r>
              <w:t>Implementation &amp; testing</w:t>
            </w:r>
          </w:p>
        </w:tc>
        <w:tc>
          <w:tcPr>
            <w:tcW w:type="dxa" w:w="1728"/>
          </w:tcPr>
          <w:p>
            <w:r>
              <w:t>Task assignments, UAT feedback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Stand-up calls / Teams Chat</w:t>
            </w:r>
          </w:p>
        </w:tc>
      </w:tr>
      <w:tr>
        <w:tc>
          <w:tcPr>
            <w:tcW w:type="dxa" w:w="1728"/>
          </w:tcPr>
          <w:p>
            <w:r>
              <w:t>Corporate Finance Users</w:t>
            </w:r>
          </w:p>
        </w:tc>
        <w:tc>
          <w:tcPr>
            <w:tcW w:type="dxa" w:w="1728"/>
          </w:tcPr>
          <w:p>
            <w:r>
              <w:t>Functional validation</w:t>
            </w:r>
          </w:p>
        </w:tc>
        <w:tc>
          <w:tcPr>
            <w:tcW w:type="dxa" w:w="1728"/>
          </w:tcPr>
          <w:p>
            <w:r>
              <w:t>UAT schedule, training materials</w:t>
            </w:r>
          </w:p>
        </w:tc>
        <w:tc>
          <w:tcPr>
            <w:tcW w:type="dxa" w:w="1728"/>
          </w:tcPr>
          <w:p>
            <w:r>
              <w:t>As needed</w:t>
            </w:r>
          </w:p>
        </w:tc>
        <w:tc>
          <w:tcPr>
            <w:tcW w:type="dxa" w:w="1728"/>
          </w:tcPr>
          <w:p>
            <w:r>
              <w:t>Email / Workshops</w:t>
            </w:r>
          </w:p>
        </w:tc>
      </w:tr>
      <w:tr>
        <w:tc>
          <w:tcPr>
            <w:tcW w:type="dxa" w:w="1728"/>
          </w:tcPr>
          <w:p>
            <w:r>
              <w:t>Vendors / Support Partners</w:t>
            </w:r>
          </w:p>
        </w:tc>
        <w:tc>
          <w:tcPr>
            <w:tcW w:type="dxa" w:w="1728"/>
          </w:tcPr>
          <w:p>
            <w:r>
              <w:t>External support</w:t>
            </w:r>
          </w:p>
        </w:tc>
        <w:tc>
          <w:tcPr>
            <w:tcW w:type="dxa" w:w="1728"/>
          </w:tcPr>
          <w:p>
            <w:r>
              <w:t>Deployment schedules, issue logs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Email / Call / Ticket System</w:t>
            </w:r>
          </w:p>
        </w:tc>
      </w:tr>
    </w:tbl>
    <w:p>
      <w:pPr>
        <w:pStyle w:val="Heading1"/>
      </w:pPr>
      <w:r>
        <w:t>5. Communication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Audience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Project Kick-off Meeting</w:t>
            </w:r>
          </w:p>
        </w:tc>
        <w:tc>
          <w:tcPr>
            <w:tcW w:type="dxa" w:w="1728"/>
          </w:tcPr>
          <w:p>
            <w:r>
              <w:t>Introduce project objectives and scope</w:t>
            </w:r>
          </w:p>
        </w:tc>
        <w:tc>
          <w:tcPr>
            <w:tcW w:type="dxa" w:w="1728"/>
          </w:tcPr>
          <w:p>
            <w:r>
              <w:t>All stakeholders</w:t>
            </w:r>
          </w:p>
        </w:tc>
        <w:tc>
          <w:tcPr>
            <w:tcW w:type="dxa" w:w="1728"/>
          </w:tcPr>
          <w:p>
            <w:r>
              <w:t>Once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</w:tr>
      <w:tr>
        <w:tc>
          <w:tcPr>
            <w:tcW w:type="dxa" w:w="1728"/>
          </w:tcPr>
          <w:p>
            <w:r>
              <w:t>Daily Stand-ups</w:t>
            </w:r>
          </w:p>
        </w:tc>
        <w:tc>
          <w:tcPr>
            <w:tcW w:type="dxa" w:w="1728"/>
          </w:tcPr>
          <w:p>
            <w:r>
              <w:t>Task progress and blockers</w:t>
            </w:r>
          </w:p>
        </w:tc>
        <w:tc>
          <w:tcPr>
            <w:tcW w:type="dxa" w:w="1728"/>
          </w:tcPr>
          <w:p>
            <w:r>
              <w:t>Core Team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</w:tr>
      <w:tr>
        <w:tc>
          <w:tcPr>
            <w:tcW w:type="dxa" w:w="1728"/>
          </w:tcPr>
          <w:p>
            <w:r>
              <w:t>Weekly Progress Meeting</w:t>
            </w:r>
          </w:p>
        </w:tc>
        <w:tc>
          <w:tcPr>
            <w:tcW w:type="dxa" w:w="1728"/>
          </w:tcPr>
          <w:p>
            <w:r>
              <w:t>Review milestones, issues, dependencies</w:t>
            </w:r>
          </w:p>
        </w:tc>
        <w:tc>
          <w:tcPr>
            <w:tcW w:type="dxa" w:w="1728"/>
          </w:tcPr>
          <w:p>
            <w:r>
              <w:t>Core Team &amp; Architect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Maruthi</w:t>
            </w:r>
          </w:p>
        </w:tc>
      </w:tr>
      <w:tr>
        <w:tc>
          <w:tcPr>
            <w:tcW w:type="dxa" w:w="1728"/>
          </w:tcPr>
          <w:p>
            <w:r>
              <w:t>Steering Committee Meeting</w:t>
            </w:r>
          </w:p>
        </w:tc>
        <w:tc>
          <w:tcPr>
            <w:tcW w:type="dxa" w:w="1728"/>
          </w:tcPr>
          <w:p>
            <w:r>
              <w:t>Status review and key decisions</w:t>
            </w:r>
          </w:p>
        </w:tc>
        <w:tc>
          <w:tcPr>
            <w:tcW w:type="dxa" w:w="1728"/>
          </w:tcPr>
          <w:p>
            <w:r>
              <w:t>Sponsor, PM, Architect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Project Sponsor</w:t>
            </w:r>
          </w:p>
        </w:tc>
      </w:tr>
      <w:tr>
        <w:tc>
          <w:tcPr>
            <w:tcW w:type="dxa" w:w="1728"/>
          </w:tcPr>
          <w:p>
            <w:r>
              <w:t>Training Sessions</w:t>
            </w:r>
          </w:p>
        </w:tc>
        <w:tc>
          <w:tcPr>
            <w:tcW w:type="dxa" w:w="1728"/>
          </w:tcPr>
          <w:p>
            <w:r>
              <w:t>Functional and technical enablement</w:t>
            </w:r>
          </w:p>
        </w:tc>
        <w:tc>
          <w:tcPr>
            <w:tcW w:type="dxa" w:w="1728"/>
          </w:tcPr>
          <w:p>
            <w:r>
              <w:t>End-users, Platform Team</w:t>
            </w:r>
          </w:p>
        </w:tc>
        <w:tc>
          <w:tcPr>
            <w:tcW w:type="dxa" w:w="1728"/>
          </w:tcPr>
          <w:p>
            <w:r>
              <w:t>As scheduled</w:t>
            </w:r>
          </w:p>
        </w:tc>
        <w:tc>
          <w:tcPr>
            <w:tcW w:type="dxa" w:w="1728"/>
          </w:tcPr>
          <w:p>
            <w:r>
              <w:t>Trainer / Maruthi</w:t>
            </w:r>
          </w:p>
        </w:tc>
      </w:tr>
      <w:tr>
        <w:tc>
          <w:tcPr>
            <w:tcW w:type="dxa" w:w="1728"/>
          </w:tcPr>
          <w:p>
            <w:r>
              <w:t>Status Reports</w:t>
            </w:r>
          </w:p>
        </w:tc>
        <w:tc>
          <w:tcPr>
            <w:tcW w:type="dxa" w:w="1728"/>
          </w:tcPr>
          <w:p>
            <w:r>
              <w:t>Summary of progress, risks, next steps</w:t>
            </w:r>
          </w:p>
        </w:tc>
        <w:tc>
          <w:tcPr>
            <w:tcW w:type="dxa" w:w="1728"/>
          </w:tcPr>
          <w:p>
            <w:r>
              <w:t>Sponsors &amp; Stakeholders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</w:tr>
      <w:tr>
        <w:tc>
          <w:tcPr>
            <w:tcW w:type="dxa" w:w="1728"/>
          </w:tcPr>
          <w:p>
            <w:r>
              <w:t>Email Updates / Alerts</w:t>
            </w:r>
          </w:p>
        </w:tc>
        <w:tc>
          <w:tcPr>
            <w:tcW w:type="dxa" w:w="1728"/>
          </w:tcPr>
          <w:p>
            <w:r>
              <w:t>Urgent or ad-hoc communications</w:t>
            </w:r>
          </w:p>
        </w:tc>
        <w:tc>
          <w:tcPr>
            <w:tcW w:type="dxa" w:w="1728"/>
          </w:tcPr>
          <w:p>
            <w:r>
              <w:t>Relevant team members</w:t>
            </w:r>
          </w:p>
        </w:tc>
        <w:tc>
          <w:tcPr>
            <w:tcW w:type="dxa" w:w="1728"/>
          </w:tcPr>
          <w:p>
            <w:r>
              <w:t>As needed</w:t>
            </w:r>
          </w:p>
        </w:tc>
        <w:tc>
          <w:tcPr>
            <w:tcW w:type="dxa" w:w="1728"/>
          </w:tcPr>
          <w:p>
            <w:r>
              <w:t>PM / Team Leads</w:t>
            </w:r>
          </w:p>
        </w:tc>
      </w:tr>
    </w:tbl>
    <w:p>
      <w:pPr>
        <w:pStyle w:val="Heading1"/>
      </w:pPr>
      <w:r>
        <w:t>6. Communication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Communication Type</w:t>
            </w:r>
          </w:p>
        </w:tc>
        <w:tc>
          <w:tcPr>
            <w:tcW w:type="dxa" w:w="1728"/>
          </w:tcPr>
          <w:p>
            <w:r>
              <w:t>Sender</w:t>
            </w:r>
          </w:p>
        </w:tc>
        <w:tc>
          <w:tcPr>
            <w:tcW w:type="dxa" w:w="1728"/>
          </w:tcPr>
          <w:p>
            <w:r>
              <w:t>Recipient(s)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Format / Tool</w:t>
            </w:r>
          </w:p>
        </w:tc>
      </w:tr>
      <w:tr>
        <w:tc>
          <w:tcPr>
            <w:tcW w:type="dxa" w:w="1728"/>
          </w:tcPr>
          <w:p>
            <w:r>
              <w:t>Status Report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  <w:tc>
          <w:tcPr>
            <w:tcW w:type="dxa" w:w="1728"/>
          </w:tcPr>
          <w:p>
            <w:r>
              <w:t>Sponsor, PMO, Team Leads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PowerPoint / Email</w:t>
            </w:r>
          </w:p>
        </w:tc>
      </w:tr>
      <w:tr>
        <w:tc>
          <w:tcPr>
            <w:tcW w:type="dxa" w:w="1728"/>
          </w:tcPr>
          <w:p>
            <w:r>
              <w:t>Risk Register</w:t>
            </w:r>
          </w:p>
        </w:tc>
        <w:tc>
          <w:tcPr>
            <w:tcW w:type="dxa" w:w="1728"/>
          </w:tcPr>
          <w:p>
            <w:r>
              <w:t>PMO</w:t>
            </w:r>
          </w:p>
        </w:tc>
        <w:tc>
          <w:tcPr>
            <w:tcW w:type="dxa" w:w="1728"/>
          </w:tcPr>
          <w:p>
            <w:r>
              <w:t>Steering Committee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Excel / Dashboard</w:t>
            </w:r>
          </w:p>
        </w:tc>
      </w:tr>
      <w:tr>
        <w:tc>
          <w:tcPr>
            <w:tcW w:type="dxa" w:w="1728"/>
          </w:tcPr>
          <w:p>
            <w:r>
              <w:t>Issue Tracker</w:t>
            </w:r>
          </w:p>
        </w:tc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Team Leads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SharePoint / Teams</w:t>
            </w:r>
          </w:p>
        </w:tc>
      </w:tr>
      <w:tr>
        <w:tc>
          <w:tcPr>
            <w:tcW w:type="dxa" w:w="1728"/>
          </w:tcPr>
          <w:p>
            <w:r>
              <w:t>Change Request Summary</w:t>
            </w:r>
          </w:p>
        </w:tc>
        <w:tc>
          <w:tcPr>
            <w:tcW w:type="dxa" w:w="1728"/>
          </w:tcPr>
          <w:p>
            <w:r>
              <w:t>Architect</w:t>
            </w:r>
          </w:p>
        </w:tc>
        <w:tc>
          <w:tcPr>
            <w:tcW w:type="dxa" w:w="1728"/>
          </w:tcPr>
          <w:p>
            <w:r>
              <w:t>Sponsor / PM</w:t>
            </w:r>
          </w:p>
        </w:tc>
        <w:tc>
          <w:tcPr>
            <w:tcW w:type="dxa" w:w="1728"/>
          </w:tcPr>
          <w:p>
            <w:r>
              <w:t>As required</w:t>
            </w:r>
          </w:p>
        </w:tc>
        <w:tc>
          <w:tcPr>
            <w:tcW w:type="dxa" w:w="1728"/>
          </w:tcPr>
          <w:p>
            <w:r>
              <w:t>Email / Tracker</w:t>
            </w:r>
          </w:p>
        </w:tc>
      </w:tr>
      <w:tr>
        <w:tc>
          <w:tcPr>
            <w:tcW w:type="dxa" w:w="1728"/>
          </w:tcPr>
          <w:p>
            <w:r>
              <w:t>Training Material Updates</w:t>
            </w:r>
          </w:p>
        </w:tc>
        <w:tc>
          <w:tcPr>
            <w:tcW w:type="dxa" w:w="1728"/>
          </w:tcPr>
          <w:p>
            <w:r>
              <w:t>Trainer</w:t>
            </w:r>
          </w:p>
        </w:tc>
        <w:tc>
          <w:tcPr>
            <w:tcW w:type="dxa" w:w="1728"/>
          </w:tcPr>
          <w:p>
            <w:r>
              <w:t>Business Users</w:t>
            </w:r>
          </w:p>
        </w:tc>
        <w:tc>
          <w:tcPr>
            <w:tcW w:type="dxa" w:w="1728"/>
          </w:tcPr>
          <w:p>
            <w:r>
              <w:t>As required</w:t>
            </w:r>
          </w:p>
        </w:tc>
        <w:tc>
          <w:tcPr>
            <w:tcW w:type="dxa" w:w="1728"/>
          </w:tcPr>
          <w:p>
            <w:r>
              <w:t>Teams / LMS</w:t>
            </w:r>
          </w:p>
        </w:tc>
      </w:tr>
      <w:tr>
        <w:tc>
          <w:tcPr>
            <w:tcW w:type="dxa" w:w="1728"/>
          </w:tcPr>
          <w:p>
            <w:r>
              <w:t>Post-Implementation Report</w:t>
            </w:r>
          </w:p>
        </w:tc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All Stakeholders</w:t>
            </w:r>
          </w:p>
        </w:tc>
        <w:tc>
          <w:tcPr>
            <w:tcW w:type="dxa" w:w="1728"/>
          </w:tcPr>
          <w:p>
            <w:r>
              <w:t>Once</w:t>
            </w:r>
          </w:p>
        </w:tc>
        <w:tc>
          <w:tcPr>
            <w:tcW w:type="dxa" w:w="1728"/>
          </w:tcPr>
          <w:p>
            <w:r>
              <w:t>PDF / Presentation</w:t>
            </w:r>
          </w:p>
        </w:tc>
      </w:tr>
    </w:tbl>
    <w:p>
      <w:pPr>
        <w:pStyle w:val="Heading1"/>
      </w:pPr>
      <w:r>
        <w:t>7. Escalation Process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Escalation To</w:t>
            </w:r>
          </w:p>
        </w:tc>
        <w:tc>
          <w:tcPr>
            <w:tcW w:type="dxa" w:w="2160"/>
          </w:tcPr>
          <w:p>
            <w:r>
              <w:t>Trigger Condition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</w:tr>
      <w:tr>
        <w:tc>
          <w:tcPr>
            <w:tcW w:type="dxa" w:w="2160"/>
          </w:tcPr>
          <w:p>
            <w:r>
              <w:t>Level 1</w:t>
            </w:r>
          </w:p>
        </w:tc>
        <w:tc>
          <w:tcPr>
            <w:tcW w:type="dxa" w:w="2160"/>
          </w:tcPr>
          <w:p>
            <w:r>
              <w:t>Team Lead</w:t>
            </w:r>
          </w:p>
        </w:tc>
        <w:tc>
          <w:tcPr>
            <w:tcW w:type="dxa" w:w="2160"/>
          </w:tcPr>
          <w:p>
            <w:r>
              <w:t>Task delayed &gt; 2 days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</w:tr>
      <w:tr>
        <w:tc>
          <w:tcPr>
            <w:tcW w:type="dxa" w:w="2160"/>
          </w:tcPr>
          <w:p>
            <w:r>
              <w:t>Level 2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Major milestone risk</w:t>
            </w:r>
          </w:p>
        </w:tc>
        <w:tc>
          <w:tcPr>
            <w:tcW w:type="dxa" w:w="2160"/>
          </w:tcPr>
          <w:p>
            <w:r>
              <w:t>12 hours</w:t>
            </w:r>
          </w:p>
        </w:tc>
      </w:tr>
      <w:tr>
        <w:tc>
          <w:tcPr>
            <w:tcW w:type="dxa" w:w="2160"/>
          </w:tcPr>
          <w:p>
            <w:r>
              <w:t>Level 3</w:t>
            </w:r>
          </w:p>
        </w:tc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>
              <w:t>Critical impact on go-live</w:t>
            </w:r>
          </w:p>
        </w:tc>
        <w:tc>
          <w:tcPr>
            <w:tcW w:type="dxa" w:w="2160"/>
          </w:tcPr>
          <w:p>
            <w:r>
              <w:t>6 hours</w:t>
            </w:r>
          </w:p>
        </w:tc>
      </w:tr>
    </w:tbl>
    <w:p>
      <w:pPr>
        <w:pStyle w:val="Heading1"/>
      </w:pPr>
      <w:r>
        <w:t>8. Review and Update</w:t>
      </w:r>
    </w:p>
    <w:p>
      <w:r>
        <w:t>The Communication Plan will be reviewed at the start of each transition phase and updated whenever there are significant changes in team composition, scope, or timelines.</w:t>
      </w:r>
    </w:p>
    <w:p>
      <w:pPr>
        <w:pStyle w:val="Heading1"/>
      </w:pPr>
      <w:r>
        <w:t>9.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Maruthi</w:t>
            </w:r>
          </w:p>
        </w:tc>
        <w:tc>
          <w:tcPr>
            <w:tcW w:type="dxa" w:w="2160"/>
          </w:tcPr>
          <w:p>
            <w:r>
              <w:t>Architect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