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2020-08-07</w:t>
      </w:r>
    </w:p>
    <w:p>
      <w:pPr>
        <w:pStyle w:val="ListNumber"/>
      </w:pPr>
      <w:r>
        <w:t>Toddler behavior, the home environment, and flame retardant  (2020-8)</w:t>
      </w:r>
    </w:p>
    <w:p>
      <w:pPr>
        <w:pStyle w:val="ListNumber"/>
      </w:pPr>
      <w:r>
        <w:t>Development of a high-throughput bioassay for screening of a (2020-8)</w:t>
      </w:r>
    </w:p>
    <w:p>
      <w:pPr>
        <w:pStyle w:val="ListNumber"/>
      </w:pPr>
      <w:r>
        <w:t>Human exposure to synthetic endocrine disrupting chemicals ( (2020-8)</w:t>
      </w:r>
    </w:p>
    <w:p>
      <w:pPr>
        <w:pStyle w:val="ListNumber"/>
      </w:pPr>
      <w:r>
        <w:t>Human exposure to synthetic endocrine disrupting chemicals ( (2020-8)</w:t>
      </w:r>
    </w:p>
    <w:p>
      <w:pPr>
        <w:pStyle w:val="Heading3"/>
      </w:pPr>
      <w:r>
        <w:t>1) Toddler behavior, the home environment, and flame retardant exposure</w:t>
      </w:r>
    </w:p>
    <w:p>
      <w:pPr>
        <w:pStyle w:val="ListBullet"/>
      </w:pPr>
      <w:r>
        <w:t>Sugeng, E. J., de Cock, M., Leonards, P. E., van de Bor, M.</w:t>
      </w:r>
    </w:p>
    <w:p>
      <w:pPr>
        <w:pStyle w:val="ListBullet"/>
      </w:pPr>
      <w:r>
        <w:t>Environmental Health and Toxicology, AIMMS, Environmental Bioanalytical Chemistry, Environment and Health</w:t>
      </w:r>
    </w:p>
    <w:p>
      <w:pPr>
        <w:pStyle w:val="ListBullet"/>
      </w:pPr>
      <w:r>
        <w:t>Chemosphere</w:t>
      </w:r>
    </w:p>
    <w:p>
      <w:pPr>
        <w:pStyle w:val="ListBullet"/>
      </w:pPr>
      <w:r>
        <w:t>https://doi.org/10.1016/j.chemosphere.2020.126588</w:t>
      </w:r>
    </w:p>
    <w:p>
      <w:pPr>
        <w:pStyle w:val="ListBullet"/>
      </w:pPr>
      <w:r>
        <w:t>Corresponding author: Sugeng, E. J.</w:t>
      </w:r>
    </w:p>
    <w:p>
      <w:pPr>
        <w:pStyle w:val="ListBullet"/>
      </w:pPr>
      <w:r>
        <w:t>Published Aug 2020 (early online 23 Mar 2020)</w:t>
      </w:r>
    </w:p>
    <w:p>
      <w:pPr>
        <w:pStyle w:val="ListBullet"/>
      </w:pPr>
      <w:r>
        <w:t>Processed: 2020-8</w:t>
      </w:r>
    </w:p>
    <w:p>
      <w:r>
        <w:t>Toddlers are at increased risk of dust ingestion and subsequently flame retardant (FR) exposure because they often play close to the floor and mouth hands and objects. Exposure to some FRs have been associated to endocrine disruption and neurodevelopmental disorders. Previous research has shown higher FR concentrations in toddlers’ serum and urine, but which toddler-behaviors influence exposure levels remains to be determined. We investigated how toddler-behaviors are associated to FRs in hand wipes (HWs) and saliva. Fifty 8-18 month-old children from the Linking EDCs in maternal Nutrition to Child health study, were visited at home. The child's behavior was observed and assessed using a questionnaire. Hand-to-object behavior frequency was associated with HW tris(chloroethyl) phosphate (TCEP), tris(1,3-dichloroisopropyl) phosphate (TDCIPP), tris(phenyl) phosphate, tris(methylphenyl) phosphate, and resorcinol bis(diphenyl phosphate) levels above the detection limit. Children playing with electronics multiple times per week had higher TDCIPP HW levels compared to children playing with electronics once per month or never (p = 0.032 and p = 0.046). Frequent mouth-to-object and frequent mouthing a pacifier were associated with lower TDCIPP (p = 0.019) and tris(2-chloroisopropyl) phosphate (TCIPP) HW levels, respectively (p = 0.002–0.019). Exposure estimates based on hand-to-mouth behavior did not exceed the available reference doses. This is the first study investigating toddler-behavior in relation to FR hand loadings. Although a range of behaviors was investigated, only a few showed a relation with FR HW levels, suggesting that toddler-behavior might not alone be responsible for the elevated FR levels in children. It is therefore important to explore other pathways including dermal absorption and inhalation.</w:t>
      </w:r>
      <w:r>
        <w:t xml:space="preserve"> </w:t>
      </w:r>
    </w:p>
    <w:p>
      <w:pPr>
        <w:pStyle w:val="Heading3"/>
      </w:pPr>
      <w:r>
        <w:t>2) Development of a high-throughput bioassay for screening of antibiotics in aquatic environmental samples</w:t>
      </w:r>
    </w:p>
    <w:p>
      <w:pPr>
        <w:pStyle w:val="ListBullet"/>
      </w:pPr>
      <w:r>
        <w:t>Jonkers, T. J., Steenhuis, M., Schalkwijk, L., Luirink, J., Bald, D., Houtman, C. J., Kool, J., Lamoree, M. H., Hamers, T.</w:t>
      </w:r>
    </w:p>
    <w:p>
      <w:pPr>
        <w:pStyle w:val="ListBullet"/>
      </w:pPr>
      <w:r>
        <w:t>AIMMS, Environmental Chemistry and Toxicology, Molecular Microbiology, LaserLaB - Molecular Biophysics, Structural Biology, BioAnalytical Chemistry, Environmental Health and Toxicology, VU University, The Water Laboratory</w:t>
      </w:r>
    </w:p>
    <w:p>
      <w:pPr>
        <w:pStyle w:val="ListBullet"/>
      </w:pPr>
      <w:r>
        <w:t>Science of the Total Environment</w:t>
      </w:r>
    </w:p>
    <w:p>
      <w:pPr>
        <w:pStyle w:val="ListBullet"/>
      </w:pPr>
      <w:r>
        <w:t>https://doi.org/10.1016/j.scitotenv.2020.139028</w:t>
      </w:r>
    </w:p>
    <w:p>
      <w:pPr>
        <w:pStyle w:val="ListBullet"/>
      </w:pPr>
      <w:r>
        <w:t>Corresponding author: Jonkers, T. J.</w:t>
      </w:r>
    </w:p>
    <w:p>
      <w:pPr>
        <w:pStyle w:val="ListBullet"/>
      </w:pPr>
      <w:r>
        <w:t>Published 10 Aug 2020 (early online 28 Apr 2020)</w:t>
      </w:r>
    </w:p>
    <w:p>
      <w:pPr>
        <w:pStyle w:val="ListBullet"/>
      </w:pPr>
      <w:r>
        <w:t>Processed: 2020-8</w:t>
      </w:r>
    </w:p>
    <w:p>
      <w:r>
        <w:t>The goal of the present study was to select a Gram-positive (Gram+) and Gram-negative (Gram−) strain to measure antimicrobial activity in environmental samples, allowing high-throughput environmental screening. The sensitivity of eight pre-selected bacterial strains were tested to a training set of ten antibiotics, i.e. three Gram+ Bacillus subtilis strains with different read-outs, and five Gram− strains. The latter group consisted of a bioluminescent Allivibrio fischeri strain and four Escherichia coli strains, i.e. a wild type (WT) and three strains with a modified cell envelope to increase their sensitivity. The WT B. subtilis and an E. coli strain newly developed in this study, were most sensitive to the training set. This E. coli strain carries an open variant of an outer membrane protein combined with an inactivated multidrug efflux transport system. The assay conditions of these two strains were optimized and validated by exposure to a validation set of thirteen antibiotics with clinical and environmental relevance. The assay sensitivity ranged from the ng/mL to μg/mL range. The applicability of the assays for toxicological characterization of aquatic environmental samples was demonstrated for hospital effluent extract. A future application includes effect-directed analysis to identify yet unknown antibiotic contaminants or their transformation products.</w:t>
      </w:r>
      <w:r>
        <w:t xml:space="preserve"> </w:t>
      </w:r>
    </w:p>
    <w:p>
      <w:pPr>
        <w:pStyle w:val="Heading3"/>
      </w:pPr>
      <w:r>
        <w:t>3)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Gainesville, University of Würzburg, University of Konstanz, Pere Virgili Health Research Institute, The Health Policy Center, University of Ottawa, Toxicology, University of Oulu, Finnish Institute of Occupational Health, University of Leicester</w:t>
      </w:r>
    </w:p>
    <w:p>
      <w:pPr>
        <w:pStyle w:val="ListBullet"/>
      </w:pPr>
      <w:r>
        <w:t>Environmental Toxicology and Pharmacology</w:t>
      </w:r>
    </w:p>
    <w:p>
      <w:pPr>
        <w:pStyle w:val="ListBullet"/>
      </w:pPr>
      <w:r>
        <w:t>https://doi.org/10.1016/j.etap.2020.103396</w:t>
      </w:r>
    </w:p>
    <w:p>
      <w:pPr>
        <w:pStyle w:val="ListBullet"/>
      </w:pPr>
      <w:r>
        <w:t>Corresponding author: Dekant, W.</w:t>
      </w:r>
    </w:p>
    <w:p>
      <w:pPr>
        <w:pStyle w:val="ListBullet"/>
      </w:pPr>
      <w:r>
        <w:t>Published Aug 2020 (early online 29 Apr 2020)</w:t>
      </w:r>
    </w:p>
    <w:p>
      <w:pPr>
        <w:pStyle w:val="ListBullet"/>
      </w:pPr>
      <w:r>
        <w:t>Processed: 2020-8</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than S-EDCs.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t>4)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Chemico-Biological Interactions</w:t>
      </w:r>
    </w:p>
    <w:p>
      <w:pPr>
        <w:pStyle w:val="ListBullet"/>
      </w:pPr>
      <w:r>
        <w:t>https://doi.org/10.1016/j.cbi.2020.109099</w:t>
      </w:r>
    </w:p>
    <w:p>
      <w:pPr>
        <w:pStyle w:val="ListBullet"/>
      </w:pPr>
      <w:r>
        <w:t>Corresponding author: Greim, H.</w:t>
      </w:r>
    </w:p>
    <w:p>
      <w:pPr>
        <w:pStyle w:val="ListBullet"/>
      </w:pPr>
      <w:r>
        <w:t>Published 1 Aug 2020 (early online 1 May 2020)</w:t>
      </w:r>
    </w:p>
    <w:p>
      <w:pPr>
        <w:pStyle w:val="ListBullet"/>
      </w:pPr>
      <w:r>
        <w:t>Processed: 2020-8</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