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AIMMS publication report for: 2021-01-25</w:t>
      </w:r>
    </w:p>
    <w:p>
      <w:pPr>
        <w:pStyle w:val="ListNumber"/>
      </w:pPr>
      <w:r>
        <w:t>Dynamic co-culture metabolic models reveal the fermentation  (2021-1)</w:t>
      </w:r>
    </w:p>
    <w:p>
      <w:pPr>
        <w:pStyle w:val="ListNumber"/>
      </w:pPr>
      <w:r>
        <w:rPr>
          <w:i/>
        </w:rPr>
        <w:t>A schematic sampling protocol for contaminant monitoring in  (2021-1)</w:t>
      </w:r>
    </w:p>
    <w:p>
      <w:pPr>
        <w:pStyle w:val="ListNumber"/>
      </w:pPr>
      <w:r>
        <w:rPr>
          <w:i/>
        </w:rPr>
        <w:t>Receptor-based in vitro activities to assess human exposure  (2021-1)</w:t>
      </w:r>
    </w:p>
    <w:p>
      <w:pPr>
        <w:pStyle w:val="ListNumber"/>
      </w:pPr>
      <w:r>
        <w:rPr>
          <w:i/>
        </w:rPr>
        <w:t>Asymmetrical flow field-flow fractionation to probe the dyna (2021-1)</w:t>
      </w:r>
    </w:p>
    <w:p>
      <w:pPr>
        <w:pStyle w:val="ListNumber"/>
      </w:pPr>
      <w:r>
        <w:rPr>
          <w:i/>
        </w:rPr>
        <w:t>Rapid Screening α-Glucosidase Inhibitors from Natural Produc (2021-1)</w:t>
      </w:r>
    </w:p>
    <w:p>
      <w:pPr>
        <w:pStyle w:val="ListNumber"/>
      </w:pPr>
      <w:r>
        <w:rPr>
          <w:i/>
        </w:rPr>
        <w:t>Reducing the influence of geometry-induced gradient deformat (2021-1)</w:t>
      </w:r>
    </w:p>
    <w:p>
      <w:pPr>
        <w:pStyle w:val="ListNumber"/>
      </w:pPr>
      <w:r>
        <w:rPr>
          <w:i/>
        </w:rPr>
        <w:t>Influence maximization in the presence of vulnerable nodes:  (2021-1)</w:t>
      </w:r>
    </w:p>
    <w:p>
      <w:pPr>
        <w:pStyle w:val="Heading3"/>
      </w:pPr>
      <w:r>
        <w:t>1) Dynamic co-culture metabolic models reveal the fermentation dynamics, metabolic capacities and interplays of cheese starter cultures</w:t>
      </w:r>
    </w:p>
    <w:p>
      <w:pPr>
        <w:pStyle w:val="ListBullet"/>
      </w:pPr>
      <w:r>
        <w:t>Özcan, E., Seven, M., Şirin, B., Çakır, T., Nikerel, E., Teusink, B., Toksoy Öner, E.</w:t>
      </w:r>
    </w:p>
    <w:p>
      <w:pPr>
        <w:pStyle w:val="ListBullet"/>
      </w:pPr>
      <w:r>
        <w:t>Systems Bioinformatics, AIMMS, Systems Bioinformatics, Vrije Universiteit Amsterdam, Marmara University, Yeditepe University, Gebze Technical University</w:t>
      </w:r>
    </w:p>
    <w:p>
      <w:pPr>
        <w:pStyle w:val="ListBullet"/>
      </w:pPr>
      <w:r>
        <w:t>Biotechnology and Bioengineering</w:t>
      </w:r>
    </w:p>
    <w:p>
      <w:pPr>
        <w:pStyle w:val="ListBullet"/>
      </w:pPr>
      <w:r>
        <w:t>https://doi.org/10.1002/bit.27565</w:t>
      </w:r>
    </w:p>
    <w:p>
      <w:pPr>
        <w:pStyle w:val="ListBullet"/>
      </w:pPr>
      <w:r>
        <w:t>Corresponding author: Teusink, B.</w:t>
      </w:r>
    </w:p>
    <w:p>
      <w:pPr>
        <w:pStyle w:val="ListBullet"/>
      </w:pPr>
      <w:r>
        <w:t>Published Jan 2021 (early online 14 Sep 2020)</w:t>
      </w:r>
    </w:p>
    <w:p>
      <w:pPr>
        <w:pStyle w:val="ListBullet"/>
      </w:pPr>
      <w:r>
        <w:t>Processed: 2021-1</w:t>
      </w:r>
    </w:p>
    <w:p>
      <w:r>
        <w:t>In this study, we have investigated the cheese starter culture as a microbial community through a question: can the metabolic behaviour of a co-culture be explained by the characterized individual organism that constituted the co-culture? To address this question, the dairy-origin lactic acid bacteria Lactococcus lactis subsp. cremoris, Lactococcus lactis subsp. lactis, Streptococcus thermophilusand Leuconostoc mesenteroides, commonly used in cheese starter cultures, were grown in pure and four different co-cultures. We used a dynamic metabolic modelling approach based on the integration of the genome-scale metabolic networks of the involved organisms to simulate the co-cultures. The strain-specific kinetic parameters of dynamic models were estimated using the pure culture experimentsand they were subsequently applied to co-culture models. Biomass, carbon source, lactic acid and most of the amino acid concentration profiles simulated by the co-culture models fit closely to the experimental resultsand the co-culture models explained the mechanisms behind the dynamic microbial abundance. We then applied the co-culture models to estimate further information on the co-cultures that could not be obtained by the experimental method used. This includes estimation of the profile of various metabolites in the co-culture medium such as flavour compounds producedand the individual organism level metabolic exchange flux profiles, which revealed the potential metabolic interactions between organisms in the co-cultures.</w:t>
      </w:r>
      <w:r>
        <w:t xml:space="preserve"> </w:t>
      </w:r>
    </w:p>
    <w:p>
      <w:pPr>
        <w:pStyle w:val="Heading3"/>
      </w:pPr>
      <w:r>
        <w:rPr>
          <w:i/>
        </w:rPr>
        <w:t>2) A schematic sampling protocol for contaminant monitoring in raptors</w:t>
      </w:r>
    </w:p>
    <w:p>
      <w:pPr>
        <w:pStyle w:val="ListBullet"/>
      </w:pPr>
      <w:r>
        <w:t>Espín, S., Andevski, J., Duke, G., Eulaers, I., Gómez-Ramírez, P., Hallgrimsson, G. T., Helander, B., Herzke, D., Jaspers, V. L., Krone, O., Lourenço, R., María-Mojica, P., Martínez-López, E., Mateo, R., Movalli, P., Sánchez-Virosta, P., Shore, R. F., Sonne, C., van den Brink, N. W., van Hattum, B., Vrezec, A., Wernham, C., García-Fernández, A. J.</w:t>
      </w:r>
    </w:p>
    <w:p>
      <w:pPr>
        <w:pStyle w:val="ListBullet"/>
      </w:pPr>
      <w:r>
        <w:t>AIMMS, Environment and Health, University of Murcia, Vulture Conservation Foundation, Oxford University Centre for the Environment, Aarhus University, University of Iceland, Swedish Museum of Natural History, Norwegian Institute for Air Research, Norwegian University of Science and Technology, Leibniz Institute for Zoo and Wildlife Research, University of Evora, Santa Faz” Wildlife Rehabilitation Centre, CSIC, Naturalis National Museum of Natural History, Lancaster University, Wageningen University &amp; Research, National Institute of Biology Ljubljana, Slovenian Museum of Natural History, University of Stirling</w:t>
      </w:r>
    </w:p>
    <w:p>
      <w:pPr>
        <w:pStyle w:val="ListBullet"/>
      </w:pPr>
      <w:r>
        <w:t>Ambio</w:t>
      </w:r>
    </w:p>
    <w:p>
      <w:pPr>
        <w:pStyle w:val="ListBullet"/>
      </w:pPr>
      <w:r>
        <w:t>https://doi.org/10.1007/s13280-020-01341-9</w:t>
      </w:r>
    </w:p>
    <w:p>
      <w:pPr>
        <w:pStyle w:val="ListBullet"/>
      </w:pPr>
      <w:r>
        <w:t>Corresponding author: Espín, S.</w:t>
      </w:r>
    </w:p>
    <w:p>
      <w:pPr>
        <w:pStyle w:val="ListBullet"/>
      </w:pPr>
      <w:r>
        <w:t>Published Jan 2021 (early online 12 May 2020)</w:t>
      </w:r>
    </w:p>
    <w:p>
      <w:pPr>
        <w:pStyle w:val="ListBullet"/>
      </w:pPr>
      <w:r>
        <w:t>Processed: 2021-1</w:t>
      </w:r>
    </w:p>
    <w:p>
      <w:r>
        <w:t>Birds of prey, owls and falcons are widely used as sentinel species in raptor biomonitoring programmes. A major current challenge is to facilitate large-scale biomonitoring by coordinating contaminant ...</w:t>
      </w:r>
      <w:r>
        <w:t xml:space="preserve"> </w:t>
      </w:r>
    </w:p>
    <w:p>
      <w:pPr>
        <w:pStyle w:val="Heading3"/>
      </w:pPr>
      <w:r>
        <w:rPr>
          <w:i/>
        </w:rPr>
        <w:t>3) Receptor-based in vitro activities to assess human exposure to chemical mixtures and related health impacts</w:t>
      </w:r>
    </w:p>
    <w:p>
      <w:pPr>
        <w:pStyle w:val="ListBullet"/>
      </w:pPr>
      <w:r>
        <w:t>Vinggaard, A. M., Bonefeld-Jørgensen, E. C., Jensen, T. K., Fernandez, M. F., Rosenmai, A. K., Taxvig, C., Rodriguez-Carrillo, A., Wielsøe, M., Long, M., Olea, N., Antignac, J. P., Hamers, T., Lamoree, M.</w:t>
      </w:r>
    </w:p>
    <w:p>
      <w:pPr>
        <w:pStyle w:val="ListBullet"/>
      </w:pPr>
      <w:r>
        <w:t>E&amp;H: Environmental Health and Toxicology, AIMMS, E&amp;H: Environmental Chemistry and Toxicology, Technical University of Denmark, Aarhus University, University of Greenland, University of Southern Denmark, University of Granada, Consortium for Biomedical Research in Epidemiology &amp; Public Health (CIBERESP), École nationale vétérinaire, agroalimentaire et de l'alimentation, Nantes-Atlantique</w:t>
      </w:r>
    </w:p>
    <w:p>
      <w:pPr>
        <w:pStyle w:val="ListBullet"/>
      </w:pPr>
      <w:r>
        <w:t>Environment International</w:t>
      </w:r>
    </w:p>
    <w:p>
      <w:pPr>
        <w:pStyle w:val="ListBullet"/>
      </w:pPr>
      <w:r>
        <w:t>https://doi.org/10.1016/j.envint.2020.106191</w:t>
      </w:r>
    </w:p>
    <w:p>
      <w:pPr>
        <w:pStyle w:val="ListBullet"/>
      </w:pPr>
      <w:r>
        <w:t>Corresponding author: Vinggaard, A. M.</w:t>
      </w:r>
    </w:p>
    <w:p>
      <w:pPr>
        <w:pStyle w:val="ListBullet"/>
      </w:pPr>
      <w:r>
        <w:t>Published Jan 2021 (early online 14 Oct 2020)</w:t>
      </w:r>
    </w:p>
    <w:p>
      <w:pPr>
        <w:pStyle w:val="ListBullet"/>
      </w:pPr>
      <w:r>
        <w:t>Processed: 2021-1</w:t>
      </w:r>
    </w:p>
    <w:p>
      <w:r>
        <w:t>Humans are exposed to a large number of chemicals from sources such as the environment, food, and consumer products. There is growing concern that human exposure to chemical mixtures, especially durin ...</w:t>
      </w:r>
      <w:r>
        <w:t xml:space="preserve"> </w:t>
      </w:r>
    </w:p>
    <w:p>
      <w:pPr>
        <w:pStyle w:val="Heading3"/>
      </w:pPr>
      <w:r>
        <w:rPr>
          <w:i/>
        </w:rPr>
        <w:t>4) Asymmetrical flow field-flow fractionation to probe the dynamic association equilibria of β-D-galactosidase</w:t>
      </w:r>
    </w:p>
    <w:p>
      <w:pPr>
        <w:pStyle w:val="ListBullet"/>
      </w:pPr>
      <w:r>
        <w:t>Ventouri, I. K., Astefanei, A., Kaal, E. R., Haselberg, R., Somsen, G. W., Schoenmakers, P. J.</w:t>
      </w:r>
    </w:p>
    <w:p>
      <w:pPr>
        <w:pStyle w:val="ListBullet"/>
      </w:pPr>
      <w:r>
        <w:t>BioAnalytical Chemistry, AIMMS, University of Amsterdam, Center for Analytical Sciences Amsterdam, DSM Food Specialties</w:t>
      </w:r>
    </w:p>
    <w:p>
      <w:pPr>
        <w:pStyle w:val="ListBullet"/>
      </w:pPr>
      <w:r>
        <w:t>Journal of Chromatography A</w:t>
      </w:r>
    </w:p>
    <w:p>
      <w:pPr>
        <w:pStyle w:val="ListBullet"/>
      </w:pPr>
      <w:r>
        <w:t>https://doi.org/10.1016/j.chroma.2020.461719</w:t>
      </w:r>
    </w:p>
    <w:p>
      <w:pPr>
        <w:pStyle w:val="ListBullet"/>
      </w:pPr>
      <w:r>
        <w:t>Corresponding author: Ventouri, I. K.</w:t>
      </w:r>
    </w:p>
    <w:p>
      <w:pPr>
        <w:pStyle w:val="ListBullet"/>
      </w:pPr>
      <w:r>
        <w:t>Published 4 Jan 2021 (early online 13 Nov 2020)</w:t>
      </w:r>
    </w:p>
    <w:p>
      <w:pPr>
        <w:pStyle w:val="ListBullet"/>
      </w:pPr>
      <w:r>
        <w:t>Processed: 2021-1</w:t>
      </w:r>
    </w:p>
    <w:p>
      <w:r>
        <w:t>Protein dynamics play a significant role in many aspects of enzyme activity. Monitoring of structural changes and aggregation of biotechnological enzymes under native conditions is important to safegu ...</w:t>
      </w:r>
      <w:r>
        <w:t xml:space="preserve"> </w:t>
      </w:r>
    </w:p>
    <w:p>
      <w:pPr>
        <w:pStyle w:val="Heading3"/>
      </w:pPr>
      <w:r>
        <w:rPr>
          <w:i/>
        </w:rPr>
        <w:t>5) Rapid Screening α-Glucosidase Inhibitors from Natural Products by At-Line Nanofractionation with Parallel Mass Spectrometry and Bioactivity Assessment</w:t>
      </w:r>
    </w:p>
    <w:p>
      <w:pPr>
        <w:pStyle w:val="ListBullet"/>
      </w:pPr>
      <w:r>
        <w:t>Liu, R., Kool, J., Jian, J., Wang, J., Zhao, X., Jiang, Z., Zhang, T.</w:t>
      </w:r>
    </w:p>
    <w:p>
      <w:pPr>
        <w:pStyle w:val="ListBullet"/>
      </w:pPr>
      <w:r>
        <w:t>BioAnalytical Chemistry, AIMMS, Jinan University, SCIEX (China) Co., Ltd.</w:t>
      </w:r>
    </w:p>
    <w:p>
      <w:pPr>
        <w:pStyle w:val="ListBullet"/>
      </w:pPr>
      <w:r>
        <w:t>Journal of Chromatography A</w:t>
      </w:r>
    </w:p>
    <w:p>
      <w:pPr>
        <w:pStyle w:val="ListBullet"/>
      </w:pPr>
      <w:r>
        <w:t>https://doi.org/10.1016/j.chroma.2020.461740</w:t>
      </w:r>
    </w:p>
    <w:p>
      <w:pPr>
        <w:pStyle w:val="ListBullet"/>
      </w:pPr>
      <w:r>
        <w:t>Corresponding author: Jiang, Z.</w:t>
      </w:r>
    </w:p>
    <w:p>
      <w:pPr>
        <w:pStyle w:val="ListBullet"/>
      </w:pPr>
      <w:r>
        <w:t>Published 4 Jan 2021 (early online 23 Nov 2020)</w:t>
      </w:r>
    </w:p>
    <w:p>
      <w:pPr>
        <w:pStyle w:val="ListBullet"/>
      </w:pPr>
      <w:r>
        <w:t>Processed: 2021-1</w:t>
      </w:r>
    </w:p>
    <w:p>
      <w:r>
        <w:t>In this study, a novel at-line nanofractionation screening platform was successfully developed for the rapid screening and identification of α-glucosidase inhibitors from natural products. A time-cour ...</w:t>
      </w:r>
      <w:r>
        <w:t xml:space="preserve"> </w:t>
      </w:r>
    </w:p>
    <w:p>
      <w:pPr>
        <w:pStyle w:val="Heading3"/>
      </w:pPr>
      <w:r>
        <w:rPr>
          <w:i/>
        </w:rPr>
        <w:t>6) Reducing the influence of geometry-induced gradient deformation in liquid chromatographic retention modelling</w:t>
      </w:r>
    </w:p>
    <w:p>
      <w:pPr>
        <w:pStyle w:val="ListBullet"/>
      </w:pPr>
      <w:r>
        <w:t>Bos, T. S., Niezen, L. E., den Uijl, M. J., Molenaar, S. R., Lege, S., Schoenmakers, P. J., Somsen, G. W., Pirok, B. W.</w:t>
      </w:r>
    </w:p>
    <w:p>
      <w:pPr>
        <w:pStyle w:val="ListBullet"/>
      </w:pPr>
      <w:r>
        <w:t>BioAnalytical Chemistry, AIMMS, University of Amsterdam, Centre for Analytical Sciences Amsterdam (CASA), Agilent Technologies</w:t>
      </w:r>
    </w:p>
    <w:p>
      <w:pPr>
        <w:pStyle w:val="ListBullet"/>
      </w:pPr>
      <w:r>
        <w:t>Journal of Chromatography A</w:t>
      </w:r>
    </w:p>
    <w:p>
      <w:pPr>
        <w:pStyle w:val="ListBullet"/>
      </w:pPr>
      <w:r>
        <w:t>https://doi.org/10.1016/j.chroma.2020.461714</w:t>
      </w:r>
    </w:p>
    <w:p>
      <w:pPr>
        <w:pStyle w:val="ListBullet"/>
      </w:pPr>
      <w:r>
        <w:t>Corresponding author: Bos, T. S.</w:t>
      </w:r>
    </w:p>
    <w:p>
      <w:pPr>
        <w:pStyle w:val="ListBullet"/>
      </w:pPr>
      <w:r>
        <w:t>Published 4 Jan 2021 (early online 13 Nov 2020)</w:t>
      </w:r>
    </w:p>
    <w:p>
      <w:pPr>
        <w:pStyle w:val="ListBullet"/>
      </w:pPr>
      <w:r>
        <w:t>Processed: 2021-1</w:t>
      </w:r>
    </w:p>
    <w:p>
      <w:r>
        <w:t>Rapid optimization of gradient liquid chromatographic (LC) separations often utilizes analyte retention modelling to predict retention times as function of eluent composition. However, due to the dwel ...</w:t>
      </w:r>
      <w:r>
        <w:t xml:space="preserve"> </w:t>
      </w:r>
    </w:p>
    <w:p>
      <w:pPr>
        <w:pStyle w:val="Heading3"/>
      </w:pPr>
      <w:r>
        <w:rPr>
          <w:i/>
        </w:rPr>
        <w:t>7) Influence maximization in the presence of vulnerable nodes: A ratio perspective</w:t>
      </w:r>
    </w:p>
    <w:p>
      <w:pPr>
        <w:pStyle w:val="ListBullet"/>
      </w:pPr>
      <w:r>
        <w:t>Chen, H., Loukides, G., Pissis, S. P., Chan, H.</w:t>
      </w:r>
    </w:p>
    <w:p>
      <w:pPr>
        <w:pStyle w:val="ListBullet"/>
      </w:pPr>
      <w:r>
        <w:t>Bioinformatics, AIMMS, Bio Informatics (IBIVU), King's College London, University of Nebraska-Lincoln</w:t>
      </w:r>
    </w:p>
    <w:p>
      <w:pPr>
        <w:pStyle w:val="ListBullet"/>
      </w:pPr>
      <w:r>
        <w:t>Theoretical Computer Science</w:t>
      </w:r>
    </w:p>
    <w:p>
      <w:pPr>
        <w:pStyle w:val="ListBullet"/>
      </w:pPr>
      <w:r>
        <w:t>https://doi.org/10.1016/j.tcs.2020.11.020</w:t>
      </w:r>
    </w:p>
    <w:p>
      <w:pPr>
        <w:pStyle w:val="ListBullet"/>
      </w:pPr>
      <w:r>
        <w:t>Corresponding author: Loukides, G.</w:t>
      </w:r>
    </w:p>
    <w:p>
      <w:pPr>
        <w:pStyle w:val="ListBullet"/>
      </w:pPr>
      <w:r>
        <w:t>Published 8 Jan 2021 (early online 20 Nov 2020)</w:t>
      </w:r>
    </w:p>
    <w:p>
      <w:pPr>
        <w:pStyle w:val="ListBullet"/>
      </w:pPr>
      <w:r>
        <w:t>Processed: 2021-1</w:t>
      </w:r>
    </w:p>
    <w:p>
      <w:r>
        <w:t>Influence maximization is a key problem seeking to identify users who will diffuse information to influence the largest number of other users in a social network. A drawback of the influence maximizat ...</w:t>
      </w: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