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36D420" w14:textId="77777777" w:rsidR="00936986" w:rsidRDefault="002136B6">
      <w:pPr>
        <w:pStyle w:val="Heading1"/>
      </w:pPr>
      <w:r>
        <w:t>AIMMS publication report for: 2022-02-23</w:t>
      </w:r>
    </w:p>
    <w:p w14:paraId="5A74A305" w14:textId="77777777" w:rsidR="00936986" w:rsidRDefault="002136B6">
      <w:pPr>
        <w:pStyle w:val="ListNumber"/>
      </w:pPr>
      <w:r>
        <w:t>Determination of chlorinated paraffins (CPs): Analytical con (2022-1)</w:t>
      </w:r>
    </w:p>
    <w:p w14:paraId="479ED706" w14:textId="77777777" w:rsidR="00936986" w:rsidRDefault="002136B6">
      <w:pPr>
        <w:pStyle w:val="ListNumber"/>
      </w:pPr>
      <w:r>
        <w:t>Self-Consistent-Field Method for Correlated Many-Electron Sy (2022-1)</w:t>
      </w:r>
    </w:p>
    <w:p w14:paraId="33ABE3B6" w14:textId="77777777" w:rsidR="00936986" w:rsidRDefault="002136B6">
      <w:pPr>
        <w:pStyle w:val="ListNumber"/>
      </w:pPr>
      <w:r>
        <w:t xml:space="preserve">Inspecting the Solution Space of Genome-Scale Metabolic Mode </w:t>
      </w:r>
      <w:r>
        <w:t>(2022-1)</w:t>
      </w:r>
    </w:p>
    <w:p w14:paraId="644B917C" w14:textId="77777777" w:rsidR="00936986" w:rsidRDefault="002136B6">
      <w:pPr>
        <w:pStyle w:val="ListNumber"/>
      </w:pPr>
      <w:r>
        <w:t>Bifunctional Iminophosphorane-Catalyzed Enantioselective Sul (2022-1)</w:t>
      </w:r>
    </w:p>
    <w:p w14:paraId="4219301E" w14:textId="77777777" w:rsidR="00936986" w:rsidRDefault="002136B6">
      <w:pPr>
        <w:pStyle w:val="ListNumber"/>
      </w:pPr>
      <w:r>
        <w:t>Selection for Cell Yield Does Not Reduce Overflow Metabolism (2022-1)</w:t>
      </w:r>
    </w:p>
    <w:p w14:paraId="5B57C238" w14:textId="21C6C80F" w:rsidR="00936986" w:rsidRDefault="002136B6">
      <w:pPr>
        <w:pStyle w:val="ListNumber"/>
      </w:pPr>
      <w:r>
        <w:t xml:space="preserve">The Reactivity of CsPbBr3 </w:t>
      </w:r>
      <w:r>
        <w:t>Nanocrystals toward Acid/Base Ligan (2022-1)</w:t>
      </w:r>
    </w:p>
    <w:p w14:paraId="50C2B795" w14:textId="77777777" w:rsidR="00936986" w:rsidRDefault="002136B6">
      <w:pPr>
        <w:pStyle w:val="ListNumber"/>
      </w:pPr>
      <w:r>
        <w:t>An extract of Rosaceae,Solanaceae and</w:t>
      </w:r>
      <w:r>
        <w:t xml:space="preserve"> Zingiberaceae increase (2022-1)</w:t>
      </w:r>
    </w:p>
    <w:p w14:paraId="5909B5C8" w14:textId="77777777" w:rsidR="00936986" w:rsidRDefault="002136B6">
      <w:pPr>
        <w:pStyle w:val="ListNumber"/>
      </w:pPr>
      <w:r>
        <w:t>Fragment-to-Lead Medicinal Chemistry Publications in 2020Fra (2022-1)</w:t>
      </w:r>
    </w:p>
    <w:p w14:paraId="648F8DA6" w14:textId="77777777" w:rsidR="00936986" w:rsidRDefault="002136B6">
      <w:pPr>
        <w:pStyle w:val="ListNumber"/>
      </w:pPr>
      <w:r>
        <w:t>Analytical strategies in venomics (2022-1)</w:t>
      </w:r>
    </w:p>
    <w:p w14:paraId="723A0AE5" w14:textId="77777777" w:rsidR="00936986" w:rsidRDefault="002136B6">
      <w:pPr>
        <w:pStyle w:val="ListNumber"/>
      </w:pPr>
      <w:r>
        <w:t>Corrigendum to “Results of WEPAL-QUASIMEME/NORMANs first glo (2022-1)</w:t>
      </w:r>
    </w:p>
    <w:p w14:paraId="37C0DB1E" w14:textId="77777777" w:rsidR="00936986" w:rsidRDefault="002136B6">
      <w:pPr>
        <w:pStyle w:val="ListNumber"/>
      </w:pPr>
      <w:r>
        <w:t>A New Organocatalytic Desymmetrization R</w:t>
      </w:r>
      <w:r>
        <w:t>eaction Enables the  (2022-1)</w:t>
      </w:r>
    </w:p>
    <w:p w14:paraId="7CA2E556" w14:textId="77777777" w:rsidR="00936986" w:rsidRDefault="002136B6">
      <w:pPr>
        <w:pStyle w:val="ListNumber"/>
      </w:pPr>
      <w:r>
        <w:t>Migration of hazardous contaminants from WEEE contaminated p (2022-1)</w:t>
      </w:r>
    </w:p>
    <w:p w14:paraId="10451379" w14:textId="77777777" w:rsidR="00936986" w:rsidRDefault="002136B6">
      <w:pPr>
        <w:pStyle w:val="ListNumber"/>
      </w:pPr>
      <w:r>
        <w:t>High-Performance Data Processing Workflow Incorporating Effe (2022-2)</w:t>
      </w:r>
    </w:p>
    <w:p w14:paraId="4508CCEB" w14:textId="77777777" w:rsidR="00936986" w:rsidRDefault="002136B6">
      <w:pPr>
        <w:pStyle w:val="ListNumber"/>
      </w:pPr>
      <w:r>
        <w:t>Assessment of four rounds of interlaboratory tests within th (2022-2)</w:t>
      </w:r>
    </w:p>
    <w:p w14:paraId="7DAA238A" w14:textId="77777777" w:rsidR="00936986" w:rsidRDefault="002136B6">
      <w:pPr>
        <w:pStyle w:val="ListNumber"/>
      </w:pPr>
      <w:r>
        <w:t xml:space="preserve">Interlaboratory </w:t>
      </w:r>
      <w:r>
        <w:t>assessments for dioxin-like POPs (2016/2017  (2022-2)</w:t>
      </w:r>
    </w:p>
    <w:p w14:paraId="032272FA" w14:textId="77777777" w:rsidR="00936986" w:rsidRDefault="002136B6">
      <w:pPr>
        <w:pStyle w:val="ListNumber"/>
      </w:pPr>
      <w:r>
        <w:t>Use and limitations of genome-scale metabolic models in food (2022-2)</w:t>
      </w:r>
    </w:p>
    <w:p w14:paraId="5BA18E73" w14:textId="77777777" w:rsidR="00936986" w:rsidRDefault="002136B6">
      <w:pPr>
        <w:pStyle w:val="ListNumber"/>
      </w:pPr>
      <w:r>
        <w:t>B-DNA Structure and Stability: The Role of Nucleotide Compos (2022-2)</w:t>
      </w:r>
    </w:p>
    <w:p w14:paraId="5FE2C35F" w14:textId="77777777" w:rsidR="00936986" w:rsidRDefault="002136B6">
      <w:pPr>
        <w:pStyle w:val="ListNumber"/>
      </w:pPr>
      <w:r>
        <w:t>Getting more out of the zebrafish light dark transition test (</w:t>
      </w:r>
      <w:r>
        <w:t>2022-2)</w:t>
      </w:r>
    </w:p>
    <w:p w14:paraId="196DEC14" w14:textId="77777777" w:rsidR="00936986" w:rsidRDefault="002136B6">
      <w:pPr>
        <w:pStyle w:val="ListNumber"/>
      </w:pPr>
      <w:r>
        <w:t>How Solvation Influences the SN2 versus E2 Competition (2022-2)</w:t>
      </w:r>
    </w:p>
    <w:p w14:paraId="29068991" w14:textId="77777777" w:rsidR="00936986" w:rsidRDefault="002136B6">
      <w:pPr>
        <w:pStyle w:val="ListNumber"/>
      </w:pPr>
      <w:r>
        <w:t>Field-flow fractionation for molecular-interaction studies o (2022-2)</w:t>
      </w:r>
    </w:p>
    <w:p w14:paraId="7AD85265" w14:textId="77777777" w:rsidR="00936986" w:rsidRDefault="002136B6">
      <w:pPr>
        <w:pStyle w:val="ListNumber"/>
      </w:pPr>
      <w:r>
        <w:t>Quantification of polyethylene terephthalate microplastics a (2022-2)</w:t>
      </w:r>
    </w:p>
    <w:p w14:paraId="57DDDAE9" w14:textId="77777777" w:rsidR="00936986" w:rsidRDefault="002136B6">
      <w:pPr>
        <w:pStyle w:val="ListNumber"/>
      </w:pPr>
      <w:r>
        <w:t>Whole-cell modeling in yeast predicts compar</w:t>
      </w:r>
      <w:r>
        <w:t>tment-specific p (2022-2)</w:t>
      </w:r>
    </w:p>
    <w:p w14:paraId="7523FDF9" w14:textId="77777777" w:rsidR="00936986" w:rsidRDefault="002136B6">
      <w:pPr>
        <w:pStyle w:val="ListNumber"/>
      </w:pPr>
      <w:r>
        <w:t>PIPENN: Protein Interface Prediction from sequence with an E (2022-2)</w:t>
      </w:r>
    </w:p>
    <w:p w14:paraId="00D337CA" w14:textId="77777777" w:rsidR="00936986" w:rsidRDefault="002136B6">
      <w:pPr>
        <w:pStyle w:val="ListNumber"/>
      </w:pPr>
      <w:r>
        <w:t>Using comprehensive lipid profiling to study effects of PFHx (2022-2)</w:t>
      </w:r>
    </w:p>
    <w:p w14:paraId="420FFD73" w14:textId="77777777" w:rsidR="00936986" w:rsidRDefault="002136B6">
      <w:pPr>
        <w:pStyle w:val="ListNumber"/>
      </w:pPr>
      <w:r>
        <w:rPr>
          <w:i/>
        </w:rPr>
        <w:t>Assessment of oil refinery wastewater and effluent integrati (2022-1)</w:t>
      </w:r>
    </w:p>
    <w:p w14:paraId="7A7B000A" w14:textId="77777777" w:rsidR="00936986" w:rsidRDefault="002136B6">
      <w:pPr>
        <w:pStyle w:val="ListNumber"/>
      </w:pPr>
      <w:r>
        <w:rPr>
          <w:i/>
        </w:rPr>
        <w:t>Hipsc-derived hepato</w:t>
      </w:r>
      <w:r>
        <w:rPr>
          <w:i/>
        </w:rPr>
        <w:t>cyte-like cells can be used as a model f (2022-1)</w:t>
      </w:r>
    </w:p>
    <w:p w14:paraId="5BBD6E13" w14:textId="77777777" w:rsidR="00936986" w:rsidRDefault="002136B6">
      <w:pPr>
        <w:pStyle w:val="ListNumber"/>
      </w:pPr>
      <w:r>
        <w:rPr>
          <w:i/>
        </w:rPr>
        <w:t>Omega-6 and omega-3 oxylipins as potential markers of cardio (2022-1)</w:t>
      </w:r>
    </w:p>
    <w:p w14:paraId="0D34C538" w14:textId="77777777" w:rsidR="00936986" w:rsidRDefault="002136B6">
      <w:pPr>
        <w:pStyle w:val="ListNumber"/>
      </w:pPr>
      <w:r>
        <w:rPr>
          <w:i/>
        </w:rPr>
        <w:t>Automated assessment of redox potentials for dyes in dye-sen (2022-1)</w:t>
      </w:r>
    </w:p>
    <w:p w14:paraId="3C7EA18D" w14:textId="77777777" w:rsidR="00936986" w:rsidRDefault="002136B6">
      <w:pPr>
        <w:pStyle w:val="ListNumber"/>
      </w:pPr>
      <w:r>
        <w:rPr>
          <w:i/>
        </w:rPr>
        <w:t xml:space="preserve">Organophosphate ester metabolites in human breast milk deter </w:t>
      </w:r>
      <w:r>
        <w:rPr>
          <w:i/>
        </w:rPr>
        <w:t>(2022-1)</w:t>
      </w:r>
    </w:p>
    <w:p w14:paraId="61087E81" w14:textId="77777777" w:rsidR="00936986" w:rsidRDefault="002136B6">
      <w:pPr>
        <w:pStyle w:val="ListNumber"/>
      </w:pPr>
      <w:r>
        <w:rPr>
          <w:i/>
        </w:rPr>
        <w:t>Taxon-selective venom variation in adult and neonate Daboia  (2022-1)</w:t>
      </w:r>
    </w:p>
    <w:p w14:paraId="1DEA045D" w14:textId="77777777" w:rsidR="00936986" w:rsidRDefault="002136B6">
      <w:pPr>
        <w:pStyle w:val="Heading3"/>
      </w:pPr>
      <w:r>
        <w:t>1) Determination of chlorinated paraffins (CPs): Analytical conundrums and the pressing need for reliable and relevant standards</w:t>
      </w:r>
    </w:p>
    <w:p w14:paraId="35B63409" w14:textId="77777777" w:rsidR="00936986" w:rsidRPr="002136B6" w:rsidRDefault="002136B6">
      <w:pPr>
        <w:pStyle w:val="ListBullet"/>
        <w:rPr>
          <w:lang w:val="nl-NL"/>
        </w:rPr>
      </w:pPr>
      <w:r w:rsidRPr="002136B6">
        <w:rPr>
          <w:lang w:val="nl-NL"/>
        </w:rPr>
        <w:t>Fernandes, A. R., Vetter, W., Dirks, C., van Mou</w:t>
      </w:r>
      <w:r w:rsidRPr="002136B6">
        <w:rPr>
          <w:lang w:val="nl-NL"/>
        </w:rPr>
        <w:t>rik, L., Cariou, R., Sprengel, J., Heeb, N., Lentjes, A., Krätschmer, K.</w:t>
      </w:r>
    </w:p>
    <w:p w14:paraId="29F7055A" w14:textId="77777777" w:rsidR="00936986" w:rsidRDefault="002136B6">
      <w:pPr>
        <w:pStyle w:val="ListBullet"/>
      </w:pPr>
      <w:r>
        <w:t>E&amp;H: Environmental Bioanalytical Chemistry, AIMMS, University of East Anglia, University of Hohenheim, Wageningen University &amp; Research, École nationale vétérinaire, agroalimentaire e</w:t>
      </w:r>
      <w:r>
        <w:t>t de l'alimentation, Nantes-Atlantique, Vrije Universiteit Amsterdam, European Union Reference Laboratory (EURL) for Halogenated POPs in Feed and Food, Swiss Federal Institute for Materials Science and Technology Empa, LABERCA, Oniris, INRAE, Nantes</w:t>
      </w:r>
    </w:p>
    <w:p w14:paraId="04951D7F" w14:textId="77777777" w:rsidR="00936986" w:rsidRDefault="002136B6">
      <w:pPr>
        <w:pStyle w:val="ListBullet"/>
      </w:pPr>
      <w:r>
        <w:lastRenderedPageBreak/>
        <w:t>Chemos</w:t>
      </w:r>
      <w:r>
        <w:t>phere</w:t>
      </w:r>
    </w:p>
    <w:p w14:paraId="679955C5" w14:textId="77777777" w:rsidR="00936986" w:rsidRDefault="002136B6">
      <w:pPr>
        <w:pStyle w:val="ListBullet"/>
      </w:pPr>
      <w:r>
        <w:t>https://doi.org/10.1016/j.chemosphere.2021.131878</w:t>
      </w:r>
    </w:p>
    <w:p w14:paraId="007C4F18" w14:textId="77777777" w:rsidR="00936986" w:rsidRDefault="002136B6">
      <w:pPr>
        <w:pStyle w:val="ListBullet"/>
      </w:pPr>
      <w:r>
        <w:t>Corresponding author: Fernandes, A. R.</w:t>
      </w:r>
    </w:p>
    <w:p w14:paraId="3BF30E1B" w14:textId="77777777" w:rsidR="00936986" w:rsidRDefault="002136B6">
      <w:pPr>
        <w:pStyle w:val="ListBullet"/>
      </w:pPr>
      <w:r>
        <w:t>Published Jan 2022 (early online 13 Aug 2021)</w:t>
      </w:r>
    </w:p>
    <w:p w14:paraId="7670F919" w14:textId="77777777" w:rsidR="00936986" w:rsidRDefault="002136B6">
      <w:pPr>
        <w:pStyle w:val="ListBullet"/>
      </w:pPr>
      <w:r>
        <w:t>Processed: 2022-1</w:t>
      </w:r>
    </w:p>
    <w:p w14:paraId="671130D6" w14:textId="77777777" w:rsidR="00936986" w:rsidRDefault="002136B6">
      <w:r>
        <w:t>The determination of chlorinated paraffins (CPs) has posed an intractable challenge in analytical</w:t>
      </w:r>
      <w:r>
        <w:t xml:space="preserve"> chemistry for over three decades. The combination of an as yet unspecifiable number (tens - hundreds of thousands) of individual congeners in mass produced commercial CP mixtures and the steric interactions between them, contrive to defy efforts to charac</w:t>
      </w:r>
      <w:r>
        <w:t>terise their residual occurrences in environmental compartments, food and human tissues. However, recent advances in instrumentation (mass spectrometric detectors and nuclear magnetic resonance), combined with interlaboratory studies, have allowed a better</w:t>
      </w:r>
      <w:r>
        <w:t xml:space="preserve"> insight into the nature of the conundrums. These include the variability of results, even between experienced laboratories when there is insufficient matching between analytical standards and occurrence profiles, the poor (or no) response of some instrume</w:t>
      </w:r>
      <w:r>
        <w:t>ntation to some CP congener configurations (multiple terminal chlorines or &lt; four chlorines) and the occurrence of chlorinated olefins in commercial mixtures. The findings illustrate some limitations in the existing set of commercially available standards.</w:t>
      </w:r>
      <w:r>
        <w:t xml:space="preserve"> These include cross-contamination of some standards (complex CP mixtures), an insufficient number of single chain standards (existing ones do not fully reflect food/biota occurrences), lack of homologue group standards and unsuitability of some configurat</w:t>
      </w:r>
      <w:r>
        <w:t>ionally defined CP congeners/labelled standards (poor instrument response and a smaller likelihood of occurrence in commercial mixtures). They also indicate an underestimation in reported occurrences arising from those CPs that are unresponsive during meas</w:t>
      </w:r>
      <w:r>
        <w:t xml:space="preserve">urement. A more extensive set of standards is suggested and while this might not be a panacea for accurate CP determination, it would reduce the layers of complexity inherent in the analysis. </w:t>
      </w:r>
    </w:p>
    <w:p w14:paraId="198B6C38" w14:textId="77777777" w:rsidR="00936986" w:rsidRDefault="002136B6">
      <w:pPr>
        <w:pStyle w:val="Heading3"/>
      </w:pPr>
      <w:r>
        <w:t>2) Self-Consistent-Field Method for Correlated Many-Electron Sy</w:t>
      </w:r>
      <w:r>
        <w:t>stems with an Entropic Cumulant Energy</w:t>
      </w:r>
    </w:p>
    <w:p w14:paraId="14C35818" w14:textId="77777777" w:rsidR="00936986" w:rsidRPr="002136B6" w:rsidRDefault="002136B6">
      <w:pPr>
        <w:pStyle w:val="ListBullet"/>
        <w:rPr>
          <w:lang w:val="nl-NL"/>
        </w:rPr>
      </w:pPr>
      <w:r w:rsidRPr="002136B6">
        <w:rPr>
          <w:lang w:val="nl-NL"/>
        </w:rPr>
        <w:t>Wang, J., Baerends, E. J.</w:t>
      </w:r>
    </w:p>
    <w:p w14:paraId="25174997" w14:textId="77777777" w:rsidR="00936986" w:rsidRDefault="002136B6">
      <w:pPr>
        <w:pStyle w:val="ListBullet"/>
      </w:pPr>
      <w:r>
        <w:t>Theoretical Chemistry, AIMMS, Huzhou University</w:t>
      </w:r>
    </w:p>
    <w:p w14:paraId="096EFA87" w14:textId="77777777" w:rsidR="00936986" w:rsidRDefault="002136B6">
      <w:pPr>
        <w:pStyle w:val="ListBullet"/>
      </w:pPr>
      <w:r>
        <w:t>Physical review letters</w:t>
      </w:r>
    </w:p>
    <w:p w14:paraId="018DCA43" w14:textId="77777777" w:rsidR="00936986" w:rsidRDefault="002136B6">
      <w:pPr>
        <w:pStyle w:val="ListBullet"/>
      </w:pPr>
      <w:r>
        <w:t>https://doi.org/10.1103/PhysRevLett.128.013001</w:t>
      </w:r>
    </w:p>
    <w:p w14:paraId="37952F2D" w14:textId="77777777" w:rsidR="00936986" w:rsidRDefault="002136B6">
      <w:pPr>
        <w:pStyle w:val="ListBullet"/>
      </w:pPr>
      <w:r>
        <w:t>Corresponding author: None</w:t>
      </w:r>
    </w:p>
    <w:p w14:paraId="713FAC16" w14:textId="77777777" w:rsidR="00936986" w:rsidRDefault="002136B6">
      <w:pPr>
        <w:pStyle w:val="ListBullet"/>
      </w:pPr>
      <w:r>
        <w:t>Published 3 Jan 2022 (early online None)</w:t>
      </w:r>
    </w:p>
    <w:p w14:paraId="32B9AC06" w14:textId="77777777" w:rsidR="00936986" w:rsidRDefault="002136B6">
      <w:pPr>
        <w:pStyle w:val="ListBullet"/>
      </w:pPr>
      <w:r>
        <w:t>Proc</w:t>
      </w:r>
      <w:r>
        <w:t>essed: 2022-1</w:t>
      </w:r>
    </w:p>
    <w:p w14:paraId="1809288A" w14:textId="77777777" w:rsidR="00936986" w:rsidRDefault="002136B6">
      <w:r>
        <w:t>A self-consistent field method is presented within density matrix functional theory. The computational cost for a correlated many-electron calculation is reduced to that of the self-consistent-field Hartree-Fock method, while the accuracy sti</w:t>
      </w:r>
      <w:r>
        <w:t>ll reaches that of sophisticated configuration interaction based methods. In this method, the two-electron cumulant energy is measured with an information entropy associated with the Fermi-Dirac distribution of the occupation numbers. An eigenvalue equatio</w:t>
      </w:r>
      <w:r>
        <w:t xml:space="preserve">n for the orbitals is obtained, with the </w:t>
      </w:r>
      <w:r>
        <w:lastRenderedPageBreak/>
        <w:t>eigenvalues (orbital energies) connected to the occupation numbers through the Fermi-Dirac distribution. The occupation numbers for the strongly occupied orbitals are very close to the natural orbital occupation num</w:t>
      </w:r>
      <w:r>
        <w:t>bers from wave function methods. It covers in a single scheme the nondynamical correlation in weak or breaking bonds as well as the dynamical correlation at all distances. The method is well suited to large-scale potential energy surface calculation and mo</w:t>
      </w:r>
      <w:r>
        <w:t xml:space="preserve">lecular dynamics simulation. </w:t>
      </w:r>
    </w:p>
    <w:p w14:paraId="3264FF1D" w14:textId="77777777" w:rsidR="00936986" w:rsidRDefault="002136B6">
      <w:pPr>
        <w:pStyle w:val="Heading3"/>
      </w:pPr>
      <w:r>
        <w:t>3) Inspecting the Solution Space of Genome-Scale Metabolic Models</w:t>
      </w:r>
    </w:p>
    <w:p w14:paraId="679BD23A" w14:textId="77777777" w:rsidR="00936986" w:rsidRPr="002136B6" w:rsidRDefault="002136B6">
      <w:pPr>
        <w:pStyle w:val="ListBullet"/>
        <w:rPr>
          <w:lang w:val="nl-NL"/>
        </w:rPr>
      </w:pPr>
      <w:r w:rsidRPr="002136B6">
        <w:rPr>
          <w:lang w:val="nl-NL"/>
        </w:rPr>
        <w:t>Loghmani, S. B., Veith, N., Sahle, S., Bergmann, F. T., Olivier, B. G., Kummer, U.</w:t>
      </w:r>
    </w:p>
    <w:p w14:paraId="5FDCDAFA" w14:textId="77777777" w:rsidR="00936986" w:rsidRDefault="002136B6">
      <w:pPr>
        <w:pStyle w:val="ListBullet"/>
      </w:pPr>
      <w:r>
        <w:t>Systems Bioinformatics, AIMMS, Heidelberg University</w:t>
      </w:r>
    </w:p>
    <w:p w14:paraId="36C995D8" w14:textId="77777777" w:rsidR="00936986" w:rsidRDefault="002136B6">
      <w:pPr>
        <w:pStyle w:val="ListBullet"/>
      </w:pPr>
      <w:r>
        <w:t>Metabolites</w:t>
      </w:r>
    </w:p>
    <w:p w14:paraId="6E863DF5" w14:textId="77777777" w:rsidR="00936986" w:rsidRDefault="002136B6">
      <w:pPr>
        <w:pStyle w:val="ListBullet"/>
      </w:pPr>
      <w:r>
        <w:t>https://doi.org/10.3390/metabo12010043</w:t>
      </w:r>
    </w:p>
    <w:p w14:paraId="2F03CC94" w14:textId="77777777" w:rsidR="00936986" w:rsidRDefault="002136B6">
      <w:pPr>
        <w:pStyle w:val="ListBullet"/>
      </w:pPr>
      <w:r>
        <w:t>Corresponding author: Kummer, U.</w:t>
      </w:r>
    </w:p>
    <w:p w14:paraId="3FCC04E2" w14:textId="77777777" w:rsidR="00936986" w:rsidRDefault="002136B6">
      <w:pPr>
        <w:pStyle w:val="ListBullet"/>
      </w:pPr>
      <w:r>
        <w:t>Published 5 Jan 2022 (early online None)</w:t>
      </w:r>
    </w:p>
    <w:p w14:paraId="10E43802" w14:textId="77777777" w:rsidR="00936986" w:rsidRDefault="002136B6">
      <w:pPr>
        <w:pStyle w:val="ListBullet"/>
      </w:pPr>
      <w:r>
        <w:t>Processed: 2022-1</w:t>
      </w:r>
    </w:p>
    <w:p w14:paraId="1E455967" w14:textId="77777777" w:rsidR="00936986" w:rsidRDefault="002136B6">
      <w:r>
        <w:t xml:space="preserve">Genome-scale metabolic models are frequently used in computational biology. They offer an integrative view on the </w:t>
      </w:r>
      <w:r>
        <w:t xml:space="preserve">metabolic network of an organism without the need to know kinetic information in detail. However, the huge solution space which comes with the analysis of genome-scale models by using, e.g., Flux Balance Analysis (FBA) poses a problem, since it is hard to </w:t>
      </w:r>
      <w:r>
        <w:t>thoroughly investigate and often only an arbitrarily selected individual flux distribution is discussed as an outcome of FBA. Here, we introduce a new approach to inspect the solution space and we compare it with other approaches, namely Flux Variability A</w:t>
      </w:r>
      <w:r>
        <w:t>nalysis (FVA) and CoPE-FBA, using several different genome-scale models of lactic acid bacteria. We examine the extent to which different types of experimental data limit the solution space and how the robustness of the system increases as a result. We fin</w:t>
      </w:r>
      <w:r>
        <w:t xml:space="preserve">d that our new approach to inspect the solution space is a good complementary method that offers additional insights into the variance of biological phenotypes and can help to prevent wrong conclusions in the analysis of FBA results. </w:t>
      </w:r>
    </w:p>
    <w:p w14:paraId="6583927E" w14:textId="77777777" w:rsidR="00936986" w:rsidRDefault="002136B6">
      <w:pPr>
        <w:pStyle w:val="Heading3"/>
      </w:pPr>
      <w:r>
        <w:t>4) Bifunctional Imino</w:t>
      </w:r>
      <w:r>
        <w:t>phosphorane-Catalyzed Enantioselective Sulfa-Michael Addition to Unactivated α,β-Unsaturated Amides</w:t>
      </w:r>
    </w:p>
    <w:p w14:paraId="0397CFF5" w14:textId="77777777" w:rsidR="00936986" w:rsidRDefault="002136B6">
      <w:pPr>
        <w:pStyle w:val="ListBullet"/>
      </w:pPr>
      <w:r>
        <w:t>Rozsar, D., Formica, M., Yamazaki, K., Hamlin, T. A., Dixon, D. J.</w:t>
      </w:r>
    </w:p>
    <w:p w14:paraId="721197DB" w14:textId="77777777" w:rsidR="00936986" w:rsidRDefault="002136B6">
      <w:pPr>
        <w:pStyle w:val="ListBullet"/>
      </w:pPr>
      <w:r>
        <w:t>Chemistry and Pharmaceutical Sciences, Theoretical Chemistry, AIMMS, University of Oxford</w:t>
      </w:r>
    </w:p>
    <w:p w14:paraId="27FBB30F" w14:textId="77777777" w:rsidR="00936986" w:rsidRDefault="002136B6">
      <w:pPr>
        <w:pStyle w:val="ListBullet"/>
      </w:pPr>
      <w:r>
        <w:t>Journal of the American Chemical Society</w:t>
      </w:r>
    </w:p>
    <w:p w14:paraId="7E10FBB8" w14:textId="77777777" w:rsidR="00936986" w:rsidRDefault="002136B6">
      <w:pPr>
        <w:pStyle w:val="ListBullet"/>
      </w:pPr>
      <w:r>
        <w:t>https://doi.org/10.1021/jacs.1c11898</w:t>
      </w:r>
    </w:p>
    <w:p w14:paraId="6C95C7AA" w14:textId="77777777" w:rsidR="00936986" w:rsidRDefault="002136B6">
      <w:pPr>
        <w:pStyle w:val="ListBullet"/>
      </w:pPr>
      <w:r>
        <w:t>Corresponding author: Hamlin, T. A.</w:t>
      </w:r>
    </w:p>
    <w:p w14:paraId="4919AE7B" w14:textId="77777777" w:rsidR="00936986" w:rsidRDefault="002136B6">
      <w:pPr>
        <w:pStyle w:val="ListBullet"/>
      </w:pPr>
      <w:r>
        <w:t>Published 6 Jan 2022 (early online None)</w:t>
      </w:r>
    </w:p>
    <w:p w14:paraId="794789E9" w14:textId="77777777" w:rsidR="00936986" w:rsidRDefault="002136B6">
      <w:pPr>
        <w:pStyle w:val="ListBullet"/>
      </w:pPr>
      <w:r>
        <w:t>Processed: 2022-1</w:t>
      </w:r>
    </w:p>
    <w:p w14:paraId="488298B2" w14:textId="77777777" w:rsidR="00936986" w:rsidRDefault="002136B6">
      <w:r>
        <w:t>The first metal-free catalytic intermolecular enantioselective Michael addition to</w:t>
      </w:r>
      <w:r>
        <w:t xml:space="preserve"> unactivated α,β-unsaturated amides is described. Consistently high enantiomeric excesses and yields were obtained over a wide range of alkyl thiol pronucleophiles and electrophiles </w:t>
      </w:r>
      <w:r>
        <w:lastRenderedPageBreak/>
        <w:t>under mild reaction conditions, enabled by a novel squaramide-based bifunc</w:t>
      </w:r>
      <w:r>
        <w:t xml:space="preserve">tional iminophosphorane catalyst. Low catalyst loadings (2.0 mol %) were achieved on a decagram scale, demonstrating the scalability of the reaction. Computational analysis revealed the origin of the high enantiofacial selectivity via analysis of relevant </w:t>
      </w:r>
      <w:r>
        <w:t xml:space="preserve">transition structures and provided substantial support for specific noncovalent activation of the carbonyl group of the α,β-unsaturated amide by the catalyst. </w:t>
      </w:r>
    </w:p>
    <w:p w14:paraId="5528B19D" w14:textId="77777777" w:rsidR="00936986" w:rsidRDefault="002136B6">
      <w:pPr>
        <w:pStyle w:val="Heading3"/>
      </w:pPr>
      <w:r>
        <w:t>5) Selection for Cell Yield Does Not Reduce Overflow Metabolism in Escherichia coli</w:t>
      </w:r>
    </w:p>
    <w:p w14:paraId="1532C2C8" w14:textId="77777777" w:rsidR="00936986" w:rsidRDefault="002136B6">
      <w:pPr>
        <w:pStyle w:val="ListBullet"/>
      </w:pPr>
      <w:r>
        <w:t>Rabbers, I.,</w:t>
      </w:r>
      <w:r>
        <w:t xml:space="preserve"> Gottstein, W., Feist, A. M., Teusink, B., Bruggeman, F. J., Bachmann, H.</w:t>
      </w:r>
    </w:p>
    <w:p w14:paraId="576737F7" w14:textId="77777777" w:rsidR="00936986" w:rsidRDefault="002136B6">
      <w:pPr>
        <w:pStyle w:val="ListBullet"/>
      </w:pPr>
      <w:r>
        <w:t>Systems Bioinformatics, AIMMS, Systems Bioinformatics, University of California at San Diego, Technical University of Denmark</w:t>
      </w:r>
    </w:p>
    <w:p w14:paraId="2DDAD93F" w14:textId="77777777" w:rsidR="00936986" w:rsidRDefault="002136B6">
      <w:pPr>
        <w:pStyle w:val="ListBullet"/>
      </w:pPr>
      <w:r>
        <w:t>Molecular biology and evolution</w:t>
      </w:r>
    </w:p>
    <w:p w14:paraId="3FCD098C" w14:textId="77777777" w:rsidR="00936986" w:rsidRDefault="002136B6">
      <w:pPr>
        <w:pStyle w:val="ListBullet"/>
      </w:pPr>
      <w:r>
        <w:t>https://doi.org/10.1093/</w:t>
      </w:r>
      <w:r>
        <w:t>molbev/msab345</w:t>
      </w:r>
    </w:p>
    <w:p w14:paraId="37F41A86" w14:textId="77777777" w:rsidR="00936986" w:rsidRDefault="002136B6">
      <w:pPr>
        <w:pStyle w:val="ListBullet"/>
      </w:pPr>
      <w:r>
        <w:t>Corresponding author: None</w:t>
      </w:r>
    </w:p>
    <w:p w14:paraId="2AAA5847" w14:textId="77777777" w:rsidR="00936986" w:rsidRDefault="002136B6">
      <w:pPr>
        <w:pStyle w:val="ListBullet"/>
      </w:pPr>
      <w:r>
        <w:t>Published 7 Jan 2022 (early online 6 Dec 2021)</w:t>
      </w:r>
    </w:p>
    <w:p w14:paraId="64096E36" w14:textId="77777777" w:rsidR="00936986" w:rsidRDefault="002136B6">
      <w:pPr>
        <w:pStyle w:val="ListBullet"/>
      </w:pPr>
      <w:r>
        <w:t>Processed: 2022-1</w:t>
      </w:r>
    </w:p>
    <w:p w14:paraId="58D60653" w14:textId="77777777" w:rsidR="00936986" w:rsidRDefault="002136B6">
      <w:r>
        <w:t>Overflow metabolism is ubiquitous in nature, and it is often considered inefficient because it leads to a relatively low biomass yield per consumed c</w:t>
      </w:r>
      <w:r>
        <w:t>arbon. This metabolic strategy has been described as advantageous because it supports high growth rates during nutrient competition. Here, we experimentally evolved bacteria without nutrient competition by repeatedly growing and mixing millions of parallel</w:t>
      </w:r>
      <w:r>
        <w:t xml:space="preserve"> batch cultures of Escherichia coli. Each culture originated from a water-in-oil emulsion droplet seeded with a single cell. Unexpectedly we found that overflow metabolism (acetate production) did not change. Instead, the numerical cell yield during the co</w:t>
      </w:r>
      <w:r>
        <w:t>nsumption of the accumulated acetate increased as a consequence of a reduction in cell size. Our experiments and a mathematical model show that fast growth and overflow metabolism, followed by the consumption of the overflow metabolite, can lead to a highe</w:t>
      </w:r>
      <w:r>
        <w:t xml:space="preserve">r numerical cell yield and therefore a higher fitness compared with full respiration of the substrate. This provides an evolutionary scenario where overflow metabolism can be favorable even in the absence of nutrient competition. </w:t>
      </w:r>
    </w:p>
    <w:p w14:paraId="25BD8FE5" w14:textId="77777777" w:rsidR="00936986" w:rsidRDefault="002136B6">
      <w:pPr>
        <w:pStyle w:val="Heading3"/>
      </w:pPr>
      <w:r>
        <w:t>6) The Reactivity of CsPb</w:t>
      </w:r>
      <w:r>
        <w:t>Br3Nanocrystals toward Acid/Base Ligands</w:t>
      </w:r>
    </w:p>
    <w:p w14:paraId="744613B0" w14:textId="77777777" w:rsidR="00936986" w:rsidRPr="002136B6" w:rsidRDefault="002136B6">
      <w:pPr>
        <w:pStyle w:val="ListBullet"/>
        <w:rPr>
          <w:lang w:val="nl-NL"/>
        </w:rPr>
      </w:pPr>
      <w:r w:rsidRPr="002136B6">
        <w:rPr>
          <w:lang w:val="nl-NL"/>
        </w:rPr>
        <w:t>Zaccaria, F., Zhang, B., Goldoni, L., Imran, M., Zito, J., Van Beek, B., Lauciello, S., De Trizio, L., Manna, L., Infante, I.</w:t>
      </w:r>
    </w:p>
    <w:p w14:paraId="3F6E3C6D" w14:textId="77777777" w:rsidR="00936986" w:rsidRDefault="002136B6">
      <w:pPr>
        <w:pStyle w:val="ListBullet"/>
      </w:pPr>
      <w:r>
        <w:t>Theoretical Chemistry, AIMMS, University of Genoa, Italian Institute of Technology, Vrije</w:t>
      </w:r>
      <w:r>
        <w:t xml:space="preserve"> Universiteit Amsterdam</w:t>
      </w:r>
    </w:p>
    <w:p w14:paraId="0310F43F" w14:textId="77777777" w:rsidR="00936986" w:rsidRDefault="002136B6">
      <w:pPr>
        <w:pStyle w:val="ListBullet"/>
      </w:pPr>
      <w:r>
        <w:t>ACS Nano</w:t>
      </w:r>
    </w:p>
    <w:p w14:paraId="3C76D5C6" w14:textId="77777777" w:rsidR="00936986" w:rsidRDefault="002136B6">
      <w:pPr>
        <w:pStyle w:val="ListBullet"/>
      </w:pPr>
      <w:r>
        <w:t>https://doi.org/10.1021/acsnano.1c09603</w:t>
      </w:r>
    </w:p>
    <w:p w14:paraId="35F3F250" w14:textId="77777777" w:rsidR="00936986" w:rsidRDefault="002136B6">
      <w:pPr>
        <w:pStyle w:val="ListBullet"/>
      </w:pPr>
      <w:r>
        <w:t>Corresponding author: De Trizio, L.</w:t>
      </w:r>
    </w:p>
    <w:p w14:paraId="6AA3A853" w14:textId="77777777" w:rsidR="00936986" w:rsidRDefault="002136B6">
      <w:pPr>
        <w:pStyle w:val="ListBullet"/>
      </w:pPr>
      <w:r>
        <w:t>Published 10 Jan 2022 (early online None)</w:t>
      </w:r>
    </w:p>
    <w:p w14:paraId="237D5A03" w14:textId="77777777" w:rsidR="00936986" w:rsidRDefault="002136B6">
      <w:pPr>
        <w:pStyle w:val="ListBullet"/>
      </w:pPr>
      <w:r>
        <w:t>Processed: 2022-1</w:t>
      </w:r>
    </w:p>
    <w:p w14:paraId="1AF2E11C" w14:textId="77777777" w:rsidR="00936986" w:rsidRDefault="002136B6">
      <w:r>
        <w:t>The interaction of lead bromide perovskite nanocrystals with charged ligands, such as s</w:t>
      </w:r>
      <w:r>
        <w:t xml:space="preserve">alts, zwitterions, or acid-base pairs, has been extensively documented over the past few years. </w:t>
      </w:r>
      <w:r>
        <w:lastRenderedPageBreak/>
        <w:t>On the other hand, little is known about the reactivity of perovskite nanocrystals toward neutral ligands. To fill this gap, in this work we study the interacti</w:t>
      </w:r>
      <w:r>
        <w:t>on of CsPbBr3 nanocrystals passivated with didodecyldimethylammonium bromide (DDABr) toward a series of exogenous acid/base ligands using a combined computational and experimental approach. Our analysis indicates that DDABr-capped nanocrystals are inert to</w:t>
      </w:r>
      <w:r>
        <w:t>ward most ligands, except for carboxylic, phosphonic, and sulfonic acids. In agreement with the calculations, our experimental results indicate that the higher the acidity of the ligands employed in the treatment, the more etching is observed. In detail, d</w:t>
      </w:r>
      <w:r>
        <w:t>odecylbenzenesulfonic acid (pKa = -1.8) is found to etch the nanocrystals, causing their complete degradation. On the other hand, oleic and oleylphosphonic acids (pKa 9.9 and 2, respectively) interact with surface-bound DDA molecules, causing their displac</w:t>
      </w:r>
      <w:r>
        <w:t>ement as DDABr in various amounts, which can be as high as 40% (achieved with oleylphosphonic acid). Despite the stripping of DDA ligands, the optical properties of the nanocrystals, as well as structure and morphology, remain substantially unaffected, emp</w:t>
      </w:r>
      <w:r>
        <w:t xml:space="preserve">irically demonstrating the defect tolerance characterizing such materials. Our study provides not only a clear overview on the interaction between perovskite nanocrystals and neutral ligands but also presents an effective ligand stripping strategy.  </w:t>
      </w:r>
    </w:p>
    <w:p w14:paraId="72B2B59A" w14:textId="77777777" w:rsidR="00936986" w:rsidRDefault="002136B6">
      <w:pPr>
        <w:pStyle w:val="Heading3"/>
      </w:pPr>
      <w:r>
        <w:t>7) An</w:t>
      </w:r>
      <w:r>
        <w:t xml:space="preserve"> extract of Rosaceae,Solanaceae and Zingiberaceae increases health span and mobility in Caenorhabditis elegans</w:t>
      </w:r>
    </w:p>
    <w:p w14:paraId="4CEDCB42" w14:textId="77777777" w:rsidR="00936986" w:rsidRPr="002136B6" w:rsidRDefault="002136B6">
      <w:pPr>
        <w:pStyle w:val="ListBullet"/>
        <w:rPr>
          <w:lang w:val="nl-NL"/>
        </w:rPr>
      </w:pPr>
      <w:r w:rsidRPr="002136B6">
        <w:rPr>
          <w:lang w:val="nl-NL"/>
        </w:rPr>
        <w:t>Hughes, S., Kolsters, N., van de Klashorst, D., Kreuter, E., Berger Büter, K.</w:t>
      </w:r>
    </w:p>
    <w:p w14:paraId="599B759F" w14:textId="77777777" w:rsidR="00936986" w:rsidRDefault="002136B6">
      <w:pPr>
        <w:pStyle w:val="ListBullet"/>
      </w:pPr>
      <w:r>
        <w:t xml:space="preserve">AIMMS, E&amp;H: Environmental Health and Toxicology, HAN </w:t>
      </w:r>
      <w:r>
        <w:t>University of Applied Sciences, Bioactive Botanicals Swiss AG, BioCentre, HAN University of Applied Sciences, Nijmegen</w:t>
      </w:r>
    </w:p>
    <w:p w14:paraId="3BFC3C03" w14:textId="77777777" w:rsidR="00936986" w:rsidRDefault="002136B6">
      <w:pPr>
        <w:pStyle w:val="ListBullet"/>
      </w:pPr>
      <w:r>
        <w:t>BMC Nutrition</w:t>
      </w:r>
    </w:p>
    <w:p w14:paraId="56972477" w14:textId="77777777" w:rsidR="00936986" w:rsidRDefault="002136B6">
      <w:pPr>
        <w:pStyle w:val="ListBullet"/>
      </w:pPr>
      <w:r>
        <w:t>https://doi.org/10.1186/s40795-022-00498-8</w:t>
      </w:r>
    </w:p>
    <w:p w14:paraId="7F5EE037" w14:textId="77777777" w:rsidR="00936986" w:rsidRDefault="002136B6">
      <w:pPr>
        <w:pStyle w:val="ListBullet"/>
      </w:pPr>
      <w:r>
        <w:t>Corresponding author: Berger Büter, K.</w:t>
      </w:r>
    </w:p>
    <w:p w14:paraId="75CC88E6" w14:textId="77777777" w:rsidR="00936986" w:rsidRDefault="002136B6">
      <w:pPr>
        <w:pStyle w:val="ListBullet"/>
      </w:pPr>
      <w:r>
        <w:t>Published Dec 2022 (early online 13 Jan 2</w:t>
      </w:r>
      <w:r>
        <w:t>022)</w:t>
      </w:r>
    </w:p>
    <w:p w14:paraId="42ACE78D" w14:textId="77777777" w:rsidR="00936986" w:rsidRDefault="002136B6">
      <w:pPr>
        <w:pStyle w:val="ListBullet"/>
      </w:pPr>
      <w:r>
        <w:t>Processed: 2022-1</w:t>
      </w:r>
    </w:p>
    <w:p w14:paraId="7E3BD9C5" w14:textId="77777777" w:rsidR="00936986" w:rsidRDefault="002136B6">
      <w:r>
        <w:t>Background: Members of the Rosaceae, Solanaceae and Zingiberaceae families which include fruits such as cherries, tomatoes and ginger are known to have health promoting effects. There is growing interest in consuming these “functiona</w:t>
      </w:r>
      <w:r>
        <w:t>l foods” as a means to increase health and healthy ageing. However, many studies explore the effect of these foods in isolation, not as a blend of multiple functional foods. Methods: In this study, an extract containing the dried berries, fruits, and roots</w:t>
      </w:r>
      <w:r>
        <w:t xml:space="preserve"> of members of these families was prepared, which we called Bioact®180. The nematode Caenorhabditis elegans was used to evaluate the effects of Bioact®180 on lifespan and health endpoints, including muscle and mitochondria structure and locomotion. Results</w:t>
      </w:r>
      <w:r>
        <w:t>: Exposure to the 1000µg/mL of Bioact®180 extract, containing 4% total phenols, were healthier, as observed by an increase in mean lifespan with and small but significant increase in maximal lifespan. Nematodes exposed to Bioact®180 displayed better mobili</w:t>
      </w:r>
      <w:r>
        <w:t xml:space="preserve">ty in mid-life stages as well as enhanced mitochondrial morphology, which was more comparable to younger animals, suggesting that these worms are protected to some degree from sarcopenia. Conclusions: </w:t>
      </w:r>
      <w:r>
        <w:lastRenderedPageBreak/>
        <w:t xml:space="preserve">Together, our findings reveal that Bioact®180, a blend </w:t>
      </w:r>
      <w:r>
        <w:t xml:space="preserve">of fruits and roots from Rosaceae, Solanaceae and Zingiberaceae family members has anti-aging effects. Bioact®180 promotes health and lifespan extension in C. elegans, corresponding to functional improvements in mobility. </w:t>
      </w:r>
    </w:p>
    <w:p w14:paraId="591E5AB1" w14:textId="77777777" w:rsidR="00936986" w:rsidRDefault="002136B6">
      <w:pPr>
        <w:pStyle w:val="Heading3"/>
      </w:pPr>
      <w:r>
        <w:t>8) Fragment-to-Lead Medicinal Che</w:t>
      </w:r>
      <w:r>
        <w:t>mistry Publications in 2020Fragment-based drug discovery (FBDD) continues to evolve and make an impact in the pharmaceutical sciences. We summarize successful fragment-to-lead studies that were published in 2020. Having systematically analyzed annual scien</w:t>
      </w:r>
      <w:r>
        <w:t>tific outputs since 2015, we discuss trends and best practices in terms of fragment libraries, target proteins, screening technologies, hit-optimization strategies, and the properties of hit fragments and the leads resulting from them. As well as the tabul</w:t>
      </w:r>
      <w:r>
        <w:t>ated Fragment-to-Lead (F2L) programs, our 2020 literature review identifies several trends and innovations that promise to further increase the success of FBDD. These include developing structurally novel screening fragments, improving fragment-screening t</w:t>
      </w:r>
      <w:r>
        <w:t>echnologies, using new computer-aided design and virtual screening approaches, and combining FBDD with other innovative drug-discovery technologies. General information</w:t>
      </w:r>
    </w:p>
    <w:p w14:paraId="7C8A2984" w14:textId="77777777" w:rsidR="00936986" w:rsidRDefault="002136B6">
      <w:pPr>
        <w:pStyle w:val="ListBullet"/>
      </w:pPr>
      <w:r>
        <w:t>De Esch, I. J., Erlanson, D. A., Jahnke, W., Johnson, C. N., Walsh, L.</w:t>
      </w:r>
    </w:p>
    <w:p w14:paraId="5B679866" w14:textId="77777777" w:rsidR="00936986" w:rsidRDefault="002136B6">
      <w:pPr>
        <w:pStyle w:val="ListBullet"/>
      </w:pPr>
      <w:r>
        <w:t>Chemistry and Ph</w:t>
      </w:r>
      <w:r>
        <w:t>armaceutical Sciences, AIMMS, Frontier Medicines Corporation, Novartis, Astex Pharmaceuticals</w:t>
      </w:r>
    </w:p>
    <w:p w14:paraId="304E6D2D" w14:textId="77777777" w:rsidR="00936986" w:rsidRDefault="002136B6">
      <w:pPr>
        <w:pStyle w:val="ListBullet"/>
      </w:pPr>
      <w:r>
        <w:t>Journal of medicinal chemistry</w:t>
      </w:r>
    </w:p>
    <w:p w14:paraId="4BBF354F" w14:textId="77777777" w:rsidR="00936986" w:rsidRDefault="002136B6">
      <w:pPr>
        <w:pStyle w:val="ListBullet"/>
      </w:pPr>
      <w:r>
        <w:t>https://doi.org/10.1021/acs.jmedchem.1c01803</w:t>
      </w:r>
    </w:p>
    <w:p w14:paraId="016CE900" w14:textId="77777777" w:rsidR="00936986" w:rsidRDefault="002136B6">
      <w:pPr>
        <w:pStyle w:val="ListBullet"/>
      </w:pPr>
      <w:r>
        <w:t>Corresponding author: De Esch, I. J.</w:t>
      </w:r>
    </w:p>
    <w:p w14:paraId="4A335B8C" w14:textId="77777777" w:rsidR="00936986" w:rsidRDefault="002136B6">
      <w:pPr>
        <w:pStyle w:val="ListBullet"/>
      </w:pPr>
      <w:r>
        <w:t xml:space="preserve">Published 13 Jan 2022 (early online 20 Dec </w:t>
      </w:r>
      <w:r>
        <w:t>2021)</w:t>
      </w:r>
    </w:p>
    <w:p w14:paraId="2F4BECB1" w14:textId="77777777" w:rsidR="00936986" w:rsidRDefault="002136B6">
      <w:pPr>
        <w:pStyle w:val="ListBullet"/>
      </w:pPr>
      <w:r>
        <w:t>Processed: 2022-1</w:t>
      </w:r>
    </w:p>
    <w:p w14:paraId="0EC417A6" w14:textId="77777777" w:rsidR="00936986" w:rsidRDefault="002136B6">
      <w:r>
        <w:t>Fragment-based drug discovery (FBDD) continues to evolve and make an impact in the pharmaceutical sciences. We summarize successful fragment-to-lead studies that were published in 2020. Having systematically analyzed annual scientif</w:t>
      </w:r>
      <w:r>
        <w:t>ic outputs since 2015, we discuss trends and best practices in terms of fragment libraries, target proteins, screening technologies, hit-optimization strategies, and the properties of hit fragments and the leads resulting from them. As well as the tabulate</w:t>
      </w:r>
      <w:r>
        <w:t>d Fragment-to-Lead (F2L) programs, our 2020 literature review identifies several trends and innovations that promise to further increase the success of FBDD. These include developing structurally novel screening fragments, improving fragment-screening tech</w:t>
      </w:r>
      <w:r>
        <w:t xml:space="preserve">nologies, using new computer-aided design and virtual screening approaches, and combining FBDD with other innovative drug-discovery technologies.  </w:t>
      </w:r>
    </w:p>
    <w:p w14:paraId="13CBEA83" w14:textId="77777777" w:rsidR="00936986" w:rsidRDefault="002136B6">
      <w:pPr>
        <w:pStyle w:val="Heading3"/>
      </w:pPr>
      <w:r>
        <w:t>9) Analytical strategies in venomics</w:t>
      </w:r>
    </w:p>
    <w:p w14:paraId="10F067B4" w14:textId="77777777" w:rsidR="00936986" w:rsidRPr="002136B6" w:rsidRDefault="002136B6">
      <w:pPr>
        <w:pStyle w:val="ListBullet"/>
        <w:rPr>
          <w:lang w:val="nl-NL"/>
        </w:rPr>
      </w:pPr>
      <w:r w:rsidRPr="002136B6">
        <w:rPr>
          <w:lang w:val="nl-NL"/>
        </w:rPr>
        <w:t>Slagboom, J., Kaal, C., Arrahman, A., Vonk, F. J., Somsen, G. W., Calve</w:t>
      </w:r>
      <w:r w:rsidRPr="002136B6">
        <w:rPr>
          <w:lang w:val="nl-NL"/>
        </w:rPr>
        <w:t>te, J. J., Wüster, W., Kool, J.</w:t>
      </w:r>
    </w:p>
    <w:p w14:paraId="71C71C22" w14:textId="77777777" w:rsidR="00936986" w:rsidRDefault="002136B6">
      <w:pPr>
        <w:pStyle w:val="ListBullet"/>
      </w:pPr>
      <w:r>
        <w:t>BioAnalytical Chemistry, AIMMS, Chemistry and Pharmaceutical Sciences, Vrije Universiteit Amsterdam, CSIC, Bangor University</w:t>
      </w:r>
    </w:p>
    <w:p w14:paraId="7E8F49F2" w14:textId="77777777" w:rsidR="00936986" w:rsidRDefault="002136B6">
      <w:pPr>
        <w:pStyle w:val="ListBullet"/>
      </w:pPr>
      <w:r>
        <w:t>Microchemical Journal</w:t>
      </w:r>
    </w:p>
    <w:p w14:paraId="5A14C405" w14:textId="77777777" w:rsidR="00936986" w:rsidRDefault="002136B6">
      <w:pPr>
        <w:pStyle w:val="ListBullet"/>
      </w:pPr>
      <w:r>
        <w:lastRenderedPageBreak/>
        <w:t>https://doi.org/10.1016/j.microc.2022.107187</w:t>
      </w:r>
    </w:p>
    <w:p w14:paraId="69B0DE70" w14:textId="77777777" w:rsidR="00936986" w:rsidRDefault="002136B6">
      <w:pPr>
        <w:pStyle w:val="ListBullet"/>
      </w:pPr>
      <w:r>
        <w:t>Corresponding author: Kool, J.</w:t>
      </w:r>
    </w:p>
    <w:p w14:paraId="41525ABC" w14:textId="77777777" w:rsidR="00936986" w:rsidRDefault="002136B6">
      <w:pPr>
        <w:pStyle w:val="ListBullet"/>
      </w:pPr>
      <w:r>
        <w:t>P</w:t>
      </w:r>
      <w:r>
        <w:t>ublished Apr 2022 (early online 18 Jan 2022)</w:t>
      </w:r>
    </w:p>
    <w:p w14:paraId="0F6FB54B" w14:textId="77777777" w:rsidR="00936986" w:rsidRDefault="002136B6">
      <w:pPr>
        <w:pStyle w:val="ListBullet"/>
      </w:pPr>
      <w:r>
        <w:t>Processed: 2022-1</w:t>
      </w:r>
    </w:p>
    <w:p w14:paraId="4B8AAD4D" w14:textId="77777777" w:rsidR="00936986" w:rsidRDefault="002136B6">
      <w:r>
        <w:t>Snakebite envenoming is a major issue in certain developing parts of the world, with tens of thousands of deaths and a multitude of lingering permanent medical conditions on a yearly basis as a</w:t>
      </w:r>
      <w:r>
        <w:t xml:space="preserve"> result. Venoms consist of a plethora of biologically active compounds, mainly peptides and proteins, that can induce these effects. Snake venom characterisation, in terms of identifying and quantifying the venom toxin proteins in crude venoms, can aid in </w:t>
      </w:r>
      <w:r>
        <w:t>pinpointing the venom toxins responsible for pathologies observed in snakebite victims. It can also assist in developing a new generation of efficient antivenoms. To facilitate this characterisation process, several approaches have been developed, of which</w:t>
      </w:r>
      <w:r>
        <w:t xml:space="preserve"> venomics, toxicovenomics and antivenomics are the most important ones and aim to map venom toxin composition, their toxic effects, and antivenom efficacy, respectively. Most venomics approaches include peptide-centric analyses of protein digests in combin</w:t>
      </w:r>
      <w:r>
        <w:t>ation with advanced separation and detection hardware and involve the use of generic and dedicated software tools for data processing. However, a shift towards protein-level, and even proteoform-level, analysis can be observed over the last few years. A va</w:t>
      </w:r>
      <w:r>
        <w:t>riety of hyphenated intact protein separation techniques, including gel-eluted liquid fraction entrapment electrophoresis, OFFGEL, gel filtration and several (ultra)high pressure and nanoscale chromatographic separations can be named, which allow retention</w:t>
      </w:r>
      <w:r>
        <w:t xml:space="preserve"> of intact or native states of toxin proteins with ever increasing resolutions. Similarly, rapid detection hardware advances on the mass spectrometry side, and labelling techniques, allow for increasingly sensitive and quantitative venom analysis and chara</w:t>
      </w:r>
      <w:r>
        <w:t>cterisation. Most venomics research includes several complementary analytical techniques performed in parallel, with each technique often leading to exclusive protein identifications but also showing significant overlap. The original venomics approach, dev</w:t>
      </w:r>
      <w:r>
        <w:t xml:space="preserve">eloped by the Calvete group and termed “Snake venomics”, is used most frequently and is the most profound methodology that has been advanced over the years, thereby resulting in sequentially further identification of venom toxin proteins based on previous </w:t>
      </w:r>
      <w:r>
        <w:t>results using increasingly in-depth characterisation approaches. The latest advances in this regard nowadays allow for quantitative analysis of all venom toxins in crude venoms, named “Absolute venomics”. This review will focus on the analytical aspects of</w:t>
      </w:r>
      <w:r>
        <w:t xml:space="preserve"> venomics for which sample preparation, separation, detection and quantitation techniques are discussed. Finally, a comparison between recently published venomics studies is made. </w:t>
      </w:r>
    </w:p>
    <w:p w14:paraId="22273F83" w14:textId="77777777" w:rsidR="00936986" w:rsidRDefault="002136B6">
      <w:pPr>
        <w:pStyle w:val="Heading3"/>
      </w:pPr>
      <w:r>
        <w:t>10) Corrigendum to “Results of WEPAL-QUASIMEME/NORMANs first global interla</w:t>
      </w:r>
      <w:r>
        <w:t>boratory study on microplastics reveal urgent need for harmonization”: [Sci. Total Environ. 772 (2021) 145071 10.1016/j.scitotenv.2021.145071 (ISSN 0048-9697)]</w:t>
      </w:r>
    </w:p>
    <w:p w14:paraId="56BC4494" w14:textId="77777777" w:rsidR="00936986" w:rsidRPr="002136B6" w:rsidRDefault="002136B6">
      <w:pPr>
        <w:pStyle w:val="ListBullet"/>
        <w:rPr>
          <w:lang w:val="nl-NL"/>
        </w:rPr>
      </w:pPr>
      <w:r w:rsidRPr="002136B6">
        <w:rPr>
          <w:lang w:val="nl-NL"/>
        </w:rPr>
        <w:t>van Mourik, L. M., Crum, S., Martinez-Frances, E., van Bavel, B., Leslie, H. A., de Boer, J., Co</w:t>
      </w:r>
      <w:r w:rsidRPr="002136B6">
        <w:rPr>
          <w:lang w:val="nl-NL"/>
        </w:rPr>
        <w:t>fino, W. P.</w:t>
      </w:r>
    </w:p>
    <w:p w14:paraId="0F9FC041" w14:textId="77777777" w:rsidR="00936986" w:rsidRDefault="002136B6">
      <w:pPr>
        <w:pStyle w:val="ListBullet"/>
      </w:pPr>
      <w:r>
        <w:lastRenderedPageBreak/>
        <w:t>E&amp;H: Environmental Bioanalytical Chemistry, AIMMS, E&amp;H: Environmental Chemistry and Toxicology, Environment and Health, Wageningen University &amp; Research, Norwegian Institute for Water Research</w:t>
      </w:r>
    </w:p>
    <w:p w14:paraId="7E9F32F5" w14:textId="77777777" w:rsidR="00936986" w:rsidRDefault="002136B6">
      <w:pPr>
        <w:pStyle w:val="ListBullet"/>
      </w:pPr>
      <w:r>
        <w:t>Science of the Total Environment</w:t>
      </w:r>
    </w:p>
    <w:p w14:paraId="3C72EDCB" w14:textId="77777777" w:rsidR="00936986" w:rsidRDefault="002136B6">
      <w:pPr>
        <w:pStyle w:val="ListBullet"/>
      </w:pPr>
      <w:r>
        <w:t>https://doi.org/10.1016/j.scitotenv.2022.153237</w:t>
      </w:r>
    </w:p>
    <w:p w14:paraId="20196A47" w14:textId="77777777" w:rsidR="00936986" w:rsidRDefault="002136B6">
      <w:pPr>
        <w:pStyle w:val="ListBullet"/>
      </w:pPr>
      <w:r>
        <w:t>Corresponding author: de Boer, J.</w:t>
      </w:r>
    </w:p>
    <w:p w14:paraId="0A0EDDFE" w14:textId="77777777" w:rsidR="00936986" w:rsidRDefault="002136B6">
      <w:pPr>
        <w:pStyle w:val="ListBullet"/>
      </w:pPr>
      <w:r>
        <w:t>Published 10 May 2022 (early online 25 Jan 2022)</w:t>
      </w:r>
    </w:p>
    <w:p w14:paraId="77671596" w14:textId="77777777" w:rsidR="00936986" w:rsidRDefault="002136B6">
      <w:pPr>
        <w:pStyle w:val="ListBullet"/>
      </w:pPr>
      <w:r>
        <w:t>Processed: 2022-1</w:t>
      </w:r>
    </w:p>
    <w:p w14:paraId="48B42429" w14:textId="77777777" w:rsidR="00936986" w:rsidRDefault="002136B6">
      <w:r>
        <w:t>In the printed version of the above article the following contributors, Luca Nizzetto, Nina Buenaventura an</w:t>
      </w:r>
      <w:r>
        <w:t xml:space="preserve">d Rachel Hurley were mistakenly not included in the final list of authors for their role in the development of the concept for the reference materials and the effervescent pills vectors used in the study. </w:t>
      </w:r>
    </w:p>
    <w:p w14:paraId="41DC1EB9" w14:textId="77777777" w:rsidR="00936986" w:rsidRDefault="002136B6">
      <w:pPr>
        <w:pStyle w:val="Heading3"/>
      </w:pPr>
      <w:r>
        <w:t>11) A New Organocatalytic Desymmetrization Reactio</w:t>
      </w:r>
      <w:r>
        <w:t>n Enables the Enantioselective Total Synthesis of Madangamine e</w:t>
      </w:r>
    </w:p>
    <w:p w14:paraId="34937347" w14:textId="77777777" w:rsidR="00936986" w:rsidRDefault="002136B6">
      <w:pPr>
        <w:pStyle w:val="ListBullet"/>
      </w:pPr>
      <w:r>
        <w:t>Shiomi, S., Shennan, B. D., Yamazaki, K., Fuentes De Arriba, Á. L., Vasu, D., Hamlin, T. A., Dixon, D. J.</w:t>
      </w:r>
    </w:p>
    <w:p w14:paraId="17BA3CFE" w14:textId="77777777" w:rsidR="00936986" w:rsidRDefault="002136B6">
      <w:pPr>
        <w:pStyle w:val="ListBullet"/>
      </w:pPr>
      <w:r>
        <w:t>Theoretical Chemistry, AIMMS, University of Oxford</w:t>
      </w:r>
    </w:p>
    <w:p w14:paraId="5EC299B7" w14:textId="77777777" w:rsidR="00936986" w:rsidRDefault="002136B6">
      <w:pPr>
        <w:pStyle w:val="ListBullet"/>
      </w:pPr>
      <w:r>
        <w:t>Journal of the American Chemical So</w:t>
      </w:r>
      <w:r>
        <w:t>ciety</w:t>
      </w:r>
    </w:p>
    <w:p w14:paraId="6A8FD938" w14:textId="77777777" w:rsidR="00936986" w:rsidRDefault="002136B6">
      <w:pPr>
        <w:pStyle w:val="ListBullet"/>
      </w:pPr>
      <w:r>
        <w:t>https://doi.org/10.1021/jacs.1c12040</w:t>
      </w:r>
    </w:p>
    <w:p w14:paraId="2B8D2E15" w14:textId="77777777" w:rsidR="00936986" w:rsidRDefault="002136B6">
      <w:pPr>
        <w:pStyle w:val="ListBullet"/>
      </w:pPr>
      <w:r>
        <w:t>Corresponding author: Dixon, D. J.</w:t>
      </w:r>
    </w:p>
    <w:p w14:paraId="622DB551" w14:textId="77777777" w:rsidR="00936986" w:rsidRDefault="002136B6">
      <w:pPr>
        <w:pStyle w:val="ListBullet"/>
      </w:pPr>
      <w:r>
        <w:t>Published 26 Jan 2022 (early online 17 Jan 2022)</w:t>
      </w:r>
    </w:p>
    <w:p w14:paraId="0E91CE87" w14:textId="77777777" w:rsidR="00936986" w:rsidRDefault="002136B6">
      <w:pPr>
        <w:pStyle w:val="ListBullet"/>
      </w:pPr>
      <w:r>
        <w:t>Processed: 2022-1</w:t>
      </w:r>
    </w:p>
    <w:p w14:paraId="0AACCC51" w14:textId="77777777" w:rsidR="00936986" w:rsidRDefault="002136B6">
      <w:r>
        <w:t>The enantioselective total synthesis of madangamine E has been completed in 30 steps, enabled by a new catalyti</w:t>
      </w:r>
      <w:r>
        <w:t>c and highly enantioselective desymmetrizing intramolecular Michael addition reaction of a prochiral ketone to a tethered β,β′-disubstituted nitroolefin. This key carbon-carbon bond forming reaction efficiently constructed a chiral bicyclic core in near-pe</w:t>
      </w:r>
      <w:r>
        <w:t>rfect enantio- and diastereo-selectivity, concurrently established three stereogenic centers, including a quaternary carbon, and proved highly scalable. Furthermore, the pathway and origins of enantioselectivity in this catalytic cyclization were probed us</w:t>
      </w:r>
      <w:r>
        <w:t>ing density functional theory (DFT) calculations, which revealed the crucial substrate/catalyst interactions in the enantio-determining step. Following construction of the bicyclic core, the total synthesis of madangamine E could be completed, with key ste</w:t>
      </w:r>
      <w:r>
        <w:t xml:space="preserve">ps including a mild one-pot oxidative lactamization of an amino alcohol, a two-step Z-selective olefination of a sterically hindered ketone, and ring-closing metatheses to install the two macrocyclic rings.  </w:t>
      </w:r>
    </w:p>
    <w:p w14:paraId="2226E68A" w14:textId="77777777" w:rsidR="00936986" w:rsidRDefault="002136B6">
      <w:pPr>
        <w:pStyle w:val="Heading3"/>
      </w:pPr>
      <w:r>
        <w:t>12) Migration of hazardous contaminants from WE</w:t>
      </w:r>
      <w:r>
        <w:t>EE contaminated polymeric toy material by mouthing</w:t>
      </w:r>
    </w:p>
    <w:p w14:paraId="49670EEE" w14:textId="77777777" w:rsidR="00936986" w:rsidRPr="002136B6" w:rsidRDefault="002136B6">
      <w:pPr>
        <w:pStyle w:val="ListBullet"/>
        <w:rPr>
          <w:lang w:val="nl-NL"/>
        </w:rPr>
      </w:pPr>
      <w:r w:rsidRPr="002136B6">
        <w:rPr>
          <w:lang w:val="nl-NL"/>
        </w:rPr>
        <w:t>Brandsma, S. H., Leonards, P. E., Koekkoek, J. C., Samsonek, J., Puype, F.</w:t>
      </w:r>
    </w:p>
    <w:p w14:paraId="11B48F4A" w14:textId="77777777" w:rsidR="00936986" w:rsidRDefault="002136B6">
      <w:pPr>
        <w:pStyle w:val="ListBullet"/>
      </w:pPr>
      <w:r>
        <w:t>E&amp;H: Environmental Bioanalytical Chemistry, AIMMS, E&amp;H: Environmental Chemistry and Toxicology, Institute for Testing and Certific</w:t>
      </w:r>
      <w:r>
        <w:t>ation, Inc. (ITC CZ)</w:t>
      </w:r>
    </w:p>
    <w:p w14:paraId="56E9C0A8" w14:textId="77777777" w:rsidR="00936986" w:rsidRDefault="002136B6">
      <w:pPr>
        <w:pStyle w:val="ListBullet"/>
      </w:pPr>
      <w:r>
        <w:lastRenderedPageBreak/>
        <w:t>Chemosphere</w:t>
      </w:r>
    </w:p>
    <w:p w14:paraId="6090BE67" w14:textId="77777777" w:rsidR="00936986" w:rsidRDefault="002136B6">
      <w:pPr>
        <w:pStyle w:val="ListBullet"/>
      </w:pPr>
      <w:r>
        <w:t>https://doi.org/10.1016/j.chemosphere.2022.133774</w:t>
      </w:r>
    </w:p>
    <w:p w14:paraId="2BE5594D" w14:textId="77777777" w:rsidR="00936986" w:rsidRDefault="002136B6">
      <w:pPr>
        <w:pStyle w:val="ListBullet"/>
      </w:pPr>
      <w:r>
        <w:t>Corresponding author: Brandsma, S. H.</w:t>
      </w:r>
    </w:p>
    <w:p w14:paraId="189F9752" w14:textId="77777777" w:rsidR="00936986" w:rsidRDefault="002136B6">
      <w:pPr>
        <w:pStyle w:val="ListBullet"/>
      </w:pPr>
      <w:r>
        <w:t>Published May 2022 (early online 29 Jan 2022)</w:t>
      </w:r>
    </w:p>
    <w:p w14:paraId="3D7CEF0B" w14:textId="77777777" w:rsidR="00936986" w:rsidRDefault="002136B6">
      <w:pPr>
        <w:pStyle w:val="ListBullet"/>
      </w:pPr>
      <w:r>
        <w:t>Processed: 2022-1</w:t>
      </w:r>
    </w:p>
    <w:p w14:paraId="7CEB530E" w14:textId="77777777" w:rsidR="00936986" w:rsidRDefault="002136B6">
      <w:r>
        <w:t>This study evaluated the migration of brominated flame retardants (BFRs</w:t>
      </w:r>
      <w:r>
        <w:t>), phosphate flame retardants (PFRs), bisphenols (BPA, BPF), and phthalate ester-based plasticizers from recycled polymeric toy material, containing waste electrical and electronic equipment (WEEE), in artificial saliva simulating 1 h of mouthing. In total</w:t>
      </w:r>
      <w:r>
        <w:t xml:space="preserve"> 12 parts of 9 different toys were tested in triplicate after confirming WEEE specific contamination. Up to 11 contaminants were detected in saliva from one toy sample. The highest migration rate up to 128 ng/(cm2 x h) was found for BPA followed by bis(2-e</w:t>
      </w:r>
      <w:r>
        <w:t>thylhexyl) phthalate (DEHP) and diisobutyl phthalate (DIBP) with migration rates up to 25.5 and 8.27 ng/(cm2 x h), respectively. In addition to DecaBDE, which was detected in 3 saliva samples at migration rates between 0.09 and 0.31 ng/(cm2 x h), the decaB</w:t>
      </w:r>
      <w:r>
        <w:t>DE replacements 2,4,6-tris(2,4,6-tribromophenoxy)-1,3,5-triazine (TTBP-TAZ), decabromodiphenyl ethane (DBDPE), resorcinol bis(diphenyl phosphate) (RDP), and hexabromocyclododecane (HBCDD) were detected as well with comparable migration rates. 2,4,6-tribrom</w:t>
      </w:r>
      <w:r>
        <w:t>phenol (246-TBP) reached migration rates up to 1.15 ng/(cm2 x h) in correspondence to the presence of TTBP-TAZ. Tetrabromobisphenol A (TBBPA), BPA, 246-TBP, DEHP, DIBP and triphenyl phosphate (TPHP) were predominantly observed in saliva with a detection fr</w:t>
      </w:r>
      <w:r>
        <w:t>equency between 50 and 75%. Daily intake (DI) values were calculated for relevant analytes and compared to tolerable daily intake (TDI) values. The highest DI values of 72.4, 14.3, 5.74, 2.28 and 2.09 ng/(kg BW x day), were obtained for BPA, DEHP, DIBP, TB</w:t>
      </w:r>
      <w:r>
        <w:t xml:space="preserve">BPA, and TPHP, respectively. None of them exceed the TDI value or respective reference dose (RfD). </w:t>
      </w:r>
    </w:p>
    <w:p w14:paraId="6ADE4D06" w14:textId="77777777" w:rsidR="00936986" w:rsidRDefault="002136B6">
      <w:pPr>
        <w:pStyle w:val="Heading3"/>
      </w:pPr>
      <w:r>
        <w:t>13) High-Performance Data Processing Workflow Incorporating Effect-Directed Analysis for Feature Prioritization in Suspect and Nontarget Screening</w:t>
      </w:r>
    </w:p>
    <w:p w14:paraId="6D3DD2A4" w14:textId="77777777" w:rsidR="00936986" w:rsidRPr="002136B6" w:rsidRDefault="002136B6">
      <w:pPr>
        <w:pStyle w:val="ListBullet"/>
        <w:rPr>
          <w:lang w:val="nl-NL"/>
        </w:rPr>
      </w:pPr>
      <w:r w:rsidRPr="002136B6">
        <w:rPr>
          <w:lang w:val="nl-NL"/>
        </w:rPr>
        <w:t xml:space="preserve">Jonkers, </w:t>
      </w:r>
      <w:r w:rsidRPr="002136B6">
        <w:rPr>
          <w:lang w:val="nl-NL"/>
        </w:rPr>
        <w:t>T. J., Meijer, J., Vlaanderen, J. J., Vermeulen, R. C., Houtman, C. J., Hamers, T., Lamoree, M. H.</w:t>
      </w:r>
    </w:p>
    <w:p w14:paraId="77C6DA55" w14:textId="77777777" w:rsidR="00936986" w:rsidRDefault="002136B6">
      <w:pPr>
        <w:pStyle w:val="ListBullet"/>
      </w:pPr>
      <w:r>
        <w:t>E&amp;H: Environmental Chemistry and Toxicology, AIMMS, E&amp;H: Environmental Health and Toxicology, Utrecht University, The Water Laboratory</w:t>
      </w:r>
    </w:p>
    <w:p w14:paraId="22B2D95B" w14:textId="77777777" w:rsidR="00936986" w:rsidRDefault="002136B6">
      <w:pPr>
        <w:pStyle w:val="ListBullet"/>
      </w:pPr>
      <w:r>
        <w:t xml:space="preserve">Environmental Science </w:t>
      </w:r>
      <w:r>
        <w:t>and Technology</w:t>
      </w:r>
    </w:p>
    <w:p w14:paraId="42492FE1" w14:textId="77777777" w:rsidR="00936986" w:rsidRDefault="002136B6">
      <w:pPr>
        <w:pStyle w:val="ListBullet"/>
      </w:pPr>
      <w:r>
        <w:t>https://doi.org/10.1021/acs.est.1c04168</w:t>
      </w:r>
    </w:p>
    <w:p w14:paraId="0CBEB0F2" w14:textId="77777777" w:rsidR="00936986" w:rsidRDefault="002136B6">
      <w:pPr>
        <w:pStyle w:val="ListBullet"/>
      </w:pPr>
      <w:r>
        <w:t>Corresponding author: Lamoree, M. H.</w:t>
      </w:r>
    </w:p>
    <w:p w14:paraId="0A96DE1A" w14:textId="77777777" w:rsidR="00936986" w:rsidRDefault="002136B6">
      <w:pPr>
        <w:pStyle w:val="ListBullet"/>
      </w:pPr>
      <w:r>
        <w:t>Published 1 Feb 2022 (early online 20 Jan 2022)</w:t>
      </w:r>
    </w:p>
    <w:p w14:paraId="58D34909" w14:textId="77777777" w:rsidR="00936986" w:rsidRDefault="002136B6">
      <w:pPr>
        <w:pStyle w:val="ListBullet"/>
      </w:pPr>
      <w:r>
        <w:t>Processed: 2022-2</w:t>
      </w:r>
    </w:p>
    <w:p w14:paraId="3CA5C3F3" w14:textId="77777777" w:rsidR="00936986" w:rsidRDefault="002136B6">
      <w:r>
        <w:t xml:space="preserve">Effect-directed analysis (EDA) aims at the detection of bioactive chemicals of emerging </w:t>
      </w:r>
      <w:r>
        <w:t xml:space="preserve">concern (CECs) by combining toxicity testing and high-resolution mass spectrometry (HRMS). However, consolidation of toxicological and chemical analysis techniques to identify bioactive CECs remains challenging and laborious. In this study, we incorporate </w:t>
      </w:r>
      <w:r>
        <w:t xml:space="preserve">state-of-the-art identification approaches in EDA and propose a robust workflow for the </w:t>
      </w:r>
      <w:r>
        <w:lastRenderedPageBreak/>
        <w:t>high-throughput screening of CECs in environmental and human samples. Three different sample types were extracted and chemically analyzed using a single high-performanc</w:t>
      </w:r>
      <w:r>
        <w:t>e liquid chromatography HRMS method. Chemical features were annotated by suspect screening with several reference databases. Annotation quality was assessed using an automated scoring system. In parallel, the extracts were fractionated into 80 micro-fracti</w:t>
      </w:r>
      <w:r>
        <w:t>ons each covering a couple of seconds from the chromatogram run and tested for bioactivity in two bioassays. The EDA workflow prioritized and identified chemical features related to bioactive fractions with varying levels of confidence. Confidence levels w</w:t>
      </w:r>
      <w:r>
        <w:t xml:space="preserve">ere improved with the in silico software tools MetFrag and the retention time indices platform. The toxicological and chemical data quality was comparable between the use of single and multiple technical replicates. The proposed workflow incorporating EDA </w:t>
      </w:r>
      <w:r>
        <w:t xml:space="preserve">for feature prioritization in suspect and nontarget screening paves the way for the routine identification of CECs in a high-throughput manner. </w:t>
      </w:r>
    </w:p>
    <w:p w14:paraId="3E5B0769" w14:textId="77777777" w:rsidR="00936986" w:rsidRDefault="002136B6">
      <w:pPr>
        <w:pStyle w:val="Heading3"/>
      </w:pPr>
      <w:r>
        <w:t>14) Assessment of four rounds of interlaboratory tests within the UNEP-coordinated POPs projects</w:t>
      </w:r>
    </w:p>
    <w:p w14:paraId="45382195" w14:textId="77777777" w:rsidR="00936986" w:rsidRPr="002136B6" w:rsidRDefault="002136B6">
      <w:pPr>
        <w:pStyle w:val="ListBullet"/>
        <w:rPr>
          <w:lang w:val="nl-NL"/>
        </w:rPr>
      </w:pPr>
      <w:r w:rsidRPr="002136B6">
        <w:rPr>
          <w:lang w:val="nl-NL"/>
        </w:rPr>
        <w:t>Fiedler, H., v</w:t>
      </w:r>
      <w:r w:rsidRPr="002136B6">
        <w:rPr>
          <w:lang w:val="nl-NL"/>
        </w:rPr>
        <w:t>an der Veen, I., de Boer, J.</w:t>
      </w:r>
    </w:p>
    <w:p w14:paraId="156D3430" w14:textId="77777777" w:rsidR="00936986" w:rsidRDefault="002136B6">
      <w:pPr>
        <w:pStyle w:val="ListBullet"/>
      </w:pPr>
      <w:r>
        <w:t>E&amp;H: Environmental Bioanalytical Chemistry, AIMMS, Environment and Health, Chemistry and Biology, Örebro University</w:t>
      </w:r>
    </w:p>
    <w:p w14:paraId="1977CDDC" w14:textId="77777777" w:rsidR="00936986" w:rsidRDefault="002136B6">
      <w:pPr>
        <w:pStyle w:val="ListBullet"/>
      </w:pPr>
      <w:r>
        <w:t>Chemosphere</w:t>
      </w:r>
    </w:p>
    <w:p w14:paraId="24214225" w14:textId="77777777" w:rsidR="00936986" w:rsidRDefault="002136B6">
      <w:pPr>
        <w:pStyle w:val="ListBullet"/>
      </w:pPr>
      <w:r>
        <w:t>https://doi.org/10.1016/j.chemosphere.2021.132441</w:t>
      </w:r>
    </w:p>
    <w:p w14:paraId="2AF35B63" w14:textId="77777777" w:rsidR="00936986" w:rsidRDefault="002136B6">
      <w:pPr>
        <w:pStyle w:val="ListBullet"/>
      </w:pPr>
      <w:r>
        <w:t>Corresponding author: Fiedler, H.</w:t>
      </w:r>
    </w:p>
    <w:p w14:paraId="5505A58D" w14:textId="77777777" w:rsidR="00936986" w:rsidRDefault="002136B6">
      <w:pPr>
        <w:pStyle w:val="ListBullet"/>
      </w:pPr>
      <w:r>
        <w:t>Published Feb 2022 (early online 5 Oct 2021)</w:t>
      </w:r>
    </w:p>
    <w:p w14:paraId="54AD0217" w14:textId="77777777" w:rsidR="00936986" w:rsidRDefault="002136B6">
      <w:pPr>
        <w:pStyle w:val="ListBullet"/>
      </w:pPr>
      <w:r>
        <w:t>Processed: 2022-2</w:t>
      </w:r>
    </w:p>
    <w:p w14:paraId="0C360D77" w14:textId="77777777" w:rsidR="00936986" w:rsidRDefault="002136B6">
      <w:r>
        <w:t>Since 2005, the United Nations Environment Programme (UNEP) has supported developing countries with capacity building, including on-site training courses and provision on laboratory materials a</w:t>
      </w:r>
      <w:r>
        <w:t>nd consumables, and analysis of samples from Africa, Asia-Pacific and Latin America and the Caribbean (GRULAC) in designated expert laboratories. In order to check the performance of laboratories analyzing persistent organic pollutants (POPs) and giving tr</w:t>
      </w:r>
      <w:r>
        <w:t>ust into chemical analytical results, four rounds of interlaboratory assessments (ILs) were organized between 2010 and 2019. These were open to all POPs laboratories. In total, 41 575 z-scores, as indicators of performance, were generated in these four ILs</w:t>
      </w:r>
      <w:r>
        <w:t>; of these, 8 912 were from laboratories in countries supported by UNEP projects and 3 923 were from expert laboratories; these together constitute 31% of the total. 69% of all z-scores came from laboratories not participating in the UNEP projects, especia</w:t>
      </w:r>
      <w:r>
        <w:t>lly from China, who recognized the importance of such exercises for quality control at an early stage. The results showed that POPs analytical capacity has increased over the years, but some gaps could not be closed especially not when LC-MS/MS equipment i</w:t>
      </w:r>
      <w:r>
        <w:t>s essential such as for PFAS and congener-specific HBCD. Use of mass spectrometers provides better results than ECD instruments due to the broad spectrum of organochlorine pesticides to be analyzed under the Stockholm Convention. The main conclusion for al</w:t>
      </w:r>
      <w:r>
        <w:t xml:space="preserve">l laboratories is that interlaboratory assessments provide important and objective snapshots of performance for the laboratories </w:t>
      </w:r>
      <w:r>
        <w:lastRenderedPageBreak/>
        <w:t>themselves and for external clients. The methods used in any interlaboratory testing should be the same as during routine analy</w:t>
      </w:r>
      <w:r>
        <w:t xml:space="preserve">sis between such tests. </w:t>
      </w:r>
    </w:p>
    <w:p w14:paraId="10AF514B" w14:textId="77777777" w:rsidR="00936986" w:rsidRDefault="002136B6">
      <w:pPr>
        <w:pStyle w:val="Heading3"/>
      </w:pPr>
      <w:r>
        <w:t>15) Interlaboratory assessments for dioxin-like POPs (2016/2017 and 2018/2019)</w:t>
      </w:r>
    </w:p>
    <w:p w14:paraId="30CE7387" w14:textId="77777777" w:rsidR="00936986" w:rsidRPr="002136B6" w:rsidRDefault="002136B6">
      <w:pPr>
        <w:pStyle w:val="ListBullet"/>
        <w:rPr>
          <w:lang w:val="nl-NL"/>
        </w:rPr>
      </w:pPr>
      <w:r w:rsidRPr="002136B6">
        <w:rPr>
          <w:lang w:val="nl-NL"/>
        </w:rPr>
        <w:t>Fiedler, H., van der Veen, I., de Boer, J.</w:t>
      </w:r>
    </w:p>
    <w:p w14:paraId="7B32CE3E" w14:textId="77777777" w:rsidR="00936986" w:rsidRDefault="002136B6">
      <w:pPr>
        <w:pStyle w:val="ListBullet"/>
      </w:pPr>
      <w:r>
        <w:t>E&amp;H: Environmental Bioanalytical Chemistry, AIMMS, Environment and Health, E&amp;H: Environmental Chemistry and T</w:t>
      </w:r>
      <w:r>
        <w:t>oxicology, Örebro University</w:t>
      </w:r>
    </w:p>
    <w:p w14:paraId="671F164F" w14:textId="77777777" w:rsidR="00936986" w:rsidRDefault="002136B6">
      <w:pPr>
        <w:pStyle w:val="ListBullet"/>
      </w:pPr>
      <w:r>
        <w:t>Chemosphere</w:t>
      </w:r>
    </w:p>
    <w:p w14:paraId="2EA7C338" w14:textId="77777777" w:rsidR="00936986" w:rsidRDefault="002136B6">
      <w:pPr>
        <w:pStyle w:val="ListBullet"/>
      </w:pPr>
      <w:r>
        <w:t>https://doi.org/10.1016/j.chemosphere.2021.132449</w:t>
      </w:r>
    </w:p>
    <w:p w14:paraId="74F9121C" w14:textId="77777777" w:rsidR="00936986" w:rsidRDefault="002136B6">
      <w:pPr>
        <w:pStyle w:val="ListBullet"/>
      </w:pPr>
      <w:r>
        <w:t>Corresponding author: Fiedler, H.</w:t>
      </w:r>
    </w:p>
    <w:p w14:paraId="1238A30D" w14:textId="77777777" w:rsidR="00936986" w:rsidRDefault="002136B6">
      <w:pPr>
        <w:pStyle w:val="ListBullet"/>
      </w:pPr>
      <w:r>
        <w:t>Published Feb 2022 (early online None)</w:t>
      </w:r>
    </w:p>
    <w:p w14:paraId="21D3EC56" w14:textId="77777777" w:rsidR="00936986" w:rsidRDefault="002136B6">
      <w:pPr>
        <w:pStyle w:val="ListBullet"/>
      </w:pPr>
      <w:r>
        <w:t>Processed: 2022-2</w:t>
      </w:r>
    </w:p>
    <w:p w14:paraId="5A1E6513" w14:textId="77777777" w:rsidR="00936986" w:rsidRDefault="002136B6">
      <w:r>
        <w:t>In the two rounds of the UNEP-coordinated ‘Biennial interlaboratory assess</w:t>
      </w:r>
      <w:r>
        <w:t>ments of POPs laboratories, which were implemented in 2016/2017 and 2018/2019, 56 and 46 laboratories submitted results for dioxin-like persistent organic pollutants (dl-POPs). Test matrices consisted of solutions of analytical standards and naturally cont</w:t>
      </w:r>
      <w:r>
        <w:t>aminated sediment, air extract, fish and human milk. Performance assessment using z-scores so that satisfactory performance corresponded to 2 z = ±25%, which is recommended for laboratories submitting data to the global monitoring plan of the Stockholm Con</w:t>
      </w:r>
      <w:r>
        <w:t>vention on POPs. Participation has shown that analytical capacity for analyzing dl-POPs exist in all UN regions; however, in Africa and Central and Eastern European countries capacities are (very) limited; in Latin America capacity is increasing. The prese</w:t>
      </w:r>
      <w:r>
        <w:t>nce of dioxin laboratories is not limited to industrialized or OECD countries but also present in developing countries such as China, Brazil, Egypt, Thailand, or Vietnam. Laboratories using established methods based on gas chromatographs coupled to high-re</w:t>
      </w:r>
      <w:r>
        <w:t>solution mass spectrometers (sector field instruments only) by far had the best results. Among the test samples, human milk and especially fish in the last round posed severe problems to all laboratories so that performance must improve, especially in food</w:t>
      </w:r>
      <w:r>
        <w:t xml:space="preserve">stuffs at (very) low concentrations. </w:t>
      </w:r>
    </w:p>
    <w:p w14:paraId="5B186ED4" w14:textId="77777777" w:rsidR="00936986" w:rsidRDefault="002136B6">
      <w:pPr>
        <w:pStyle w:val="Heading3"/>
      </w:pPr>
      <w:r>
        <w:t>16) Use and limitations of genome-scale metabolic models in food microbiology</w:t>
      </w:r>
    </w:p>
    <w:p w14:paraId="5360AE8E" w14:textId="77777777" w:rsidR="00936986" w:rsidRDefault="002136B6">
      <w:pPr>
        <w:pStyle w:val="ListBullet"/>
      </w:pPr>
      <w:r>
        <w:t>Somerville, V., Grigaitis, P., Battjes, J., Moro, F., Teusink, B.</w:t>
      </w:r>
    </w:p>
    <w:p w14:paraId="3F155ADF" w14:textId="77777777" w:rsidR="00936986" w:rsidRDefault="002136B6">
      <w:pPr>
        <w:pStyle w:val="ListBullet"/>
      </w:pPr>
      <w:r>
        <w:t>Molecular Cell Biology, Systems Bioinformatics, AIMMS, Systems Bioinformat</w:t>
      </w:r>
      <w:r>
        <w:t>ics, University of Lausanne, Agroscope Research Institute</w:t>
      </w:r>
    </w:p>
    <w:p w14:paraId="314BFC52" w14:textId="77777777" w:rsidR="00936986" w:rsidRDefault="002136B6">
      <w:pPr>
        <w:pStyle w:val="ListBullet"/>
      </w:pPr>
      <w:r>
        <w:t>Current Opinion in Food Science</w:t>
      </w:r>
    </w:p>
    <w:p w14:paraId="4B1BB16D" w14:textId="77777777" w:rsidR="00936986" w:rsidRDefault="002136B6">
      <w:pPr>
        <w:pStyle w:val="ListBullet"/>
      </w:pPr>
      <w:r>
        <w:t>https://doi.org/10.1016/j.cofs.2021.12.010</w:t>
      </w:r>
    </w:p>
    <w:p w14:paraId="0072820F" w14:textId="77777777" w:rsidR="00936986" w:rsidRDefault="002136B6">
      <w:pPr>
        <w:pStyle w:val="ListBullet"/>
      </w:pPr>
      <w:r>
        <w:t>Corresponding author: None</w:t>
      </w:r>
    </w:p>
    <w:p w14:paraId="43F43CA9" w14:textId="77777777" w:rsidR="00936986" w:rsidRDefault="002136B6">
      <w:pPr>
        <w:pStyle w:val="ListBullet"/>
      </w:pPr>
      <w:r>
        <w:t>Published Feb 2022 (early online 28 Dec 2021)</w:t>
      </w:r>
    </w:p>
    <w:p w14:paraId="0BC7F69E" w14:textId="77777777" w:rsidR="00936986" w:rsidRDefault="002136B6">
      <w:pPr>
        <w:pStyle w:val="ListBullet"/>
      </w:pPr>
      <w:r>
        <w:t>Processed: 2022-2</w:t>
      </w:r>
    </w:p>
    <w:p w14:paraId="114CB476" w14:textId="77777777" w:rsidR="00936986" w:rsidRDefault="002136B6">
      <w:r>
        <w:t xml:space="preserve">Microbes are key to </w:t>
      </w:r>
      <w:r>
        <w:t xml:space="preserve">creating safe, edible and enriched fermented food products. This is largely achieved by their metabolism. Thus, the ability to understand the wiring of the complete cellular metabolism is critical to control the fermentation processes. Metabolic modelling </w:t>
      </w:r>
      <w:r>
        <w:t xml:space="preserve">is a useful tool for integration of large datasets to link genotype to phenotype. </w:t>
      </w:r>
      <w:r>
        <w:lastRenderedPageBreak/>
        <w:t>Here, we summarise how metabolic models are being used to address the challenges in safety, biotransformation and food enhancement in food-relevant settings. Finally, we disc</w:t>
      </w:r>
      <w:r>
        <w:t xml:space="preserve">uss how metabolic modelling can be integrated to assess more complex scenarios such as microbial communities. Despite many remaining challenges, metabolic models hold a large potential for use in food microbiology. </w:t>
      </w:r>
    </w:p>
    <w:p w14:paraId="46B3DB06" w14:textId="77777777" w:rsidR="00936986" w:rsidRDefault="002136B6">
      <w:pPr>
        <w:pStyle w:val="Heading3"/>
      </w:pPr>
      <w:r>
        <w:t>17) B-DNA Structure and Stability: The R</w:t>
      </w:r>
      <w:r>
        <w:t>ole of Nucleotide Composition and Order</w:t>
      </w:r>
    </w:p>
    <w:p w14:paraId="7CE64BF1" w14:textId="77777777" w:rsidR="00936986" w:rsidRDefault="002136B6">
      <w:pPr>
        <w:pStyle w:val="ListBullet"/>
      </w:pPr>
      <w:r>
        <w:t>Nieuwland, C., Hamlin, T. A., Fonseca Guerra, C., Barone, G., Bickelhaupt, F. M.</w:t>
      </w:r>
    </w:p>
    <w:p w14:paraId="29FC69CB" w14:textId="77777777" w:rsidR="00936986" w:rsidRDefault="002136B6">
      <w:pPr>
        <w:pStyle w:val="ListBullet"/>
      </w:pPr>
      <w:r>
        <w:t>Theoretical Chemistry, AIMMS, Chemistry and Pharmaceutical Sciences, University of Palermo</w:t>
      </w:r>
    </w:p>
    <w:p w14:paraId="5373535B" w14:textId="77777777" w:rsidR="00936986" w:rsidRDefault="002136B6">
      <w:pPr>
        <w:pStyle w:val="ListBullet"/>
      </w:pPr>
      <w:r>
        <w:t>ChemistryOpen</w:t>
      </w:r>
    </w:p>
    <w:p w14:paraId="0A51B642" w14:textId="77777777" w:rsidR="00936986" w:rsidRDefault="002136B6">
      <w:pPr>
        <w:pStyle w:val="ListBullet"/>
      </w:pPr>
      <w:r>
        <w:t>https://doi.org/10.1002/open.2</w:t>
      </w:r>
      <w:r>
        <w:t>02200013</w:t>
      </w:r>
    </w:p>
    <w:p w14:paraId="7BC9C08A" w14:textId="77777777" w:rsidR="00936986" w:rsidRDefault="002136B6">
      <w:pPr>
        <w:pStyle w:val="ListBullet"/>
      </w:pPr>
      <w:r>
        <w:t>Corresponding author: None</w:t>
      </w:r>
    </w:p>
    <w:p w14:paraId="05EC61AD" w14:textId="77777777" w:rsidR="00936986" w:rsidRDefault="002136B6">
      <w:pPr>
        <w:pStyle w:val="ListBullet"/>
      </w:pPr>
      <w:r>
        <w:t>Published 1 Feb 2022 (early online None)</w:t>
      </w:r>
    </w:p>
    <w:p w14:paraId="586BE0EB" w14:textId="77777777" w:rsidR="00936986" w:rsidRDefault="002136B6">
      <w:pPr>
        <w:pStyle w:val="ListBullet"/>
      </w:pPr>
      <w:r>
        <w:t>Processed: 2022-2</w:t>
      </w:r>
    </w:p>
    <w:p w14:paraId="3DA0849E" w14:textId="77777777" w:rsidR="00936986" w:rsidRDefault="002136B6">
      <w:r>
        <w:t>Invited for this month's cover are the groups of Célia Fonseca Guerra at the Vrije Universiteit Amsterdam and Leiden University, Giampaolo Barone from the Univer</w:t>
      </w:r>
      <w:r>
        <w:t>sità degli Studi di Palermo, and F. Matthias Bickelhaupt at Vrije Universiteit Amsterdam and Radboud University Nijmegen. The cover picture shows the four primary interaction components (hydrogen bonding, cross-terms, base stacking, and solvation) that det</w:t>
      </w:r>
      <w:r>
        <w:t>ermine the stability of B-DNA duplexes. Quantum chemical analyses identify an interplay between the stabilizing hydrogen bonds between nucleotides that drive the formation of the DNA double-strand, and the destabilizing loss of stacking interactions within</w:t>
      </w:r>
      <w:r>
        <w:t xml:space="preserve"> individual strands combined with partial desolvation. The sequence-dependence in the duplex stability originates mainly from the cross-terms, which can be attractive or repulsive. Read the full text of their Research Article at 10.1002/open.202100231. </w:t>
      </w:r>
    </w:p>
    <w:p w14:paraId="520C74CB" w14:textId="77777777" w:rsidR="00936986" w:rsidRDefault="002136B6">
      <w:pPr>
        <w:pStyle w:val="Heading3"/>
      </w:pPr>
      <w:r>
        <w:t>18</w:t>
      </w:r>
      <w:r>
        <w:t>) Getting more out of the zebrafish light dark transition test</w:t>
      </w:r>
    </w:p>
    <w:p w14:paraId="42E96FF4" w14:textId="77777777" w:rsidR="00936986" w:rsidRDefault="002136B6">
      <w:pPr>
        <w:pStyle w:val="ListBullet"/>
      </w:pPr>
      <w:r>
        <w:t>Haigis, A., Ottermanns, R., Schiwy, A., Hollert, H., Legradi, J.Pages:133863</w:t>
      </w:r>
    </w:p>
    <w:p w14:paraId="1078C62D" w14:textId="77777777" w:rsidR="00936986" w:rsidRDefault="002136B6">
      <w:pPr>
        <w:pStyle w:val="ListBullet"/>
      </w:pPr>
      <w:r>
        <w:t>E&amp;H: Environmental Health and Toxicology, AIMMS, RWTH Aachen University, Goethe University Frankfurt, Goethe Univers</w:t>
      </w:r>
      <w:r>
        <w:t>ity Frankturt</w:t>
      </w:r>
    </w:p>
    <w:p w14:paraId="04575A5C" w14:textId="77777777" w:rsidR="00936986" w:rsidRDefault="002136B6">
      <w:pPr>
        <w:pStyle w:val="ListBullet"/>
      </w:pPr>
      <w:r>
        <w:t>Chemosphere</w:t>
      </w:r>
    </w:p>
    <w:p w14:paraId="26321CC4" w14:textId="77777777" w:rsidR="00936986" w:rsidRDefault="002136B6">
      <w:pPr>
        <w:pStyle w:val="ListBullet"/>
      </w:pPr>
      <w:r>
        <w:t>https://doi.org/10.1016/j.chemosphere.2022.133863</w:t>
      </w:r>
    </w:p>
    <w:p w14:paraId="6B865E85" w14:textId="77777777" w:rsidR="00936986" w:rsidRDefault="002136B6">
      <w:pPr>
        <w:pStyle w:val="ListBullet"/>
      </w:pPr>
      <w:r>
        <w:t>Corresponding author: Haigis, A.</w:t>
      </w:r>
    </w:p>
    <w:p w14:paraId="1CE513EC" w14:textId="77777777" w:rsidR="00936986" w:rsidRDefault="002136B6">
      <w:pPr>
        <w:pStyle w:val="ListBullet"/>
      </w:pPr>
      <w:r>
        <w:t>Published May 2022 (early online 3 Feb 2022)</w:t>
      </w:r>
    </w:p>
    <w:p w14:paraId="1B3A051A" w14:textId="77777777" w:rsidR="00936986" w:rsidRDefault="002136B6">
      <w:pPr>
        <w:pStyle w:val="ListBullet"/>
      </w:pPr>
      <w:r>
        <w:t>Processed: 2022-2</w:t>
      </w:r>
    </w:p>
    <w:p w14:paraId="1BE26B0C" w14:textId="77777777" w:rsidR="00936986" w:rsidRDefault="002136B6">
      <w:r>
        <w:t>In (eco-)toxicological studies the light/dark transition (LDT) test is one of the mo</w:t>
      </w:r>
      <w:r>
        <w:t>st frequently used behaviour assays with zebrafish eleutheroembryos. However, study results vary regarding data presentation and analysis and mostly focus on a limited amount of the recorded data. In this study, we investigated whether monitoring two behav</w:t>
      </w:r>
      <w:r>
        <w:t xml:space="preserve">ioural outcomes (time and distance moved) together with analysing multiple parameters can improve test sensitivity and data interpretation. As a proof of principle 5-day old zebrafish (Danio rerio) </w:t>
      </w:r>
      <w:r>
        <w:lastRenderedPageBreak/>
        <w:t>eleutheroembryos exposed to either endocrine disruptors (E</w:t>
      </w:r>
      <w:r>
        <w:t>Ds) or acetylcholine esterase (AChE) inhibitors were investigated. We analysed conventional parameters such as mean and sum and implemented additional endpoints such as minimum or maximum distance moved and new parameters assessing the bursting response of</w:t>
      </w:r>
      <w:r>
        <w:t xml:space="preserve"> eleutheroembryos. Furthermore, changes in eleutheroembryonic behaviour during the moment of the light to dark transition were added. To improve data presentation control-normalised results were displayed in radar charts, enabling the simultaneous presenta</w:t>
      </w:r>
      <w:r>
        <w:t>tion of different parameters in relation to each other. This enabled us to identify parameters most relevant to a certain behavioural response. A cut off threshold using control data was applied to identify parameters that were altered in a biological rele</w:t>
      </w:r>
      <w:r>
        <w:t>vant manner. Our approach was able to detect effects on different parameters that remained undetected when analysis was done using conventional bar graphs on - in most cases analysed - averaged, mean distance moved values. By combining the radar charts wit</w:t>
      </w:r>
      <w:r>
        <w:t xml:space="preserve">h additional parameters and by using control-based thresholds, we were able to increase the test sensitivity and promote a deeper understanding of the behaviour response of zebrafish eleutheroembryos in the LDT test and thereby increased its usability for </w:t>
      </w:r>
      <w:r>
        <w:t xml:space="preserve">behavioural toxicity studies. </w:t>
      </w:r>
    </w:p>
    <w:p w14:paraId="58317277" w14:textId="77777777" w:rsidR="00936986" w:rsidRDefault="002136B6">
      <w:pPr>
        <w:pStyle w:val="Heading3"/>
      </w:pPr>
      <w:r>
        <w:t>19) How Solvation Influences the SN2 versus E2 Competition</w:t>
      </w:r>
    </w:p>
    <w:p w14:paraId="7C012787" w14:textId="77777777" w:rsidR="00936986" w:rsidRDefault="002136B6">
      <w:pPr>
        <w:pStyle w:val="ListBullet"/>
      </w:pPr>
      <w:r>
        <w:t>Hansen, T., Roozee, J. C., Bickelhaupt, F. M., Hamlin, T. A.</w:t>
      </w:r>
    </w:p>
    <w:p w14:paraId="53566040" w14:textId="77777777" w:rsidR="00936986" w:rsidRDefault="002136B6">
      <w:pPr>
        <w:pStyle w:val="ListBullet"/>
      </w:pPr>
      <w:r>
        <w:t>Chemistry and Pharmaceutical Sciences, AIMMS, Theoretical Chemistry, Vrije Universiteit Amsterdam</w:t>
      </w:r>
    </w:p>
    <w:p w14:paraId="33B75AFB" w14:textId="77777777" w:rsidR="00936986" w:rsidRDefault="002136B6">
      <w:pPr>
        <w:pStyle w:val="ListBullet"/>
      </w:pPr>
      <w:r>
        <w:t>Journal</w:t>
      </w:r>
      <w:r>
        <w:t xml:space="preserve"> of Organic Chemistry</w:t>
      </w:r>
    </w:p>
    <w:p w14:paraId="1C2A1FF5" w14:textId="77777777" w:rsidR="00936986" w:rsidRDefault="002136B6">
      <w:pPr>
        <w:pStyle w:val="ListBullet"/>
      </w:pPr>
      <w:r>
        <w:t>https://doi.org/10.1021/acs.joc.1c02354</w:t>
      </w:r>
    </w:p>
    <w:p w14:paraId="1718CC81" w14:textId="77777777" w:rsidR="00936986" w:rsidRDefault="002136B6">
      <w:pPr>
        <w:pStyle w:val="ListBullet"/>
      </w:pPr>
      <w:r>
        <w:t>Corresponding author: Bickelhaupt, F. M.</w:t>
      </w:r>
    </w:p>
    <w:p w14:paraId="2D6A23D1" w14:textId="77777777" w:rsidR="00936986" w:rsidRDefault="002136B6">
      <w:pPr>
        <w:pStyle w:val="ListBullet"/>
      </w:pPr>
      <w:r>
        <w:t>Published 4 Feb 2022 (early online 21 Dec 2021)</w:t>
      </w:r>
    </w:p>
    <w:p w14:paraId="5BECD02E" w14:textId="77777777" w:rsidR="00936986" w:rsidRDefault="002136B6">
      <w:pPr>
        <w:pStyle w:val="ListBullet"/>
      </w:pPr>
      <w:r>
        <w:t>Processed: 2022-2</w:t>
      </w:r>
    </w:p>
    <w:p w14:paraId="26FB6AF3" w14:textId="77777777" w:rsidR="00936986" w:rsidRDefault="002136B6">
      <w:r>
        <w:t>We have quantum chemically investigated how solvation influences the competition between the SN2 and E2 pathways of the model F- + C2H5Cl reaction. The system is solvated in a stepwise manner by going from the gas phase, then via microsolvation of one to t</w:t>
      </w:r>
      <w:r>
        <w:t>hree explicit solvent molecules, then last to bulk solvation using relativistic density functional theory at (COSMO)-ZORA-OLYP/QZ4P. We explain how and why the mechanistic pathway of the system shifts from E2 in the gas phase to SN2 upon strong solvation o</w:t>
      </w:r>
      <w:r>
        <w:t>f the Lewis base (i.e., nucleophile/protophile). The E2 pathway is preferred under weak solvation of the system by dichloromethane, whereas a switch in reactivity from E2 to SN2 is observed under strong solvation by water. Our activation strain and Kohn-Sh</w:t>
      </w:r>
      <w:r>
        <w:t>am molecular orbital analyses reveal that solvation of the Lewis base has a significant impact on the strength of the Lewis base. We show how strong solvation furnishes a weaker Lewis base that is unable to overcome the high characteristic distortivity ass</w:t>
      </w:r>
      <w:r>
        <w:t xml:space="preserve">ociated with the E2 pathway, and thus the SN2 pathway becomes viable.  </w:t>
      </w:r>
    </w:p>
    <w:p w14:paraId="1642B7E2" w14:textId="77777777" w:rsidR="00936986" w:rsidRDefault="002136B6">
      <w:pPr>
        <w:pStyle w:val="Heading3"/>
      </w:pPr>
      <w:r>
        <w:t>20) Field-flow fractionation for molecular-interaction studies of labile and complex systems: A critical review</w:t>
      </w:r>
    </w:p>
    <w:p w14:paraId="18951725" w14:textId="77777777" w:rsidR="00936986" w:rsidRDefault="002136B6">
      <w:pPr>
        <w:pStyle w:val="ListBullet"/>
      </w:pPr>
      <w:r>
        <w:t xml:space="preserve">Ventouri, I. K., Loeber, S., Somsen, G. W., Schoenmakers, P. J., </w:t>
      </w:r>
      <w:r>
        <w:t>Astefanei, A.</w:t>
      </w:r>
    </w:p>
    <w:p w14:paraId="2AA5A934" w14:textId="77777777" w:rsidR="00936986" w:rsidRDefault="002136B6">
      <w:pPr>
        <w:pStyle w:val="ListBullet"/>
      </w:pPr>
      <w:r>
        <w:lastRenderedPageBreak/>
        <w:t>BioAnalytical Chemistry, AIMMS, University of Amsterdam, Center for Analytical Sciences Amsterdam</w:t>
      </w:r>
    </w:p>
    <w:p w14:paraId="305903A9" w14:textId="77777777" w:rsidR="00936986" w:rsidRDefault="002136B6">
      <w:pPr>
        <w:pStyle w:val="ListBullet"/>
      </w:pPr>
      <w:r>
        <w:t>Analytica Chimica Acta</w:t>
      </w:r>
    </w:p>
    <w:p w14:paraId="61EE4714" w14:textId="77777777" w:rsidR="00936986" w:rsidRDefault="002136B6">
      <w:pPr>
        <w:pStyle w:val="ListBullet"/>
      </w:pPr>
      <w:r>
        <w:t>https://doi.org/10.1016/j.aca.2021.339396</w:t>
      </w:r>
    </w:p>
    <w:p w14:paraId="0D29BE8F" w14:textId="77777777" w:rsidR="00936986" w:rsidRDefault="002136B6">
      <w:pPr>
        <w:pStyle w:val="ListBullet"/>
      </w:pPr>
      <w:r>
        <w:t>Corresponding author: Ventouri, I. K.</w:t>
      </w:r>
    </w:p>
    <w:p w14:paraId="158023D5" w14:textId="77777777" w:rsidR="00936986" w:rsidRDefault="002136B6">
      <w:pPr>
        <w:pStyle w:val="ListBullet"/>
      </w:pPr>
      <w:r>
        <w:t>Published 8 Feb 2022 (early online 27 Dec</w:t>
      </w:r>
      <w:r>
        <w:t xml:space="preserve"> 2021)</w:t>
      </w:r>
    </w:p>
    <w:p w14:paraId="6FEB5879" w14:textId="77777777" w:rsidR="00936986" w:rsidRDefault="002136B6">
      <w:pPr>
        <w:pStyle w:val="ListBullet"/>
      </w:pPr>
      <w:r>
        <w:t>Processed: 2022-2</w:t>
      </w:r>
    </w:p>
    <w:p w14:paraId="32AE1FB5" w14:textId="77777777" w:rsidR="00936986" w:rsidRDefault="002136B6">
      <w:r>
        <w:t>Asymmetrical flow field-flow fractionation (AF4) has attracted considerable attention as a size-based separation technique, due to its mild separation conditions, broad working range (from approximately 103 to 109 Da molecular mass</w:t>
      </w:r>
      <w:r>
        <w:t xml:space="preserve"> or from 1 nm to 1 μm particle diameter), and versatility. AF4 is primarily being used to measure particle size, polydispersity, and physical stability of various systems, such as (bio)-macromolecules and nanoparticles. In comparison with size-exclusion ch</w:t>
      </w:r>
      <w:r>
        <w:t>romatography (packed column), AF4 (open channel) allows separation while preserving labile structures. Monitoring of interactions between different compounds and in very complex matrices is possible. Preservation of the structure and correlation of structu</w:t>
      </w:r>
      <w:r>
        <w:t>ral characteristics with activity and functionality can bolster the development of new therapeutic strategies for diseases and new materials with improved properties. In this review, a detailed overview is presented of developments in AF4 for interaction s</w:t>
      </w:r>
      <w:r>
        <w:t>tudies between various systems, such as protein-protein, polymer-polymer, nanoparticle-drug, and nanoparticle-protein. The prospects and obstacles for AF4, and other less-commonly used types of FFF, for studying interactions within complex and fragile syst</w:t>
      </w:r>
      <w:r>
        <w:t>ems are covered. Coupling AF4 to a variety of detection systems can greatly contribute to the understanding of the interaction/association processes and provide information on the interaction kinetics. This review is intended to provide comprehensive docum</w:t>
      </w:r>
      <w:r>
        <w:t xml:space="preserve">entation on the types of information (structural, morphological, chemical) on molecular interactions that can be retrieved by AF4. </w:t>
      </w:r>
    </w:p>
    <w:p w14:paraId="5D031F12" w14:textId="77777777" w:rsidR="00936986" w:rsidRDefault="002136B6">
      <w:pPr>
        <w:pStyle w:val="Heading3"/>
      </w:pPr>
      <w:r>
        <w:t>21) Quantification of polyethylene terephthalate microplastics and nanoplastics in sands, indoor dust and sludge using a sim</w:t>
      </w:r>
      <w:r>
        <w:t>plified in-matrix depolymerization method</w:t>
      </w:r>
    </w:p>
    <w:p w14:paraId="5BCBD7D8" w14:textId="77777777" w:rsidR="00936986" w:rsidRPr="002136B6" w:rsidRDefault="002136B6">
      <w:pPr>
        <w:pStyle w:val="ListBullet"/>
        <w:rPr>
          <w:lang w:val="nl-NL"/>
        </w:rPr>
      </w:pPr>
      <w:r w:rsidRPr="002136B6">
        <w:rPr>
          <w:lang w:val="nl-NL"/>
        </w:rPr>
        <w:t>Tian, L., Skoczynska, E., Siddhanti, D., van Putten, R. J., Leslie, H. A., Gruter, G. J. M.</w:t>
      </w:r>
    </w:p>
    <w:p w14:paraId="36245F4C" w14:textId="77777777" w:rsidR="00936986" w:rsidRDefault="002136B6">
      <w:pPr>
        <w:pStyle w:val="ListBullet"/>
      </w:pPr>
      <w:r>
        <w:t>E&amp;H: Environmental Bioanalytical Chemistry, E&amp;H: Environmental Chemistry and Toxicology, AIMMS, University of Amsterdam, A</w:t>
      </w:r>
      <w:r>
        <w:t>vantium Support BV</w:t>
      </w:r>
    </w:p>
    <w:p w14:paraId="2C68BAAE" w14:textId="77777777" w:rsidR="00936986" w:rsidRDefault="002136B6">
      <w:pPr>
        <w:pStyle w:val="ListBullet"/>
      </w:pPr>
      <w:r>
        <w:t>Marine Pollution Bulletin</w:t>
      </w:r>
    </w:p>
    <w:p w14:paraId="48CE7768" w14:textId="77777777" w:rsidR="00936986" w:rsidRDefault="002136B6">
      <w:pPr>
        <w:pStyle w:val="ListBullet"/>
      </w:pPr>
      <w:r>
        <w:t>https://doi.org/10.1016/j.marpolbul.2022.113403</w:t>
      </w:r>
    </w:p>
    <w:p w14:paraId="33C7B496" w14:textId="77777777" w:rsidR="00936986" w:rsidRDefault="002136B6">
      <w:pPr>
        <w:pStyle w:val="ListBullet"/>
      </w:pPr>
      <w:r>
        <w:t>Corresponding author: Gruter, G. J. M.</w:t>
      </w:r>
    </w:p>
    <w:p w14:paraId="0F67B63D" w14:textId="77777777" w:rsidR="00936986" w:rsidRDefault="002136B6">
      <w:pPr>
        <w:pStyle w:val="ListBullet"/>
      </w:pPr>
      <w:r>
        <w:t>Published 9 Feb 2022 (early online None)</w:t>
      </w:r>
    </w:p>
    <w:p w14:paraId="18C6EA2D" w14:textId="77777777" w:rsidR="00936986" w:rsidRDefault="002136B6">
      <w:pPr>
        <w:pStyle w:val="ListBullet"/>
      </w:pPr>
      <w:r>
        <w:t>Processed: 2022-2</w:t>
      </w:r>
    </w:p>
    <w:p w14:paraId="221273AD" w14:textId="77777777" w:rsidR="00936986" w:rsidRDefault="002136B6">
      <w:r>
        <w:t>An effective 3-step method for the quantification of mass of poly</w:t>
      </w:r>
      <w:r>
        <w:t>ethylene terephthalate microplastics and nanoplastics (PET MNPs) in complex environmental matrices was developed based on a simplified in-matrix depolymerization. Liquid chromatography (LC) coupled with ultraviolet (UV) detection was used for detection and</w:t>
      </w:r>
      <w:r>
        <w:t xml:space="preserve"> quantification. Recoveries for PET-spiked sand samples were 99 ± 2% (1 mg/L) and 93 ± 7% (30 mg/L). </w:t>
      </w:r>
      <w:r>
        <w:lastRenderedPageBreak/>
        <w:t>The limit of quantification (LOQ) for PET was 0.4 μg/g for sand, 1 mg/g for indoor dust and 0.2 μg/g for wet sludge. This method was applied to seven beach</w:t>
      </w:r>
      <w:r>
        <w:t xml:space="preserve"> sand samples, 20 indoor dust samples and one sewage sludge sample. PET MNPs levels in sand samples were all below the limit of detection (LOD) of LC-UV (0.1 μg/g). The concentrations of PET MNPs in indoor dust samples ranged from 1.2 to 305 mg/g and the P</w:t>
      </w:r>
      <w:r>
        <w:t xml:space="preserve">ET MNPs in liquid sludge was 1.5 mg/L. </w:t>
      </w:r>
    </w:p>
    <w:p w14:paraId="38EC7795" w14:textId="77777777" w:rsidR="00936986" w:rsidRDefault="002136B6">
      <w:pPr>
        <w:pStyle w:val="Heading3"/>
      </w:pPr>
      <w:r>
        <w:t>22) Whole-cell modeling in yeast predicts compartment-specific proteome constraints that drive metabolic strategies</w:t>
      </w:r>
    </w:p>
    <w:p w14:paraId="62B470C2" w14:textId="77777777" w:rsidR="00936986" w:rsidRDefault="002136B6">
      <w:pPr>
        <w:pStyle w:val="ListBullet"/>
      </w:pPr>
      <w:r>
        <w:t>Elsemman, I. E., Rodriguez Prado, A., Grigaitis, P., Garcia Albornoz, M., Harman, V., Holman, S. W.,</w:t>
      </w:r>
      <w:r>
        <w:t xml:space="preserve"> van Heerden, J., Bruggeman, F. J., Bisschops, M. M., Sonnenschein, N., Hubbard, S., Beynon, R., Daran-Lapujade, P., Nielsen, J., Teusink, B.</w:t>
      </w:r>
    </w:p>
    <w:p w14:paraId="3F56B651" w14:textId="77777777" w:rsidR="00936986" w:rsidRDefault="002136B6">
      <w:pPr>
        <w:pStyle w:val="ListBullet"/>
      </w:pPr>
      <w:r>
        <w:t>Systems Bioinformatics, AIMMS, Systems Bioinformatics, Technical University of Denmark, Assiut University, Vrije U</w:t>
      </w:r>
      <w:r>
        <w:t>niversiteit Amsterdam, Delft University of Technology, University of Manchester, University of Liverpool, Chalmers University of Technology</w:t>
      </w:r>
    </w:p>
    <w:p w14:paraId="7C9D1438" w14:textId="77777777" w:rsidR="00936986" w:rsidRDefault="002136B6">
      <w:pPr>
        <w:pStyle w:val="ListBullet"/>
      </w:pPr>
      <w:r>
        <w:t>Nature Communications</w:t>
      </w:r>
    </w:p>
    <w:p w14:paraId="311D9D88" w14:textId="77777777" w:rsidR="00936986" w:rsidRDefault="002136B6">
      <w:pPr>
        <w:pStyle w:val="ListBullet"/>
      </w:pPr>
      <w:r>
        <w:t>https://doi.org/10.1038/s41467-022-28467-6</w:t>
      </w:r>
    </w:p>
    <w:p w14:paraId="5831478A" w14:textId="77777777" w:rsidR="00936986" w:rsidRDefault="002136B6">
      <w:pPr>
        <w:pStyle w:val="ListBullet"/>
      </w:pPr>
      <w:r>
        <w:t>Corresponding author: None</w:t>
      </w:r>
    </w:p>
    <w:p w14:paraId="759270DE" w14:textId="77777777" w:rsidR="00936986" w:rsidRDefault="002136B6">
      <w:pPr>
        <w:pStyle w:val="ListBullet"/>
      </w:pPr>
      <w:r>
        <w:t>Published 10 Feb 2022 (e</w:t>
      </w:r>
      <w:r>
        <w:t>arly online None)</w:t>
      </w:r>
    </w:p>
    <w:p w14:paraId="0E00D888" w14:textId="77777777" w:rsidR="00936986" w:rsidRDefault="002136B6">
      <w:pPr>
        <w:pStyle w:val="ListBullet"/>
      </w:pPr>
      <w:r>
        <w:t>Processed: 2022-2</w:t>
      </w:r>
    </w:p>
    <w:p w14:paraId="517F91D4" w14:textId="77777777" w:rsidR="00936986" w:rsidRDefault="002136B6">
      <w:r>
        <w:t xml:space="preserve">When conditions change, unicellular organisms rewire their metabolism to sustain cell maintenance and cellular growth. Such rewiring may be understood as resource re-allocation under cellular constraints. Eukaryal cells </w:t>
      </w:r>
      <w:r>
        <w:t>contain metabolically active organelles such as mitochondria, competing for cytosolic space and resources, and the nature of the relevant cellular constraints remain to be determined for such cells. Here, we present a comprehensive metabolic model of the y</w:t>
      </w:r>
      <w:r>
        <w:t>east cell, based on its full metabolic reaction network extended with protein synthesis and degradation reactions. The model predicts metabolic fluxes and corresponding protein expression by constraining compartment-specific protein pools and maximising gr</w:t>
      </w:r>
      <w:r>
        <w:t>owth rate. Comparing model predictions with quantitative experimental data suggests that under glucose limitation, a mitochondrial constraint limits growth at the onset of ethanol formation-known as the Crabtree effect. Under sugar excess, however, a const</w:t>
      </w:r>
      <w:r>
        <w:t>raint on total cytosolic volume dictates overflow metabolism. Our comprehensive model thus identifies condition-dependent and compartment-specific constraints that can explain metabolic strategies and protein expression profiles from growth rate optimisati</w:t>
      </w:r>
      <w:r>
        <w:t xml:space="preserve">on, providing a framework to understand metabolic adaptation in eukaryal cells. </w:t>
      </w:r>
    </w:p>
    <w:p w14:paraId="260A433D" w14:textId="77777777" w:rsidR="00936986" w:rsidRDefault="002136B6">
      <w:pPr>
        <w:pStyle w:val="Heading3"/>
      </w:pPr>
      <w:r>
        <w:t>23) PIPENN: Protein Interface Prediction from sequence with an Ensemble of Neural Nets</w:t>
      </w:r>
    </w:p>
    <w:p w14:paraId="72C2511A" w14:textId="77777777" w:rsidR="00936986" w:rsidRPr="002136B6" w:rsidRDefault="002136B6">
      <w:pPr>
        <w:pStyle w:val="ListBullet"/>
        <w:rPr>
          <w:lang w:val="nl-NL"/>
        </w:rPr>
      </w:pPr>
      <w:r w:rsidRPr="002136B6">
        <w:rPr>
          <w:lang w:val="nl-NL"/>
        </w:rPr>
        <w:t>Stringer, B., de Ferrante, H., Abeln, S., Heringa, J., Feenstra, K. A., Haydarlou, R.</w:t>
      </w:r>
    </w:p>
    <w:p w14:paraId="23AE3966" w14:textId="77777777" w:rsidR="00936986" w:rsidRDefault="002136B6">
      <w:pPr>
        <w:pStyle w:val="ListBullet"/>
      </w:pPr>
      <w:r>
        <w:t>Bioinformatics, AIMMS, Integrative Bioinformatics, Computer Science, IBIVU - Center for Integrative Bioinformatics</w:t>
      </w:r>
    </w:p>
    <w:p w14:paraId="6DDCC7B5" w14:textId="77777777" w:rsidR="00936986" w:rsidRDefault="002136B6">
      <w:pPr>
        <w:pStyle w:val="ListBullet"/>
      </w:pPr>
      <w:r>
        <w:t>Bioinformatics (Oxford, England)</w:t>
      </w:r>
    </w:p>
    <w:p w14:paraId="49E659CC" w14:textId="77777777" w:rsidR="00936986" w:rsidRDefault="002136B6">
      <w:pPr>
        <w:pStyle w:val="ListBullet"/>
      </w:pPr>
      <w:r>
        <w:lastRenderedPageBreak/>
        <w:t>https://doi.org/10.1101/2021.09.03.45883210.1093/bioinformatics/btac071</w:t>
      </w:r>
    </w:p>
    <w:p w14:paraId="250FC871" w14:textId="77777777" w:rsidR="00936986" w:rsidRDefault="002136B6">
      <w:pPr>
        <w:pStyle w:val="ListBullet"/>
      </w:pPr>
      <w:r>
        <w:t>Corresponding author: None</w:t>
      </w:r>
    </w:p>
    <w:p w14:paraId="69896F04" w14:textId="77777777" w:rsidR="00936986" w:rsidRDefault="002136B6">
      <w:pPr>
        <w:pStyle w:val="ListBullet"/>
      </w:pPr>
      <w:r>
        <w:t>Published</w:t>
      </w:r>
      <w:r>
        <w:t xml:space="preserve"> 12 Feb 2022 (early online None)</w:t>
      </w:r>
    </w:p>
    <w:p w14:paraId="5874CFBB" w14:textId="77777777" w:rsidR="00936986" w:rsidRDefault="002136B6">
      <w:pPr>
        <w:pStyle w:val="ListBullet"/>
      </w:pPr>
      <w:r>
        <w:t>Processed: 2022-2</w:t>
      </w:r>
    </w:p>
    <w:p w14:paraId="14522CA0" w14:textId="77777777" w:rsidR="00936986" w:rsidRDefault="002136B6">
      <w:r>
        <w:t>MOTIVATION: The interactions between proteins and other molecules are essential to many biological and cellular processes. Experimental identification of interface residues is a time-consuming, costly, and</w:t>
      </w:r>
      <w:r>
        <w:t xml:space="preserve"> challenging task, while protein sequence data is ubiquitous. Consequently, many computational and machine learning approaches have been developed over the years to predict such interface residues from sequence. However, the effectiveness of different deep</w:t>
      </w:r>
      <w:r>
        <w:t xml:space="preserve"> learning architectures and learning strategies for protein-protein, protein-nucleotide, and protein-small molecule interface prediction, has not yet been investigated in great detail. Therefore, we here explore the prediction of protein interface residues</w:t>
      </w:r>
      <w:r>
        <w:t xml:space="preserve"> using six deep learning architectures and various learning strategies with sequence-derived input features.RESULTS: We constructed a large data set dubbed BioDL, comprising protein-protein interactions from the PDB, and DNA/RNA and small molecule interact</w:t>
      </w:r>
      <w:r>
        <w:t>ions from the BioLip database. We also constructed six DL architectures, and evaluated them on the BioDL benchmarks. This shows that no single architecture performs best on all instances. An ensemble architecture, which combines all six architectures, does</w:t>
      </w:r>
      <w:r>
        <w:t xml:space="preserve"> consistently achieve peak prediction accuracy. We confirmed these results on the published benchmark set by Zhang &amp; Kurgan (ZK448), and on our own existing curated homo- and heteromeric protein interaction data set. Our PIPENN sequence-based ensemble pred</w:t>
      </w:r>
      <w:r>
        <w:t>ictor outperforms current state-of-the-art sequence-based protein interface predictors on ZK448 on all interaction types, achieving an AUC-ROC of 0.718 for protein-protein, 0.823 for protein-nucleotide and 0.842 for protein-small molecule.AVAILABILITY: Sou</w:t>
      </w:r>
      <w:r>
        <w:t xml:space="preserve">rce code and data sets at https://github.com/ibivu/pipenn/. </w:t>
      </w:r>
    </w:p>
    <w:p w14:paraId="2F86BAFC" w14:textId="77777777" w:rsidR="00936986" w:rsidRDefault="002136B6">
      <w:pPr>
        <w:pStyle w:val="Heading3"/>
      </w:pPr>
      <w:r>
        <w:t>24) Using comprehensive lipid profiling to study effects of PFHx</w:t>
      </w:r>
    </w:p>
    <w:p w14:paraId="5EC02C9D" w14:textId="77777777" w:rsidR="00936986" w:rsidRDefault="002136B6">
      <w:pPr>
        <w:pStyle w:val="ListBullet"/>
      </w:pPr>
      <w:r>
        <w:t>Xu, M., Legradi, J., Leonards, P.</w:t>
      </w:r>
    </w:p>
    <w:p w14:paraId="0D7C5F6D" w14:textId="77777777" w:rsidR="00936986" w:rsidRDefault="002136B6">
      <w:pPr>
        <w:pStyle w:val="ListBullet"/>
      </w:pPr>
      <w:r>
        <w:t>E&amp;H: Environmental Bioanalytical Chemistry, E&amp;H: Environmental Health and Toxicology, AIMMS</w:t>
      </w:r>
    </w:p>
    <w:p w14:paraId="77658AA6" w14:textId="77777777" w:rsidR="00936986" w:rsidRDefault="002136B6">
      <w:pPr>
        <w:pStyle w:val="ListBullet"/>
      </w:pPr>
      <w:r>
        <w:t>Scie</w:t>
      </w:r>
      <w:r>
        <w:t>nce of the Total Environment</w:t>
      </w:r>
    </w:p>
    <w:p w14:paraId="0D84E909" w14:textId="77777777" w:rsidR="00936986" w:rsidRDefault="002136B6">
      <w:pPr>
        <w:pStyle w:val="ListBullet"/>
      </w:pPr>
      <w:r>
        <w:t>https://doi.org/10.1016/j.scitotenv.2021.151739</w:t>
      </w:r>
    </w:p>
    <w:p w14:paraId="3EECB2F2" w14:textId="77777777" w:rsidR="00936986" w:rsidRDefault="002136B6">
      <w:pPr>
        <w:pStyle w:val="ListBullet"/>
      </w:pPr>
      <w:r>
        <w:t>Corresponding author: Xu, M.</w:t>
      </w:r>
    </w:p>
    <w:p w14:paraId="1999BBFE" w14:textId="77777777" w:rsidR="00936986" w:rsidRDefault="002136B6">
      <w:pPr>
        <w:pStyle w:val="ListBullet"/>
      </w:pPr>
      <w:r>
        <w:t>Published 20 Feb 2022 (early online None)</w:t>
      </w:r>
    </w:p>
    <w:p w14:paraId="39CDBD17" w14:textId="77777777" w:rsidR="00936986" w:rsidRDefault="002136B6">
      <w:pPr>
        <w:pStyle w:val="ListBullet"/>
      </w:pPr>
      <w:r>
        <w:t>Processed: 2022-2</w:t>
      </w:r>
    </w:p>
    <w:p w14:paraId="24DBEF94" w14:textId="77777777" w:rsidR="00936986" w:rsidRDefault="002136B6">
      <w:r>
        <w:t>S during different stages of early zebrafish developmentPFHxS (Perfluorohexane sulfonic ac</w:t>
      </w:r>
      <w:r>
        <w:t>id) is one of the short-chain perfluoroalkyl substances (PFASs) which are widely used in many industrial and consumer applications. However, limited information is available on the molecular mechanism of PFHxS toxicity (e.g. lipid metabolism). This study p</w:t>
      </w:r>
      <w:r>
        <w:t>rovides in-depth information on the lipid regulation of zebrafish embryos with and without PFHxS exposure. Lipid changes throughout zebrafish development (4 to 120 h post fertilization (hpf)) were closely associated with lipid species and lipid composition</w:t>
      </w:r>
      <w:r>
        <w:t xml:space="preserve"> (fatty acyl chains). A </w:t>
      </w:r>
      <w:r>
        <w:lastRenderedPageBreak/>
        <w:t xml:space="preserve">comprehensive lipid analysis of four different PFHxS exposures (0, 0.3, 1, 3, and 10 μM) at different zebrafish developmental stages (24, 48, 72, and 120 hpf) was performed. Data on exposure concentration, lipids, and developmental </w:t>
      </w:r>
      <w:r>
        <w:t>stage showed that all PFHxS concentrations dysregulated the lipid metabolism and these were developmental-dependent. The pattern of significantly changed lipids revealed that PFHxS caused effects related to oxidative stress, inflammation, and impaired fatt</w:t>
      </w:r>
      <w:r>
        <w:t xml:space="preserve">y acid β-oxidation. Oxidative stress and inflammation caused the remodeling of glycerophospholipid (phosphatidylcholine (PC) and phosphatidylethanolamine (PE)), with increased incorporation of omega-3 PUFA and a decreased incorporation of omega-6 PUFA. </w:t>
      </w:r>
    </w:p>
    <w:p w14:paraId="2482BA8A" w14:textId="77777777" w:rsidR="00936986" w:rsidRDefault="002136B6">
      <w:pPr>
        <w:pStyle w:val="Heading3"/>
      </w:pPr>
      <w:r>
        <w:rPr>
          <w:i/>
        </w:rPr>
        <w:t>25</w:t>
      </w:r>
      <w:r>
        <w:rPr>
          <w:i/>
        </w:rPr>
        <w:t>) Assessment of oil refinery wastewater and effluent integrating bioassays, mechanistic modelling and bioavailability evaluation</w:t>
      </w:r>
    </w:p>
    <w:p w14:paraId="463AF555" w14:textId="77777777" w:rsidR="00936986" w:rsidRDefault="002136B6">
      <w:pPr>
        <w:pStyle w:val="ListBullet"/>
      </w:pPr>
      <w:r>
        <w:t>Whale, G. F., Hjort, M., Di Paolo, C., Redman, A. D., Postma, J. F., Legradi, J., Leonards, P. E.</w:t>
      </w:r>
    </w:p>
    <w:p w14:paraId="5EE2965E" w14:textId="77777777" w:rsidR="00936986" w:rsidRDefault="002136B6">
      <w:pPr>
        <w:pStyle w:val="ListBullet"/>
      </w:pPr>
      <w:r>
        <w:t xml:space="preserve">E&amp;H: </w:t>
      </w:r>
      <w:r>
        <w:t>Environmental Health and Toxicology, AIMMS, E&amp;H: Environmental Bioanalytical Chemistry, Whale Environmental Consultancy Limited, Concawe, Royal Dutch Shell PLC, ExxonMobil Petroleum and Chemical, Ecofide</w:t>
      </w:r>
    </w:p>
    <w:p w14:paraId="35AF81D8" w14:textId="77777777" w:rsidR="00936986" w:rsidRDefault="002136B6">
      <w:pPr>
        <w:pStyle w:val="ListBullet"/>
      </w:pPr>
      <w:r>
        <w:t>Chemosphere</w:t>
      </w:r>
    </w:p>
    <w:p w14:paraId="29151250" w14:textId="77777777" w:rsidR="00936986" w:rsidRDefault="002136B6">
      <w:pPr>
        <w:pStyle w:val="ListBullet"/>
      </w:pPr>
      <w:r>
        <w:t>https://doi.org/10.1016/j.chemosphere.20</w:t>
      </w:r>
      <w:r>
        <w:t>21.132146</w:t>
      </w:r>
    </w:p>
    <w:p w14:paraId="286C4E8C" w14:textId="77777777" w:rsidR="00936986" w:rsidRDefault="002136B6">
      <w:pPr>
        <w:pStyle w:val="ListBullet"/>
      </w:pPr>
      <w:r>
        <w:t>Corresponding author: Hjort, M.</w:t>
      </w:r>
    </w:p>
    <w:p w14:paraId="5E0E0F46" w14:textId="77777777" w:rsidR="00936986" w:rsidRDefault="002136B6">
      <w:pPr>
        <w:pStyle w:val="ListBullet"/>
      </w:pPr>
      <w:r>
        <w:t>Published Jan 2022 (early online None)</w:t>
      </w:r>
    </w:p>
    <w:p w14:paraId="5C6CD608" w14:textId="77777777" w:rsidR="00936986" w:rsidRDefault="002136B6">
      <w:pPr>
        <w:pStyle w:val="ListBullet"/>
      </w:pPr>
      <w:r>
        <w:t>Processed: 2022-1</w:t>
      </w:r>
    </w:p>
    <w:p w14:paraId="565BD66F" w14:textId="77777777" w:rsidR="00936986" w:rsidRDefault="002136B6">
      <w:r>
        <w:t>Water is used in petroleum oil refineries in significant volumes for cooling, steam generation and processing of raw materials. Effective water management is</w:t>
      </w:r>
      <w:r>
        <w:t xml:space="preserve"> required at refineries to ensure their eff ... </w:t>
      </w:r>
    </w:p>
    <w:p w14:paraId="1C3E3EE3" w14:textId="77777777" w:rsidR="00936986" w:rsidRDefault="002136B6">
      <w:pPr>
        <w:pStyle w:val="Heading3"/>
      </w:pPr>
      <w:r>
        <w:rPr>
          <w:i/>
        </w:rPr>
        <w:t>26) Hipsc-derived hepatocyte-like cells can be used as a model for transcriptomics-based study of chemical toxicity</w:t>
      </w:r>
    </w:p>
    <w:p w14:paraId="1AFF46C9" w14:textId="77777777" w:rsidR="00936986" w:rsidRPr="002136B6" w:rsidRDefault="002136B6">
      <w:pPr>
        <w:pStyle w:val="ListBullet"/>
        <w:rPr>
          <w:lang w:val="nl-NL"/>
        </w:rPr>
      </w:pPr>
      <w:r w:rsidRPr="002136B6">
        <w:rPr>
          <w:lang w:val="nl-NL"/>
        </w:rPr>
        <w:t>Ghosh, S., De Smedt, J., Tricot, T., Proença, S., Kumar, M., Nami, F., Vanwelden, T., Vidal</w:t>
      </w:r>
      <w:r w:rsidRPr="002136B6">
        <w:rPr>
          <w:lang w:val="nl-NL"/>
        </w:rPr>
        <w:t>, N., Jennings, P., Kramer, N. I., Verfaillie, C. M.</w:t>
      </w:r>
    </w:p>
    <w:p w14:paraId="4E4B48F6" w14:textId="77777777" w:rsidR="00936986" w:rsidRDefault="002136B6">
      <w:pPr>
        <w:pStyle w:val="ListBullet"/>
      </w:pPr>
      <w:r>
        <w:t>Molecular and Computational Toxicology, AIMMS, KU Leuven, Utrecht University, reMYND NV, Wageningen University &amp; Research</w:t>
      </w:r>
    </w:p>
    <w:p w14:paraId="393AEB32" w14:textId="77777777" w:rsidR="00936986" w:rsidRDefault="002136B6">
      <w:pPr>
        <w:pStyle w:val="ListBullet"/>
      </w:pPr>
      <w:r>
        <w:t>Toxics</w:t>
      </w:r>
    </w:p>
    <w:p w14:paraId="245DB13C" w14:textId="77777777" w:rsidR="00936986" w:rsidRDefault="002136B6">
      <w:pPr>
        <w:pStyle w:val="ListBullet"/>
      </w:pPr>
      <w:r>
        <w:t>https://doi.org/10.3390/toxics10010001</w:t>
      </w:r>
    </w:p>
    <w:p w14:paraId="39651CFE" w14:textId="77777777" w:rsidR="00936986" w:rsidRDefault="002136B6">
      <w:pPr>
        <w:pStyle w:val="ListBullet"/>
      </w:pPr>
      <w:r>
        <w:t>Corresponding author: Ghosh, S.</w:t>
      </w:r>
    </w:p>
    <w:p w14:paraId="77162013" w14:textId="77777777" w:rsidR="00936986" w:rsidRDefault="002136B6">
      <w:pPr>
        <w:pStyle w:val="ListBullet"/>
      </w:pPr>
      <w:r>
        <w:t>Published Jan 2022 (early online 21 Dec 2021)</w:t>
      </w:r>
    </w:p>
    <w:p w14:paraId="26D97702" w14:textId="77777777" w:rsidR="00936986" w:rsidRDefault="002136B6">
      <w:pPr>
        <w:pStyle w:val="ListBullet"/>
      </w:pPr>
      <w:r>
        <w:t>Processed: 2022-1</w:t>
      </w:r>
    </w:p>
    <w:p w14:paraId="7FB7562C" w14:textId="77777777" w:rsidR="00936986" w:rsidRDefault="002136B6">
      <w:r>
        <w:t>Traditional toxicity risk assessment approaches have until recently focussed mainly on histochemical readouts for cell de</w:t>
      </w:r>
      <w:r>
        <w:t xml:space="preserve">ath. Modern toxicology methods attempt to deduce a mechanistic understanding of ... </w:t>
      </w:r>
    </w:p>
    <w:p w14:paraId="3771DD02" w14:textId="77777777" w:rsidR="00936986" w:rsidRDefault="002136B6">
      <w:pPr>
        <w:pStyle w:val="Heading3"/>
      </w:pPr>
      <w:r>
        <w:rPr>
          <w:i/>
        </w:rPr>
        <w:lastRenderedPageBreak/>
        <w:t>27) Omega-6 and omega-3 oxylipins as potential markers of cardiometabolic risk in young adults</w:t>
      </w:r>
    </w:p>
    <w:p w14:paraId="2638557E" w14:textId="77777777" w:rsidR="00936986" w:rsidRDefault="002136B6">
      <w:pPr>
        <w:pStyle w:val="ListBullet"/>
      </w:pPr>
      <w:r>
        <w:t xml:space="preserve">Jurado-Fasoli, L., Di, X., Kohler, I., Osuna-Prieto, F. J., Hankemeier, T., </w:t>
      </w:r>
      <w:r>
        <w:t>Krekels, E., Harms, A. C., Yang, W., Garcia-Lario, J. V., Fernández-Veledo, S., Ruiz, J. R., Rensen, P. C., Martinez-Tellez, B.</w:t>
      </w:r>
    </w:p>
    <w:p w14:paraId="5A348C5A" w14:textId="77777777" w:rsidR="00936986" w:rsidRDefault="002136B6">
      <w:pPr>
        <w:pStyle w:val="ListBullet"/>
      </w:pPr>
      <w:r>
        <w:t>BioAnalytical Chemistry, AIMMS, University of Granada, Leiden University, Research and Development of Functional Food Centre (CI</w:t>
      </w:r>
      <w:r>
        <w:t>DAF), Hospital Campus de la Salud, Universidad Rovira i Virgili, CIBER - Center for Biomedical Research Network</w:t>
      </w:r>
    </w:p>
    <w:p w14:paraId="2CF940C6" w14:textId="77777777" w:rsidR="00936986" w:rsidRDefault="002136B6">
      <w:pPr>
        <w:pStyle w:val="ListBullet"/>
      </w:pPr>
      <w:r>
        <w:t>Obesity</w:t>
      </w:r>
    </w:p>
    <w:p w14:paraId="7136AADE" w14:textId="77777777" w:rsidR="00936986" w:rsidRDefault="002136B6">
      <w:pPr>
        <w:pStyle w:val="ListBullet"/>
      </w:pPr>
      <w:r>
        <w:t>https://doi.org/10.1002/oby.23282</w:t>
      </w:r>
    </w:p>
    <w:p w14:paraId="5945F6AA" w14:textId="77777777" w:rsidR="00936986" w:rsidRDefault="002136B6">
      <w:pPr>
        <w:pStyle w:val="ListBullet"/>
      </w:pPr>
      <w:r>
        <w:t>Corresponding author: Ruiz, J. R.</w:t>
      </w:r>
    </w:p>
    <w:p w14:paraId="6C14C6E0" w14:textId="77777777" w:rsidR="00936986" w:rsidRDefault="002136B6">
      <w:pPr>
        <w:pStyle w:val="ListBullet"/>
      </w:pPr>
      <w:r>
        <w:t>Published Jan 2022 (early online 12 Dec 2021)</w:t>
      </w:r>
    </w:p>
    <w:p w14:paraId="741E6786" w14:textId="77777777" w:rsidR="00936986" w:rsidRDefault="002136B6">
      <w:pPr>
        <w:pStyle w:val="ListBullet"/>
      </w:pPr>
      <w:r>
        <w:t>Processed: 2022-1</w:t>
      </w:r>
    </w:p>
    <w:p w14:paraId="4D766C1A" w14:textId="77777777" w:rsidR="00936986" w:rsidRDefault="002136B6">
      <w:r>
        <w:t>Obje</w:t>
      </w:r>
      <w:r>
        <w:t xml:space="preserve">ctive: Omega-6 and omega-3 oxylipins are known to play a role in inflammation and cardiometabolic diseases in preclinical models. The associations between plasma levels of omega-6 and omega-3 poly ... </w:t>
      </w:r>
    </w:p>
    <w:p w14:paraId="531DF4FD" w14:textId="77777777" w:rsidR="00936986" w:rsidRDefault="002136B6">
      <w:pPr>
        <w:pStyle w:val="Heading3"/>
      </w:pPr>
      <w:r>
        <w:rPr>
          <w:i/>
        </w:rPr>
        <w:t xml:space="preserve">28) Automated assessment of redox potentials for dyes </w:t>
      </w:r>
      <w:r>
        <w:rPr>
          <w:i/>
        </w:rPr>
        <w:t>in dye-sensitized photoelectrochemical cells</w:t>
      </w:r>
    </w:p>
    <w:p w14:paraId="3F4C7C0E" w14:textId="77777777" w:rsidR="00936986" w:rsidRPr="002136B6" w:rsidRDefault="002136B6">
      <w:pPr>
        <w:pStyle w:val="ListBullet"/>
        <w:rPr>
          <w:lang w:val="nl-NL"/>
        </w:rPr>
      </w:pPr>
      <w:r w:rsidRPr="002136B6">
        <w:rPr>
          <w:lang w:val="nl-NL"/>
        </w:rPr>
        <w:t>Belić, J., Förster, A., Menzel, J. P., Buda, F., Visscher, L.</w:t>
      </w:r>
    </w:p>
    <w:p w14:paraId="743FFF5F" w14:textId="77777777" w:rsidR="00936986" w:rsidRDefault="002136B6">
      <w:pPr>
        <w:pStyle w:val="ListBullet"/>
      </w:pPr>
      <w:r>
        <w:t>Theoretical Chemistry, AIMMS, Leiden University</w:t>
      </w:r>
    </w:p>
    <w:p w14:paraId="5634DAFE" w14:textId="77777777" w:rsidR="00936986" w:rsidRDefault="002136B6">
      <w:pPr>
        <w:pStyle w:val="ListBullet"/>
      </w:pPr>
      <w:r>
        <w:t>Physical Chemistry Chemical Physics</w:t>
      </w:r>
    </w:p>
    <w:p w14:paraId="44C2294D" w14:textId="77777777" w:rsidR="00936986" w:rsidRDefault="002136B6">
      <w:pPr>
        <w:pStyle w:val="ListBullet"/>
      </w:pPr>
      <w:r>
        <w:t>https://doi.org/10.1039/d1cp04218a</w:t>
      </w:r>
    </w:p>
    <w:p w14:paraId="67B73F72" w14:textId="77777777" w:rsidR="00936986" w:rsidRDefault="002136B6">
      <w:pPr>
        <w:pStyle w:val="ListBullet"/>
      </w:pPr>
      <w:r>
        <w:t>Corresponding author: Visscher</w:t>
      </w:r>
      <w:r>
        <w:t>, L.</w:t>
      </w:r>
    </w:p>
    <w:p w14:paraId="7C09D566" w14:textId="77777777" w:rsidR="00936986" w:rsidRDefault="002136B6">
      <w:pPr>
        <w:pStyle w:val="ListBullet"/>
      </w:pPr>
      <w:r>
        <w:t>Published 7 Jan 2022 (early online 1 Dec 2021)</w:t>
      </w:r>
    </w:p>
    <w:p w14:paraId="204C93DB" w14:textId="77777777" w:rsidR="00936986" w:rsidRDefault="002136B6">
      <w:pPr>
        <w:pStyle w:val="ListBullet"/>
      </w:pPr>
      <w:r>
        <w:t>Processed: 2022-1</w:t>
      </w:r>
    </w:p>
    <w:p w14:paraId="34D0FE51" w14:textId="77777777" w:rsidR="00936986" w:rsidRDefault="002136B6">
      <w:r>
        <w:t>Sustainable solutions for hydrogen production, such as dye-sensitized photoelectrochemical cells (DS-PEC), rely on the fundamental properties of its components whose modularity allows fo</w:t>
      </w:r>
      <w:r>
        <w:t xml:space="preserve">r their separa ... </w:t>
      </w:r>
    </w:p>
    <w:p w14:paraId="50B94763" w14:textId="77777777" w:rsidR="00936986" w:rsidRDefault="002136B6">
      <w:pPr>
        <w:pStyle w:val="Heading3"/>
      </w:pPr>
      <w:r>
        <w:rPr>
          <w:i/>
        </w:rPr>
        <w:t>29) Organophosphate ester metabolites in human breast milk determined by online solid phase extraction coupled to high pressure liquid chromatography tandem mass spectrometry</w:t>
      </w:r>
    </w:p>
    <w:p w14:paraId="6EF47242" w14:textId="77777777" w:rsidR="00936986" w:rsidRPr="002136B6" w:rsidRDefault="002136B6">
      <w:pPr>
        <w:pStyle w:val="ListBullet"/>
        <w:rPr>
          <w:lang w:val="nl-NL"/>
        </w:rPr>
      </w:pPr>
      <w:r w:rsidRPr="002136B6">
        <w:rPr>
          <w:lang w:val="nl-NL"/>
        </w:rPr>
        <w:t>Chen, M., Koekkoek, J., Lamoree, M.</w:t>
      </w:r>
    </w:p>
    <w:p w14:paraId="32D05141" w14:textId="77777777" w:rsidR="00936986" w:rsidRDefault="002136B6">
      <w:pPr>
        <w:pStyle w:val="ListBullet"/>
      </w:pPr>
      <w:r>
        <w:t>E&amp;H: Environmental Chemis</w:t>
      </w:r>
      <w:r>
        <w:t>try and Toxicology, AIMMS, Vrije Universiteit Amsterdam, Sichuan University</w:t>
      </w:r>
    </w:p>
    <w:p w14:paraId="7CC9E714" w14:textId="77777777" w:rsidR="00936986" w:rsidRDefault="002136B6">
      <w:pPr>
        <w:pStyle w:val="ListBullet"/>
      </w:pPr>
      <w:r>
        <w:t>Environment International</w:t>
      </w:r>
    </w:p>
    <w:p w14:paraId="68B2DA82" w14:textId="77777777" w:rsidR="00936986" w:rsidRDefault="002136B6">
      <w:pPr>
        <w:pStyle w:val="ListBullet"/>
      </w:pPr>
      <w:r>
        <w:t>https://doi.org/10.1016/j.envint.2021.107049</w:t>
      </w:r>
    </w:p>
    <w:p w14:paraId="30758AF7" w14:textId="77777777" w:rsidR="00936986" w:rsidRDefault="002136B6">
      <w:pPr>
        <w:pStyle w:val="ListBullet"/>
      </w:pPr>
      <w:r>
        <w:t>Corresponding author: Lamoree, M.</w:t>
      </w:r>
    </w:p>
    <w:p w14:paraId="2860E220" w14:textId="77777777" w:rsidR="00936986" w:rsidRDefault="002136B6">
      <w:pPr>
        <w:pStyle w:val="ListBullet"/>
      </w:pPr>
      <w:r>
        <w:t>Published 15 Jan 2022 (early online 22 Dec 2021)</w:t>
      </w:r>
    </w:p>
    <w:p w14:paraId="27CFA88A" w14:textId="77777777" w:rsidR="00936986" w:rsidRDefault="002136B6">
      <w:pPr>
        <w:pStyle w:val="ListBullet"/>
      </w:pPr>
      <w:r>
        <w:t>Processed: 2022-1</w:t>
      </w:r>
    </w:p>
    <w:p w14:paraId="64817179" w14:textId="77777777" w:rsidR="00936986" w:rsidRDefault="002136B6">
      <w:r>
        <w:lastRenderedPageBreak/>
        <w:t xml:space="preserve">The </w:t>
      </w:r>
      <w:r>
        <w:t xml:space="preserve">analysis of metabolites of organophosphate esters (OPEs) in human breast milk is essential to evaluate OPE and OPE metabolite exposure of newborns. In the current study, an analytical method which ... </w:t>
      </w:r>
    </w:p>
    <w:p w14:paraId="54EB29C3" w14:textId="77777777" w:rsidR="00936986" w:rsidRDefault="002136B6">
      <w:pPr>
        <w:pStyle w:val="Heading3"/>
      </w:pPr>
      <w:r>
        <w:rPr>
          <w:i/>
        </w:rPr>
        <w:t>30) Taxon-selective venom variation in adult and neona</w:t>
      </w:r>
      <w:r>
        <w:rPr>
          <w:i/>
        </w:rPr>
        <w:t>te Daboia russelii (Russell's Viper), and antivenom efficacy</w:t>
      </w:r>
    </w:p>
    <w:p w14:paraId="5CAE12E0" w14:textId="77777777" w:rsidR="00936986" w:rsidRDefault="002136B6">
      <w:pPr>
        <w:pStyle w:val="ListBullet"/>
      </w:pPr>
      <w:r>
        <w:t>Zdenek, C. N., Chowdhury, A., Haw, G. Y., Violette, A., Fourmy, R., Christ, T., Vonk, F. J., Fry, B. G.</w:t>
      </w:r>
    </w:p>
    <w:p w14:paraId="1D1710F1" w14:textId="77777777" w:rsidR="00936986" w:rsidRDefault="002136B6">
      <w:pPr>
        <w:pStyle w:val="ListBullet"/>
      </w:pPr>
      <w:r>
        <w:t>Chemistry and Pharmaceutical Sciences, AIMMS, University of Queensland, Alphabiotoxine Labo</w:t>
      </w:r>
      <w:r>
        <w:t>ratory sprl</w:t>
      </w:r>
    </w:p>
    <w:p w14:paraId="18F1A0CE" w14:textId="77777777" w:rsidR="00936986" w:rsidRDefault="002136B6">
      <w:pPr>
        <w:pStyle w:val="ListBullet"/>
      </w:pPr>
      <w:r>
        <w:t>Toxicon</w:t>
      </w:r>
    </w:p>
    <w:p w14:paraId="08B2BB9B" w14:textId="77777777" w:rsidR="00936986" w:rsidRDefault="002136B6">
      <w:pPr>
        <w:pStyle w:val="ListBullet"/>
      </w:pPr>
      <w:r>
        <w:t>https://doi.org/10.1016/j.toxicon.2021.11.004</w:t>
      </w:r>
    </w:p>
    <w:p w14:paraId="4BD3E8B3" w14:textId="77777777" w:rsidR="00936986" w:rsidRDefault="002136B6">
      <w:pPr>
        <w:pStyle w:val="ListBullet"/>
      </w:pPr>
      <w:r>
        <w:t>Corresponding author: Fry, B. G.</w:t>
      </w:r>
    </w:p>
    <w:p w14:paraId="1B92E822" w14:textId="77777777" w:rsidR="00936986" w:rsidRDefault="002136B6">
      <w:pPr>
        <w:pStyle w:val="ListBullet"/>
      </w:pPr>
      <w:r>
        <w:t>Published 15 Jan 2022 (early online 15 Jan 2022)</w:t>
      </w:r>
    </w:p>
    <w:p w14:paraId="6DE0104E" w14:textId="77777777" w:rsidR="00936986" w:rsidRDefault="002136B6">
      <w:pPr>
        <w:pStyle w:val="ListBullet"/>
      </w:pPr>
      <w:r>
        <w:t>Processed: 2022-1</w:t>
      </w:r>
    </w:p>
    <w:p w14:paraId="47DE63C4" w14:textId="77777777" w:rsidR="00936986" w:rsidRDefault="002136B6">
      <w:r>
        <w:t xml:space="preserve">Major variations in venom composition can occur between juvenile and adult </w:t>
      </w:r>
      <w:r>
        <w:t xml:space="preserve">venomous snakes. However, due to logistical constraints, antivenoms are produced using adult venoms in immunising mixtures, p ... </w:t>
      </w:r>
    </w:p>
    <w:sectPr w:rsidR="0093698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136B6"/>
    <w:rsid w:val="0029639D"/>
    <w:rsid w:val="00326F90"/>
    <w:rsid w:val="00936986"/>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7C76515"/>
  <w14:defaultImageDpi w14:val="300"/>
  <w15:docId w15:val="{D317914C-06F1-4556-B1B7-E1C203EF0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19</Pages>
  <Words>7612</Words>
  <Characters>43390</Characters>
  <Application>Microsoft Office Word</Application>
  <DocSecurity>0</DocSecurity>
  <Lines>361</Lines>
  <Paragraphs>101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50901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Brett Olivier</cp:lastModifiedBy>
  <cp:revision>2</cp:revision>
  <dcterms:created xsi:type="dcterms:W3CDTF">2013-12-23T23:15:00Z</dcterms:created>
  <dcterms:modified xsi:type="dcterms:W3CDTF">2022-02-23T15:10:00Z</dcterms:modified>
  <cp:category/>
</cp:coreProperties>
</file>