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2021-01-11</w:t>
      </w:r>
    </w:p>
    <w:p>
      <w:pPr>
        <w:pStyle w:val="Heading3"/>
      </w:pPr>
      <w:r>
        <w:t>New papers: 2021-0/1</w:t>
      </w:r>
    </w:p>
    <w:p>
      <w:r>
        <w:t xml:space="preserve">Espín, S., Andevski, J., Duke, G., Eulaers, I., Gómez-Ramírez, P., Hallgrimsson, G. T., Helander, B., Herzke, D., Jaspers, V. L., Krone, O., Lourenço, R., María-Mojica, P., Martínez-López, E., Mateo, R., Movalli, P., Sánchez-Virosta, P., Shore, R. F., Sonne, C., van den Brink, N. W., van Hattum, B., Vrezec, A., Wernham, C., García-Fernández, A. J. </w:t>
      </w:r>
      <w:r>
        <w:rPr>
          <w:b/>
        </w:rPr>
        <w:t xml:space="preserve">A schematic sampling protocol for contaminant monitoring in raptors </w:t>
      </w:r>
      <w:r>
        <w:t>(Ambio, Jan 2021)[https://doi.org/10.1007/s13280-020-01341-9]</w:t>
      </w:r>
    </w:p>
    <w:p>
      <w:r>
        <w:t xml:space="preserve">Vinggaard, A. M., Bonefeld-Jørgensen, E. C., Jensen, T. K., Fernandez, M. F., Rosenmai, A. K., Taxvig, C., Rodriguez-Carrillo, A., Wielsøe, M., Long, M., Olea, N., Antignac, J. P., Hamers, T., Lamoree, M. </w:t>
      </w:r>
      <w:r>
        <w:rPr>
          <w:b/>
        </w:rPr>
        <w:t xml:space="preserve">Receptor-based in vitro activities to assess human exposure to chemical mixtures and related health impacts </w:t>
      </w:r>
      <w:r>
        <w:t>(Environment International, Jan 2021)[https://doi.org/10.1016/j.envint.2020.106191]</w:t>
      </w:r>
    </w:p>
    <w:p>
      <w:r>
        <w:t xml:space="preserve">Ventouri, I. K., Astefanei, A., Kaal, E. R., Haselberg, R., Somsen, G. W., Schoenmakers, P. J. </w:t>
      </w:r>
      <w:r>
        <w:rPr>
          <w:b/>
        </w:rPr>
        <w:t xml:space="preserve">Asymmetrical flow field-flow fractionation to probe the dynamic association equilibria of β-D-galactosidase </w:t>
      </w:r>
      <w:r>
        <w:t>(Journal of Chromatography A, 4 Jan 2021)[https://doi.org/10.1016/j.chroma.2020.461719]</w:t>
      </w:r>
    </w:p>
    <w:p>
      <w:r>
        <w:t xml:space="preserve">Liu, R., Kool, J., Jian, J., Wang, J., Zhao, X., Jiang, Z., Zhang, T. </w:t>
      </w:r>
      <w:r>
        <w:rPr>
          <w:b/>
        </w:rPr>
        <w:t xml:space="preserve">Rapid Screening α-Glucosidase Inhibitors from Natural Products by At-Line Nanofractionation with Parallel Mass Spectrometry and Bioactivity Assessment </w:t>
      </w:r>
      <w:r>
        <w:t>(Journal of Chromatography A, 4 Jan 2021)[https://doi.org/10.1016/j.chroma.2020.461740]</w:t>
      </w:r>
    </w:p>
    <w:p>
      <w:r>
        <w:t xml:space="preserve">Bos, T. S., Niezen, L. E., den Uijl, M. J., Molenaar, S. R., Lege, S., Schoenmakers, P. J., Somsen, G. W., Pirok, B. W. </w:t>
      </w:r>
      <w:r>
        <w:rPr>
          <w:b/>
        </w:rPr>
        <w:t xml:space="preserve">Reducing the influence of geometry-induced gradient deformation in liquid chromatographic retention modelling </w:t>
      </w:r>
      <w:r>
        <w:t>(Journal of Chromatography A, 4 Jan 2021)[https://doi.org/10.1016/j.chroma.2020.461714]</w:t>
      </w:r>
    </w:p>
    <w:p>
      <w:r>
        <w:t xml:space="preserve">Chen, H., Loukides, G., Pissis, S. P., Chan, H. </w:t>
      </w:r>
      <w:r>
        <w:rPr>
          <w:b/>
        </w:rPr>
        <w:t xml:space="preserve">Influence maximization in the presence of vulnerable nodes: A ratio perspective </w:t>
      </w:r>
      <w:r>
        <w:t>(Theoretical Computer Science, 8 Jan 2021)[https://doi.org/10.1016/j.tcs.2020.11.020]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