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2021-02-22</w:t>
      </w:r>
    </w:p>
    <w:p>
      <w:pPr>
        <w:pStyle w:val="Heading3"/>
      </w:pPr>
      <w:r>
        <w:t>New papers: 2021-1/2</w:t>
      </w:r>
    </w:p>
    <w:p>
      <w:r>
        <w:t xml:space="preserve">de Koster, N., Clark, C. P., Kohler, I. </w:t>
      </w:r>
      <w:r>
        <w:rPr>
          <w:b/>
        </w:rPr>
        <w:t xml:space="preserve">Past, present, and future developments in enantioselective analysis using capillary electromigration techniques </w:t>
      </w:r>
      <w:r>
        <w:t>(Electrophoresis, Jan 2021)[https://doi.org/10.1002/elps.202000151]</w:t>
      </w:r>
    </w:p>
    <w:p>
      <w:r>
        <w:t xml:space="preserve">Smit, M. J., Schlecht-Louf, G., Neves, M., Van Den Bor, J., Penela, P., Siderius, M., Bachelerie, F., Mayor, F. </w:t>
      </w:r>
      <w:r>
        <w:rPr>
          <w:b/>
        </w:rPr>
        <w:t xml:space="preserve">The CXCL12/CXCR4/ACKR3 Axis in the Tumor Microenvironment: Signaling, Crosstalk, and Therapeutic Targeting </w:t>
      </w:r>
      <w:r>
        <w:t>(Annual Review of Pharmacology and Toxicology, 6 Jan 2021)[https://doi.org/10.1146/annurev-pharmtox-010919-023340]</w:t>
      </w:r>
    </w:p>
    <w:p>
      <w:r>
        <w:t xml:space="preserve">Delp, J., Cediel-Ulloa, A., Suciu, I., Kranaster, P., van Vugt-Lussenburg, B. M., Munic Kos, V., van der Stel, W., Carta, G., Bennekou, S. H., Jennings, P., van de Water, B., Forsby, A., Leist, M. </w:t>
      </w:r>
      <w:r>
        <w:rPr>
          <w:b/>
        </w:rPr>
        <w:t xml:space="preserve">Neurotoxicity and underlying cellular changes of 21 mitochondrial respiratory chain inhibitors </w:t>
      </w:r>
      <w:r>
        <w:t>(Archives of Toxicology, Feb 2021)[https://doi.org/10.1007/s00204-020-02970-5]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(None, 1 Feb 2021)[https://doi.org/10.1016/j.toxlet.2021.01.021]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