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AIMMS publication report for: 2021-03-08</w:t>
      </w:r>
    </w:p>
    <w:p>
      <w:pPr>
        <w:pStyle w:val="Heading3"/>
      </w:pPr>
      <w:r>
        <w:t>New papers: 2021-2/3</w:t>
      </w:r>
    </w:p>
    <w:p>
      <w:r>
        <w:t xml:space="preserve">Capinha, L., Jennings, P., Commandeur, J. N. </w:t>
      </w:r>
      <w:r>
        <w:rPr>
          <w:b/>
        </w:rPr>
        <w:t xml:space="preserve">Bioactivation of trichloroethylene to three regioisomeric glutathione conjugates by liver fractions and recombinant human glutathione transferases: species differences and implications for human risk assessment </w:t>
      </w:r>
      <w:r>
        <w:t>(Toxicology Letters, 1 Feb 2021)[https://doi.org/10.1016/j.toxlet.2021.01.021]</w:t>
      </w:r>
    </w:p>
    <w:p>
      <w:r>
        <w:t xml:space="preserve">van’t Padje, A., Oyarte Galvez, L., Klein, M., Hink, M. A., Postma, M., Shimizu, T., Kiers, E. T. </w:t>
      </w:r>
      <w:r>
        <w:rPr>
          <w:b/>
        </w:rPr>
        <w:t xml:space="preserve">Temporal tracking of quantum-dot apatite across in vitro mycorrhizal networks shows how host demand can influence fungal nutrient transfer strategies </w:t>
      </w:r>
      <w:r>
        <w:t>(ISME Journal, Feb 2021)[https://doi.org/10.1038/s41396-020-00786-w]</w:t>
      </w:r>
    </w:p>
    <w:p>
      <w:r>
        <w:t xml:space="preserve">van Mourik, L. M., Crum, S., Martinez-Frances, E., van Bavel, B., Leslie, H. A., de Boer, J., Cofino, W. P. </w:t>
      </w:r>
      <w:r>
        <w:rPr>
          <w:b/>
        </w:rPr>
        <w:t xml:space="preserve">Results of WEPAL-QUASIMEME/NORMANs first global interlaboratory study on microplastics reveal urgent need for harmonization </w:t>
      </w:r>
      <w:r>
        <w:t>(Science of the Total Environment, 10 Jun 2021)[https://doi.org/10.1016/j.scitotenv.2021.145071]</w:t>
      </w:r>
    </w:p>
    <w:p>
      <w:r>
        <w:t xml:space="preserve">Alamro, H., Alzamel, M., Iliopoulos, C. S., Pissis, S. P., Watts, S. </w:t>
      </w:r>
      <w:r>
        <w:rPr>
          <w:b/>
        </w:rPr>
        <w:t xml:space="preserve">IUPACpal: efficient identification of inverted repeats in IUPAC-encoded DNA sequences </w:t>
      </w:r>
      <w:r>
        <w:t>(BMC Bioinformatics, Dec 2021)[https://doi.org/10.1186/s12859-021-03983-2]</w:t>
      </w:r>
    </w:p>
    <w:p>
      <w:r>
        <w:t xml:space="preserve">Mojica-Benavides, M., van Niekerk, D. D., Mijalkov, M., Snoep, J. L., Mehlig, B., Volpe, G., Goksör, M., Adiels, C. B. </w:t>
      </w:r>
      <w:r>
        <w:rPr>
          <w:b/>
        </w:rPr>
        <w:t xml:space="preserve">Intercellular communication induces glycolytic synchronization waves between individually oscillating cells </w:t>
      </w:r>
      <w:r>
        <w:t>(Proceedings of the National Academy of Sciences of the United States of America, 9 Feb 2021)[https://doi.org/10.1073/pnas.2010075118]</w:t>
      </w:r>
    </w:p>
    <w:p>
      <w:r>
        <w:t xml:space="preserve">He, C., van Mourik, L., Tang, S., Thai, P., Wang, X., Brandsma, S. H., Leonards, P. E., Thomas, K. V., Mueller, J. F. </w:t>
      </w:r>
      <w:r>
        <w:rPr>
          <w:b/>
        </w:rPr>
        <w:t xml:space="preserve">In vitro biotransformation and evaluation of potential transformation products of chlorinated paraffins by high resolution accurate mass spectrometry </w:t>
      </w:r>
      <w:r>
        <w:t>(Journal of Hazardous Materials, 5 Mar 2021)[https://doi.org/10.1016/j.jhazmat.2020.124245]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