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2021-03-22</w:t>
      </w:r>
    </w:p>
    <w:p>
      <w:pPr>
        <w:pStyle w:val="Heading3"/>
      </w:pPr>
      <w:r>
        <w:t>New papers: 2021-2/3</w:t>
      </w:r>
    </w:p>
    <w:p>
      <w:r>
        <w:t xml:space="preserve">Capinha, L., Jennings, P., Commandeur, J. N. </w:t>
      </w:r>
      <w:r>
        <w:rPr>
          <w:b/>
        </w:rPr>
        <w:t xml:space="preserve">Bioactivation of trichloroethylene to three regioisomeric glutathione conjugates by liver fractions and recombinant human glutathione transferases: species differences and implications for human risk assessment </w:t>
      </w:r>
      <w:r>
        <w:t>(Toxicology Letters, 1 Feb 2021)[https://doi.org/10.1016/j.toxlet.2021.01.021]</w:t>
      </w:r>
    </w:p>
    <w:p>
      <w:r>
        <w:t xml:space="preserve">van Mourik, L. M., Crum, S., Martinez-Frances, E., van Bavel, B., Leslie, H. A., de Boer, J., Cofino, W. P. </w:t>
      </w:r>
      <w:r>
        <w:rPr>
          <w:b/>
        </w:rPr>
        <w:t xml:space="preserve">Results of WEPAL-QUASIMEME/NORMANs first global interlaboratory study on microplastics reveal urgent need for harmonization </w:t>
      </w:r>
      <w:r>
        <w:t>(Science of the Total Environment, 10 Jun 2021)[https://doi.org/10.1016/j.scitotenv.2021.145071]</w:t>
      </w:r>
    </w:p>
    <w:p>
      <w:r>
        <w:t xml:space="preserve">Leslie, H. A., Brandsma, S. H., Barber, J. L., Gabrielsen, G. W., Bersuder, P., Barry, J., Shore, R. F., Walker, L. A., de Boer, J. </w:t>
      </w:r>
      <w:r>
        <w:rPr>
          <w:b/>
        </w:rPr>
        <w:t xml:space="preserve">Decabromodiphenylether trends in the European environment: Bird eggs, sewage sludge and surficial sediments </w:t>
      </w:r>
      <w:r>
        <w:t>(Science of the Total Environment, 20 Jun 2021)[https://doi.org/10.1016/j.scitotenv.2021.145174]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