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2021-06-14</w:t>
      </w:r>
    </w:p>
    <w:p>
      <w:pPr>
        <w:pStyle w:val="Heading3"/>
      </w:pPr>
      <w:r>
        <w:t>New papers: 2021-5/6</w:t>
      </w:r>
    </w:p>
    <w:p>
      <w:r>
        <w:t xml:space="preserve">Hou, Q., Stringer, B., Waury, K., Capel, H., Haydarlou, R., Xue, F., Abeln, S., Heringa, J., Feenstra, K. A. </w:t>
      </w:r>
      <w:r>
        <w:rPr>
          <w:b/>
        </w:rPr>
        <w:t xml:space="preserve">SeRenDIP-CE: Sequence-based Interface Prediction for Conformational Epitopes </w:t>
      </w:r>
      <w:r>
        <w:t>(Bioinformatics (Oxford, England), 11 May 2021)[https://doi.org/10.1101/2020.11.19.390500]</w:t>
      </w:r>
    </w:p>
    <w:p>
      <w:r>
        <w:t xml:space="preserve">Groeneveld, I., Schoemaker, S. E., Somsen, G. W., Ariese, F., Van Bommel, M. R. </w:t>
      </w:r>
      <w:r>
        <w:rPr>
          <w:b/>
        </w:rPr>
        <w:t xml:space="preserve">Characterization of a liquid-core waveguide cell for studying the chemistry of light-induced degradation </w:t>
      </w:r>
      <w:r>
        <w:t>(Analyst, 21 May 2021)[https://doi.org/10.1039/d1an00272d]</w:t>
      </w:r>
    </w:p>
    <w:p>
      <w:r>
        <w:t xml:space="preserve">Daugelaviciene, N., Grigaitis, P., Gasiule, L., Dabkeviciene, D., Neniskyte, U., Sasnauskiene, A. </w:t>
      </w:r>
      <w:r>
        <w:rPr>
          <w:b/>
        </w:rPr>
        <w:t xml:space="preserve">Lysosome-targeted photodynamic treatment induces primary keratinocyte differentiation </w:t>
      </w:r>
      <w:r>
        <w:t>(Journal of Photochemistry and Photobiology B: Biology, May 2021)[https://doi.org/10.1016/j.jphotobiol.2021.112183]</w:t>
      </w:r>
    </w:p>
    <w:p>
      <w:r>
        <w:t xml:space="preserve">van der Niet, S., van Zon, M., de Punder, K., Grootemaat, A., Rutten, S., Moorlag, S. J., Houben, D., van der Sar, A. M., Bitter, W., Brosch, R., Hernandez Pando, R., Pena, M. T., Peters, P. J., Reits, E. A., Mayer-Barber, K. D., van der Wel, N. N.Pages:1-17 </w:t>
      </w:r>
      <w:r>
        <w:rPr>
          <w:b/>
        </w:rPr>
        <w:t xml:space="preserve">IL-1R1-Dependent Signals Improve Control of Cytosolic Virulent Mycobacteria In Vivo </w:t>
      </w:r>
      <w:r>
        <w:t>(mSphere, 5 May 2021)[https://doi.org/10.1128/mSphere.00153-21]</w:t>
      </w:r>
    </w:p>
    <w:p>
      <w:r>
        <w:t xml:space="preserve">Brett, B. E., Koko, B. K., Doumbia, H. O., Koffi, F. K., Assa, S. E., Zahé, K. Y., Faye-Ketté, H., Kati-Coulibaly, S., Kort, R., Sybesma, W., Reid, G., de Weerth, C. </w:t>
      </w:r>
      <w:r>
        <w:rPr>
          <w:b/>
        </w:rPr>
        <w:t xml:space="preserve">Salivary biomarkers of stress and inflammation in first graders in Côte d′Ivoire: Effects of a probiotic food intervention </w:t>
      </w:r>
      <w:r>
        <w:t>(Psychoneuroendocrinology, Jul 2021)[https://doi.org/10.1016/j.psyneuen.2021.105255]</w:t>
      </w:r>
    </w:p>
    <w:p>
      <w:r>
        <w:t xml:space="preserve">Syvertsson, S., Wang, B., Staal, J., Gao, Y., Kort, R., Hamoen, L. W. </w:t>
      </w:r>
      <w:r>
        <w:rPr>
          <w:b/>
        </w:rPr>
        <w:t xml:space="preserve">Different resource allocation in a bacillus subtilis population displaying bimodal motility </w:t>
      </w:r>
      <w:r>
        <w:t>(Journal of Bacteriology, Jun 2021)[https://doi.org/10.1128/JB.00037-21]</w:t>
      </w:r>
    </w:p>
    <w:p>
      <w:r>
        <w:t xml:space="preserve">Wellens, S., Dehouck, L., Chandrasekaran, V., Singh, P., Loiola, R. A., Sevin, E., Exner, T., Jennings, P., Gosselet, F., Culot, M. </w:t>
      </w:r>
      <w:r>
        <w:rPr>
          <w:b/>
        </w:rPr>
        <w:t xml:space="preserve">Evaluation of a human iPSC-derived BBB model for repeated dose toxicity testing with cyclosporine A as model compound </w:t>
      </w:r>
      <w:r>
        <w:t>(Toxicology in Vitro, Jun 2021)[https://doi.org/10.1016/j.tiv.2021.105112]</w:t>
      </w:r>
    </w:p>
    <w:p>
      <w:r>
        <w:t xml:space="preserve">Nugroho, A. D. W., Kleerebezem, M., Bachmann, H. </w:t>
      </w:r>
      <w:r>
        <w:rPr>
          <w:b/>
        </w:rPr>
        <w:t xml:space="preserve">Growth, dormancy and lysis: the complex relation of starter culture physiology and cheese flavour formation </w:t>
      </w:r>
      <w:r>
        <w:t>(Current Opinion in Food Science, Jun 2021)[https://doi.org/10.1016/j.cofs.2020.12.005]</w:t>
      </w:r>
    </w:p>
    <w:p>
      <w:r>
        <w:t xml:space="preserve">McLoughlin, N. M., Kuepper, A., Neubacher, S., Grossmann, T. N. </w:t>
      </w:r>
      <w:r>
        <w:rPr>
          <w:b/>
        </w:rPr>
        <w:t xml:space="preserve">Synergistic DNA‐ and Protein‐Based Recognition Promote an RNA‐Templated Bio‐orthogonal Reaction </w:t>
      </w:r>
      <w:r>
        <w:t>(Chemistry – A European Journal, Jun 2021)[https://doi.org/10.1002/chem.202101103]</w:t>
      </w:r>
    </w:p>
    <w:p>
      <w:r>
        <w:t xml:space="preserve">Capinha, L., Jennings, P., Commandeur, J. N. </w:t>
      </w:r>
      <w:r>
        <w:rPr>
          <w:b/>
        </w:rPr>
        <w:t xml:space="preserve">Corrigendum to “Bioactivation of trichloroethylene to three regioisomeric glutathione conjugates by liver fractions and recombinant human glutathione transferases: Species differences and implications for human risk assessment” [Toxicol. Lett. 341 (2021) 94–106] </w:t>
      </w:r>
      <w:r>
        <w:t>(Toxicology Letters, 1 Jun 2021)[https://doi.org/10.1016/j.toxlet.2021.02.011]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