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2021-06-28</w:t>
      </w:r>
    </w:p>
    <w:p>
      <w:pPr>
        <w:pStyle w:val="Heading3"/>
      </w:pPr>
      <w:r>
        <w:t>New papers: 2021-5/6</w:t>
      </w:r>
    </w:p>
    <w:p>
      <w:r>
        <w:t xml:space="preserve">Daas, T. J., Fabiano, E., Della Sala, F., Gori-Giorgi, P., Vuckovic, S. </w:t>
      </w:r>
      <w:r>
        <w:rPr>
          <w:b/>
        </w:rPr>
        <w:t xml:space="preserve">Noncovalent Interactions from Models for the Møller-Plesset Adiabatic Connection </w:t>
      </w:r>
      <w:r>
        <w:t>(The journal of physical chemistry letters, 27 May 2021)[https://doi.org/10.1021/acs.jpclett.1c01157]</w:t>
      </w:r>
    </w:p>
    <w:p>
      <w:r>
        <w:t xml:space="preserve">Chandrasekaran, V., Carta, G., da Costa Pereira, D., Gupta, R., Murphy, C., Feifel, E., Kern, G., Lechner, J., Cavallo, A. L., Gupta, S., Caiment, F., Kleinjans, J. C., Gstraunthaler, G., Jennings, P., Wilmes, A. </w:t>
      </w:r>
      <w:r>
        <w:rPr>
          <w:b/>
        </w:rPr>
        <w:t xml:space="preserve">Generation and characterization of iPSC-derived renal proximal tubule-like cells with extended stability </w:t>
      </w:r>
      <w:r>
        <w:t>(Scientific Reports, Dec 2021)[https://doi.org/10.1038/s41598-021-89550-4]</w:t>
      </w:r>
    </w:p>
    <w:p>
      <w:r>
        <w:t xml:space="preserve">Zada, L., Fokker, B., Leslie, H. A., Vethaak, A. D., De Boer, J. F., Ariese, F. </w:t>
      </w:r>
      <w:r>
        <w:rPr>
          <w:b/>
        </w:rPr>
        <w:t xml:space="preserve">Stimulated Raman scattering simulation for imaging optimization </w:t>
      </w:r>
      <w:r>
        <w:t>(Journal of the European Optical Society. Rapid Publications, 16 Jun 2021)[https://doi.org/10.1186/s41476-021-00155-w]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