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2021-10-25</w:t>
      </w:r>
    </w:p>
    <w:p>
      <w:pPr>
        <w:pStyle w:val="Heading3"/>
      </w:pPr>
      <w:r>
        <w:t>New papers: 2021-9/10</w:t>
      </w:r>
    </w:p>
    <w:p>
      <w:r>
        <w:t xml:space="preserve">Snijders, K. E., Fehér, A., Táncos, Z., Bock, I., Téglási, A., van den Berk, L., Niemeijer, M., Bouwman, P., Le Dévédec, S. E., Moné, M. J., Van Rossom, R., Kumar, M., Wilmes, A., Jennings, P., Verfaillie, C. M., Kobolák, J., ter Braak, B., Dinnyés, A., van de Water, B.Pages:3285-3302 </w:t>
      </w:r>
      <w:r>
        <w:rPr>
          <w:b/>
        </w:rPr>
        <w:t xml:space="preserve">Fluorescent tagging of endogenous Heme oxygenase-1 in human induced pluripotent stem cells for high content imaging of oxidative stress in various differentiated lineages </w:t>
      </w:r>
      <w:r>
        <w:t>(Archives of Toxicology, 4 Sep 2021)[https://doi.org/10.1007/s00204-021-03127-810.1007/s00204-021-03127-8]</w:t>
      </w:r>
    </w:p>
    <w:p>
      <w:r>
        <w:t xml:space="preserve">Pearce, N. M., Gros, P. </w:t>
      </w:r>
      <w:r>
        <w:rPr>
          <w:b/>
        </w:rPr>
        <w:t xml:space="preserve">A method for intuitively extracting macromolecular dynamics from structural disorder </w:t>
      </w:r>
      <w:r>
        <w:t>(Nature Communications, Dec 2021)[https://doi.org/10.1038/s41467-021-25814-x]</w:t>
      </w:r>
    </w:p>
    <w:p>
      <w:r>
        <w:t xml:space="preserve">Abdolahpur Monikh, F., Vijver, M. G., Mitrano, D. M., Leslie, H. A., Guo, Z., Zhang, P., Lynch, I., Valsami-Jones, E., Peijnenburg, W. J. </w:t>
      </w:r>
      <w:r>
        <w:rPr>
          <w:b/>
        </w:rPr>
        <w:t xml:space="preserve">The analytical quest for sub-micron plastics in biological matrices </w:t>
      </w:r>
      <w:r>
        <w:t>(Nano Today, Dec 2021)[https://doi.org/10.1016/j.nantod.2021.101296]</w:t>
      </w:r>
    </w:p>
    <w:p>
      <w:r>
        <w:t xml:space="preserve">van Tatenhove-Pel, R. J., de Groot, D. H., Bisseswar, A. S., Teusink, B., Bachmann, H. </w:t>
      </w:r>
      <w:r>
        <w:rPr>
          <w:b/>
        </w:rPr>
        <w:t xml:space="preserve">Population dynamics of microbial cross-feeding are determined by co-localization probabilities and cooperation-independent cheater growth </w:t>
      </w:r>
      <w:r>
        <w:t>(ISME Journal, Oct 2021)[https://doi.org/10.1038/s41396-021-00986-y]</w:t>
      </w:r>
    </w:p>
    <w:p>
      <w:r>
        <w:t xml:space="preserve">Beekhuis-Hoekstra, S. D., Watanabe, K., Werme, J., de Leeuw, C. A., Paliukhovich, I., Li, K. W., Koopmans, F., Smit, A. B., Posthuma, D., Heine, V. M. </w:t>
      </w:r>
      <w:r>
        <w:rPr>
          <w:b/>
        </w:rPr>
        <w:t xml:space="preserve">Systematic assessment of variability in the proteome of iPSC derivatives </w:t>
      </w:r>
      <w:r>
        <w:t>(Stem Cell Research, Oct 2021)[https://doi.org/10.1016/j.scr.2021.102512]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