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2022-10-12</w:t>
      </w:r>
    </w:p>
    <w:p>
      <w:pPr>
        <w:pStyle w:val="Heading3"/>
      </w:pPr>
      <w:r>
        <w:t>New papers: 2022-9/10</w:t>
      </w:r>
    </w:p>
    <w:p>
      <w:r>
        <w:t xml:space="preserve">Martins, F. A., De Azevedo Santos, L., Rodrigues Silva, D., Fonseca Guerra, C., Bickelhaupt, F. M., Freitas, M. P. </w:t>
      </w:r>
      <w:r>
        <w:rPr>
          <w:b/>
        </w:rPr>
        <w:t xml:space="preserve">Iodine Gauche Effect Induced by an Intramolecular Hydrogen Bond </w:t>
      </w:r>
      <w:r>
        <w:t>(Journal of Organic Chemistry, 2 Sep 2022)[https://doi.org/10.1021/acs.joc.2c01258]</w:t>
      </w:r>
    </w:p>
    <w:p>
      <w:r>
        <w:t xml:space="preserve">Bosma, R., Dijon, N. C., Zheng, Y., Schihada, H., Hauwert, N. J., Shi, S., Arimont, M., Riemens, R., Custers, H., van de Stolpe, A., Vischer, H. F., Wijtmans, M., Holliday, N. D., Kuster, D. W. D., Leurs, R. </w:t>
      </w:r>
      <w:r>
        <w:rPr>
          <w:b/>
        </w:rPr>
        <w:t xml:space="preserve">Optical control of the β2-adrenergic receptor with opto-prop-2: A cis-active azobenzene analog of propranolol </w:t>
      </w:r>
      <w:r>
        <w:t>(iScience, 16 Sep 2022)[https://doi.org/10.1016/j.isci.2022.104882]</w:t>
      </w:r>
    </w:p>
    <w:p>
      <w:r>
        <w:t xml:space="preserve">Campos-Mañas, M. C., Wichelen, N. V., Covaci, A., Nuijs, A. L. N. V., Ort, C., Béen, F., Castiglioni, S., Hernández, F., Bijlsma, L. </w:t>
      </w:r>
      <w:r>
        <w:rPr>
          <w:b/>
        </w:rPr>
        <w:t xml:space="preserve">Analytical investigation of cannabis biomarkers in raw urban wastewater to refine consumption estimates </w:t>
      </w:r>
      <w:r>
        <w:t>(Water Research, Sep 2022)[https://doi.org/10.1016/j.watres.2022.119020]</w:t>
      </w:r>
    </w:p>
    <w:p>
      <w:r>
        <w:t xml:space="preserve">Tian, X., Beén, F., Bäuerlein, P. S. </w:t>
      </w:r>
      <w:r>
        <w:rPr>
          <w:b/>
        </w:rPr>
        <w:t xml:space="preserve">Quantum cascade laser imaging (LDIR) and machine learning for the identification of environmentally exposed microplastics and polymers </w:t>
      </w:r>
      <w:r>
        <w:t>(Environmental Research, Sep 2022)[https://doi.org/10.1016/j.envres.2022.113569]</w:t>
      </w:r>
    </w:p>
    <w:p>
      <w:r>
        <w:t xml:space="preserve">Charalampopoulos, P., Kociumaka, T., Radoszewski, J., Pissis, S. P., Rytter, W., Waleń, T., Zuba, W. </w:t>
      </w:r>
      <w:r>
        <w:rPr>
          <w:b/>
        </w:rPr>
        <w:t xml:space="preserve">Approximate Circular Pattern Matching </w:t>
      </w:r>
      <w:r>
        <w:t>(None, 1 Sep 2022)[https://doi.org/10.4230/LIPIcs.ESA.2022.35]</w:t>
      </w:r>
    </w:p>
    <w:p>
      <w:r>
        <w:t xml:space="preserve">Valderhaug, S., Liu, H., Gorovoy, A., Johansen, J. E., van Mourik, L., de Boer, J., Gautun, O. R. </w:t>
      </w:r>
      <w:r>
        <w:rPr>
          <w:b/>
        </w:rPr>
        <w:t xml:space="preserve">Nuclear magnetic resonance as a tool to determine chlorine percentage of chlorinated paraffin mixtures </w:t>
      </w:r>
      <w:r>
        <w:t>(Chemosphere, Dec 2022)[https://doi.org/10.1016/j.chemosphere.2022.136312]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