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 xml:space="preserve">Draft of </w:t>
      </w:r>
      <w:r w:rsidR="00516F7B">
        <w:rPr>
          <w:rFonts w:ascii="Arial" w:hAnsi="Arial"/>
        </w:rPr>
        <w:fldChar w:fldCharType="begin"/>
      </w:r>
      <w:r w:rsidR="00516F7B">
        <w:rPr>
          <w:rFonts w:ascii="Arial" w:hAnsi="Arial"/>
        </w:rPr>
        <w:instrText xml:space="preserve"> DATE \@ "d MMMM yyyy" </w:instrText>
      </w:r>
      <w:r w:rsidR="00516F7B">
        <w:rPr>
          <w:rFonts w:ascii="Arial" w:hAnsi="Arial"/>
        </w:rPr>
        <w:fldChar w:fldCharType="separate"/>
      </w:r>
      <w:r w:rsidR="00F05210">
        <w:rPr>
          <w:rFonts w:ascii="Arial" w:hAnsi="Arial"/>
          <w:noProof/>
        </w:rPr>
        <w:t>27 April 2011</w:t>
      </w:r>
      <w:r w:rsidR="00516F7B">
        <w:rPr>
          <w:rFonts w:ascii="Arial" w:hAnsi="Arial"/>
        </w:rPr>
        <w:fldChar w:fldCharType="end"/>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303FED" w:rsidRDefault="00303FED" w:rsidP="00DD67E3">
      <w:pPr>
        <w:pStyle w:val="Body"/>
      </w:pPr>
      <w:r>
        <w:t>Version 2 released 25 April 2011.</w:t>
      </w:r>
    </w:p>
    <w:p w:rsidR="00DD67E3" w:rsidRDefault="00DD67E3" w:rsidP="00DD67E3">
      <w:pPr>
        <w:pStyle w:val="Heading21"/>
      </w:pPr>
      <w:r>
        <w:t>URL for this version of the proposal</w:t>
      </w:r>
    </w:p>
    <w:p w:rsidR="00DD67E3" w:rsidRDefault="00A15548" w:rsidP="00DD67E3">
      <w:hyperlink r:id="rId10" w:history="1">
        <w:r w:rsidR="00DD67E3">
          <w:t>https://sbml.svn.sourceforge.net/svnroot/sbml/trunk/specifications/sbml-level-3/version-1/comp</w:t>
        </w:r>
      </w:hyperlink>
    </w:p>
    <w:p w:rsidR="00DD67E3" w:rsidRDefault="00DD67E3" w:rsidP="00DD67E3">
      <w:pPr>
        <w:pStyle w:val="Heading21"/>
      </w:pPr>
      <w:r>
        <w:t>URL for previous version</w:t>
      </w:r>
      <w:r w:rsidR="00303FED">
        <w:t>s</w:t>
      </w:r>
      <w:r>
        <w:t xml:space="preserve"> of this proposal</w:t>
      </w:r>
    </w:p>
    <w:p w:rsidR="00303FED" w:rsidRPr="00303FED" w:rsidRDefault="00A15548" w:rsidP="00DD67E3">
      <w:pPr>
        <w:pStyle w:val="Body"/>
      </w:pPr>
      <w:hyperlink r:id="rId11" w:history="1">
        <w:r w:rsidR="00303FED" w:rsidRPr="00303FED">
          <w:rPr>
            <w:rStyle w:val="Hyperlink"/>
            <w:u w:val="none"/>
          </w:rPr>
          <w:t>http://sbml.svn.sourceforge.net/viewvc/sbml/trunk/specifications/sbml-level-3/version-1/comp/Hierarchical%20Model%20Composition%20Proposal.pdf?view=log</w:t>
        </w:r>
      </w:hyperlink>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Pr="00B33E4C" w:rsidRDefault="00A15548" w:rsidP="00DD67E3">
      <w:hyperlink r:id="rId12" w:history="1">
        <w:r w:rsidR="00DD67E3" w:rsidRPr="00B33E4C">
          <w:rPr>
            <w:rStyle w:val="Hyperlink"/>
            <w:u w:val="none"/>
          </w:rPr>
          <w:t>http://sbml.org/Community/Wiki/SBML_Level_3_Proposals/Hierarchical_Model_Composition_%28Hoops_2007%29</w:t>
        </w:r>
      </w:hyperlink>
      <w:r w:rsidR="00DD67E3" w:rsidRPr="00B33E4C">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4F11A0"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rsidR="004F11A0" w:rsidRDefault="005B4EFA" w:rsidP="004F11A0">
      <w:pPr>
        <w:keepNext/>
      </w:pPr>
      <w:r>
        <w:t xml:space="preserve"> </w:t>
      </w:r>
      <w:r w:rsidR="00716849">
        <w:rPr>
          <w:noProof/>
        </w:rPr>
        <w:drawing>
          <wp:inline distT="0" distB="0" distL="0" distR="0" wp14:anchorId="2ABB9443">
            <wp:extent cx="5675630" cy="2463165"/>
            <wp:effectExtent l="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2463165"/>
                    </a:xfrm>
                    <a:prstGeom prst="rect">
                      <a:avLst/>
                    </a:prstGeom>
                    <a:noFill/>
                  </pic:spPr>
                </pic:pic>
              </a:graphicData>
            </a:graphic>
          </wp:inline>
        </w:drawing>
      </w:r>
    </w:p>
    <w:p w:rsidR="005B4EFA" w:rsidRDefault="004F11A0" w:rsidP="004F11A0">
      <w:pPr>
        <w:pStyle w:val="Caption"/>
      </w:pPr>
      <w:r>
        <w:t xml:space="preserve">Figure </w:t>
      </w:r>
      <w:r w:rsidR="00A15548">
        <w:fldChar w:fldCharType="begin"/>
      </w:r>
      <w:r w:rsidR="00A15548">
        <w:instrText xml:space="preserve"> SEQ Figure \* ARABIC </w:instrText>
      </w:r>
      <w:r w:rsidR="00A15548">
        <w:fldChar w:fldCharType="separate"/>
      </w:r>
      <w:r w:rsidR="000E6756">
        <w:rPr>
          <w:noProof/>
        </w:rPr>
        <w:t>1</w:t>
      </w:r>
      <w:r w:rsidR="00A15548">
        <w:rPr>
          <w:noProof/>
        </w:rPr>
        <w:fldChar w:fldCharType="end"/>
      </w:r>
      <w:r>
        <w:t xml:space="preserve">: </w:t>
      </w:r>
      <w:r w:rsidRPr="004F11A0">
        <w:t>Model composition scenarios.  From left to righ</w:t>
      </w:r>
      <w:r>
        <w:t>t</w:t>
      </w:r>
      <w:r w:rsidRPr="004F11A0">
        <w:t>: a model composed of multiple instances of a single, internally-defined submodel definition; a model composed of a submodel that is itself composed of submodels; and a model composed of submodels, one of which is defined in an external file.</w:t>
      </w:r>
    </w:p>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submodel nesting.</w:t>
      </w:r>
    </w:p>
    <w:p w:rsidR="005B4EFA" w:rsidRDefault="009D0FE6" w:rsidP="00C5090F">
      <w:pPr>
        <w:pStyle w:val="Heading11"/>
      </w:pPr>
      <w:r>
        <w:lastRenderedPageBreak/>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SId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submodels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w:t>
      </w:r>
      <w:r>
        <w:lastRenderedPageBreak/>
        <w:t>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xml:space="preserve">. In this posting, he proposed and/or reported </w:t>
      </w:r>
      <w:r w:rsidR="00451D62">
        <w:t>several</w:t>
      </w:r>
      <w:r>
        <w:t xml:space="preserve">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rsidR="005B4EFA" w:rsidRDefault="005B4EFA" w:rsidP="009D0FE6">
      <w:r>
        <w:t xml:space="preserve">The message to </w:t>
      </w:r>
      <w:proofErr w:type="spellStart"/>
      <w:r>
        <w:t>sbml</w:t>
      </w:r>
      <w:proofErr w:type="spellEnd"/>
      <w:r>
        <w:t>-discuss was met with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w:t>
      </w:r>
      <w:proofErr w:type="spellStart"/>
      <w:r w:rsidR="00241A9C">
        <w:t>xinclude</w:t>
      </w:r>
      <w:proofErr w:type="spellEnd"/>
      <w:r w:rsidR="00241A9C">
        <w:t>’ construct was used, the separation was not strictly necessary</w:t>
      </w:r>
      <w:r w:rsidR="0081720C">
        <w:t xml:space="preserve"> from a technical standpoint</w:t>
      </w:r>
      <w:r w:rsidR="00241A9C">
        <w:t>.</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 xml:space="preserve">That version </w:t>
      </w:r>
      <w:r w:rsidR="00451D62">
        <w:t xml:space="preserve">(the first version of this document) was presented at COMBINE </w:t>
      </w:r>
      <w:r w:rsidR="003F2524">
        <w:t xml:space="preserve">in October </w:t>
      </w:r>
      <w:r w:rsidR="00451D62">
        <w:t>2010</w:t>
      </w:r>
      <w:r w:rsidR="003F2524">
        <w:rPr>
          <w:rStyle w:val="FootnoteReference"/>
        </w:rPr>
        <w:footnoteReference w:id="27"/>
      </w:r>
      <w:r w:rsidR="00451D62">
        <w:t xml:space="preserve">, and further discussed on the </w:t>
      </w:r>
      <w:proofErr w:type="spellStart"/>
      <w:r w:rsidR="00451D62">
        <w:t>sbml</w:t>
      </w:r>
      <w:proofErr w:type="spellEnd"/>
      <w:r w:rsidR="00451D62">
        <w:t>-discuss mailing list</w:t>
      </w:r>
      <w:r w:rsidR="00470ADC">
        <w:t>.</w:t>
      </w:r>
      <w:r w:rsidR="003F2524">
        <w:t xml:space="preserve">  At HARMONY in April of 2011, consensus was reached on a way forward for resolving the remaining controversies surrounding the specification, resulting in the current version of this document.</w:t>
      </w:r>
    </w:p>
    <w:p w:rsidR="005B4EFA" w:rsidRDefault="00837F3B" w:rsidP="000B5F01">
      <w:pPr>
        <w:pStyle w:val="Heading21"/>
      </w:pPr>
      <w:r>
        <w:lastRenderedPageBreak/>
        <w:t>2.3</w:t>
      </w:r>
      <w:r>
        <w:tab/>
      </w:r>
      <w:r w:rsidR="005B4EFA">
        <w:t>Genesis of the current proposal</w:t>
      </w:r>
    </w:p>
    <w:p w:rsidR="005B4EFA" w:rsidRDefault="005B4EFA" w:rsidP="009D0FE6">
      <w:r>
        <w:t xml:space="preserve">A candidate Level 3 Version 1 Core specification was not released until the end of 2009, and it </w:t>
      </w:r>
      <w:r w:rsidR="003F2524">
        <w:t>was only in October of 2010</w:t>
      </w:r>
      <w:r>
        <w:t xml:space="preserve"> that the final Level 3 Version 1 Core specification </w:t>
      </w:r>
      <w:r w:rsidR="003F2524">
        <w:t xml:space="preserve">was </w:t>
      </w:r>
      <w:r w:rsidR="0081720C">
        <w:t>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w:t>
      </w:r>
      <w:r w:rsidR="003F2524">
        <w:t>sometimes</w:t>
      </w:r>
      <w:r>
        <w:t xml:space="preserve">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8"/>
      </w:r>
      <w:r>
        <w:t xml:space="preserve"> and affirmed by the SBML Editors</w:t>
      </w:r>
      <w:r>
        <w:rPr>
          <w:vertAlign w:val="superscript"/>
        </w:rPr>
        <w:footnoteReference w:id="29"/>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w:t>
      </w:r>
      <w:r>
        <w:lastRenderedPageBreak/>
        <w:t>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At its heart, Hierarchical Model Composition is about models that you can include in other models.  When you define a model for inclusion, we call this a ModelDefinition,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rsidR="009D0FE6" w:rsidRDefault="009D0FE6" w:rsidP="009D0FE6">
      <w:r>
        <w:t xml:space="preserve">Previous proposals tended to call ModelDefinitions ‘submodels’.  We avoid the term here because these models must be valid SBML Model objects in and of </w:t>
      </w:r>
      <w:proofErr w:type="gramStart"/>
      <w:r>
        <w:t>themselves</w:t>
      </w:r>
      <w:proofErr w:type="gramEnd"/>
      <w:r>
        <w:t xml:space="preserve">, and may indeed have started life that way.  </w:t>
      </w:r>
      <w:r w:rsidR="0081720C">
        <w:t xml:space="preserve">(Instead, </w:t>
      </w:r>
      <w:r>
        <w:t>we are using the term ‘submodel’ for the instance of the model inside the containing mo</w:t>
      </w:r>
      <w:r w:rsidR="0081720C">
        <w:t>del.)</w:t>
      </w:r>
      <w:r>
        <w:t xml:space="preserve">  Another possible term was ‘</w:t>
      </w:r>
      <w:proofErr w:type="spellStart"/>
      <w:r>
        <w:t>ModelTemplate</w:t>
      </w:r>
      <w:proofErr w:type="spellEnd"/>
      <w:r>
        <w:t xml:space="preserve">’, which was close, but implied that the model was not complete, and needed to be ‘filled in’ by the containing model.  While </w:t>
      </w:r>
      <w:r w:rsidR="00DE5249">
        <w:t xml:space="preserve">this situation is </w:t>
      </w:r>
      <w:r>
        <w:t xml:space="preserve">possible, </w:t>
      </w:r>
      <w:r w:rsidR="00DE5249">
        <w:t xml:space="preserve">it </w:t>
      </w:r>
      <w:r>
        <w:t>is not required, as for example in the case of model aggregation, when several complete working models are merged to form a larger whole.</w:t>
      </w:r>
    </w:p>
    <w:p w:rsidR="00C00477" w:rsidRDefault="00C00477" w:rsidP="009D0FE6"/>
    <w:p w:rsidR="00C00477" w:rsidRDefault="00C00477" w:rsidP="009D0FE6"/>
    <w:p w:rsidR="009D0FE6" w:rsidRDefault="006300EB" w:rsidP="00875576">
      <w:pPr>
        <w:ind w:left="720" w:hanging="720"/>
        <w:jc w:val="center"/>
      </w:pPr>
      <w:r>
        <w:rPr>
          <w:noProof/>
        </w:rPr>
        <w:lastRenderedPageBreak/>
        <w:drawing>
          <wp:inline distT="0" distB="0" distL="0" distR="0" wp14:anchorId="258DF80D">
            <wp:extent cx="3108960" cy="30302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030220"/>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0E6756">
        <w:rPr>
          <w:b/>
          <w:noProof/>
        </w:rPr>
        <w:t>2</w:t>
      </w:r>
      <w:r w:rsidRPr="002C486B">
        <w:rPr>
          <w:b/>
        </w:rPr>
        <w:fldChar w:fldCharType="end"/>
      </w:r>
      <w:r>
        <w:t xml:space="preserve">:  The definition of the extended SBML class, and the new </w:t>
      </w:r>
      <w:proofErr w:type="spellStart"/>
      <w:r>
        <w:t>ListOfModelDefinitions</w:t>
      </w:r>
      <w:proofErr w:type="spellEnd"/>
      <w:r>
        <w:t xml:space="preserve"> </w:t>
      </w:r>
      <w:r w:rsidR="005E7A1F">
        <w:t xml:space="preserve">and ExternalModelDefinition </w:t>
      </w:r>
      <w:r>
        <w:t>class</w:t>
      </w:r>
      <w:r w:rsidR="005E7A1F">
        <w:t>es</w:t>
      </w:r>
      <w:r>
        <w:t xml:space="preserve">.  We here extend the SBML class by having including a single </w:t>
      </w:r>
      <w:proofErr w:type="spellStart"/>
      <w:r>
        <w:t>ListOfModelDefinitions</w:t>
      </w:r>
      <w:proofErr w:type="spellEnd"/>
      <w:r>
        <w:t xml:space="preserve"> child, which may contain any number of Models</w:t>
      </w:r>
      <w:r w:rsidR="005E7A1F">
        <w:t xml:space="preserve"> (</w:t>
      </w:r>
      <w:proofErr w:type="spellStart"/>
      <w:r w:rsidR="005E7A1F">
        <w:t>modelDefinitions</w:t>
      </w:r>
      <w:proofErr w:type="spellEnd"/>
      <w:r w:rsidR="005E7A1F">
        <w:t>) and ExternalModelDefinitions</w:t>
      </w:r>
      <w:r>
        <w:t xml:space="preserve">.  </w:t>
      </w:r>
      <w:r w:rsidR="005E7A1F">
        <w:t>The</w:t>
      </w:r>
      <w:r w:rsidR="0088186E">
        <w:t xml:space="preserve"> </w:t>
      </w:r>
      <w:proofErr w:type="spellStart"/>
      <w:r w:rsidR="0088186E">
        <w:t>modelDefintions</w:t>
      </w:r>
      <w:proofErr w:type="spellEnd"/>
      <w:r w:rsidR="0088186E">
        <w:t xml:space="preserve"> are the same as the original ‘model’ child of SBML, which </w:t>
      </w:r>
      <w:r>
        <w:t>this package extends as well</w:t>
      </w:r>
      <w:r w:rsidR="0088186E">
        <w:t xml:space="preserve"> (</w:t>
      </w:r>
      <w:r>
        <w:t>defined below</w:t>
      </w:r>
      <w:r w:rsidR="0088186E">
        <w:t>)</w:t>
      </w:r>
      <w:r w:rsidR="000B5F01">
        <w:t>.</w:t>
      </w:r>
      <w:r w:rsidR="005E7A1F">
        <w:t xml:space="preserve">  The ExternalModelDefinitions are references to model objects in other files</w:t>
      </w:r>
      <w:r w:rsidR="003E0423">
        <w:t xml:space="preserve">.  The ‘id’ is required (so it can be referred to in Submodels); </w:t>
      </w:r>
      <w:r w:rsidR="005E7A1F">
        <w:t>the ‘source’ attribute</w:t>
      </w:r>
      <w:r w:rsidR="00E70A72">
        <w:t xml:space="preserve"> describes the location of </w:t>
      </w:r>
      <w:r w:rsidR="006300EB">
        <w:t>a SBML Level 3 document</w:t>
      </w:r>
      <w:r w:rsidR="003E0423">
        <w:t>, and the ‘model’ t</w:t>
      </w:r>
      <w:r w:rsidR="006300EB">
        <w:t xml:space="preserve">he id of the model </w:t>
      </w:r>
      <w:proofErr w:type="gramStart"/>
      <w:r w:rsidR="006300EB">
        <w:t>object</w:t>
      </w:r>
      <w:proofErr w:type="gramEnd"/>
      <w:r w:rsidR="006300EB">
        <w:t xml:space="preserve"> in that</w:t>
      </w:r>
      <w:r w:rsidR="003E0423">
        <w:t xml:space="preserve"> document.  If ‘model’ is not present, the model child of the SBML document is used.  The optional md5 string attribute may be additionally used to ensure the referenced </w:t>
      </w:r>
      <w:r w:rsidR="006300EB">
        <w:t>document</w:t>
      </w:r>
      <w:r w:rsidR="003E0423">
        <w:t xml:space="preserve"> has not changed.</w:t>
      </w:r>
    </w:p>
    <w:p w:rsidR="001A6291"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r w:rsidR="003E0423">
        <w:t xml:space="preserve">  </w:t>
      </w:r>
    </w:p>
    <w:p w:rsidR="00CC6E43" w:rsidRDefault="003E0423" w:rsidP="007E4AF3">
      <w:r>
        <w:t xml:space="preserve">If a model from a different </w:t>
      </w:r>
      <w:r w:rsidR="001A6291">
        <w:t xml:space="preserve">document </w:t>
      </w:r>
      <w:r>
        <w:t>is needed, it can be referenced here with the ExternalModelDefinition class.</w:t>
      </w:r>
      <w:r w:rsidR="001A6291">
        <w:t xml:space="preserve">  </w:t>
      </w:r>
      <w:r w:rsidR="007E4AF3">
        <w:t>The external document is fo</w:t>
      </w:r>
      <w:r w:rsidR="000C1B49">
        <w:t>und with the ‘source’ attribute</w:t>
      </w:r>
      <w:r w:rsidR="007E4AF3">
        <w:t xml:space="preserve"> </w:t>
      </w:r>
      <w:r w:rsidR="006300EB">
        <w:t xml:space="preserve">as a URI, as described by </w:t>
      </w:r>
      <w:r w:rsidR="00B24F66">
        <w:t xml:space="preserve">the W3C document </w:t>
      </w:r>
      <w:r w:rsidR="006300EB">
        <w:t>RFC3986</w:t>
      </w:r>
      <w:r w:rsidR="00B24F66">
        <w:rPr>
          <w:rStyle w:val="FootnoteReference"/>
        </w:rPr>
        <w:footnoteReference w:id="30"/>
      </w:r>
      <w:r w:rsidR="007E4AF3">
        <w:t xml:space="preserve">.  URIs </w:t>
      </w:r>
      <w:r w:rsidR="00B24F66">
        <w:t>may therefore either be URLs (</w:t>
      </w:r>
      <w:r w:rsidR="000C1B49">
        <w:t xml:space="preserve">such </w:t>
      </w:r>
      <w:r w:rsidR="00B24F66">
        <w:t>as web addresses), URNs (</w:t>
      </w:r>
      <w:r w:rsidR="000C1B49">
        <w:t xml:space="preserve">such </w:t>
      </w:r>
      <w:r w:rsidR="00B24F66">
        <w:t xml:space="preserve">as </w:t>
      </w:r>
      <w:r w:rsidR="000C1B49">
        <w:t xml:space="preserve">those </w:t>
      </w:r>
      <w:r w:rsidR="00B24F66">
        <w:t>defined by the ‘urn:’ protocol)</w:t>
      </w:r>
      <w:r w:rsidR="004076AF">
        <w:t>, or relative or absolute file locations.  This must point to a</w:t>
      </w:r>
      <w:r w:rsidR="000C1B49">
        <w:t>n</w:t>
      </w:r>
      <w:r w:rsidR="004076AF">
        <w:t xml:space="preserve"> SBML Level 3 Version 1 document, though this means the entire file</w:t>
      </w:r>
      <w:r w:rsidR="00364AEC">
        <w:t xml:space="preserve"> at that location</w:t>
      </w:r>
      <w:r w:rsidR="004076AF">
        <w:t xml:space="preserve">, including any xml (‘&lt;?xml&gt;’) or comment (‘&lt;!-- &gt;’) elements, </w:t>
      </w:r>
      <w:r w:rsidR="00364AEC">
        <w:t xml:space="preserve">and </w:t>
      </w:r>
      <w:r w:rsidR="004076AF">
        <w:t>not just the SBML document itself (‘&lt;</w:t>
      </w:r>
      <w:proofErr w:type="spellStart"/>
      <w:r w:rsidR="004076AF">
        <w:t>sbml</w:t>
      </w:r>
      <w:proofErr w:type="spellEnd"/>
      <w:r w:rsidR="004076AF">
        <w:t>&gt;’).</w:t>
      </w:r>
    </w:p>
    <w:p w:rsidR="001A6291" w:rsidRDefault="001A6291" w:rsidP="007E4AF3">
      <w:r>
        <w:t>Because the ‘id’ of a Model object of the target document is optional, the model in the referenced file might not be named—if no ‘model’ attribute is used, the main model of the referenced file is used (the ‘model’ object that is the child of the ‘SBML’ object).  If the ‘model’ attribute is used</w:t>
      </w:r>
      <w:r w:rsidR="00364AEC">
        <w:t>, the M</w:t>
      </w:r>
      <w:r>
        <w:t xml:space="preserve">odel </w:t>
      </w:r>
      <w:r w:rsidR="00364AEC">
        <w:t xml:space="preserve">or ModelDefintion </w:t>
      </w:r>
      <w:r>
        <w:t>in the referenced file with the given ID is imported, whether this is the main model or a model listed in that file’s ListOfDefinedModules.</w:t>
      </w:r>
    </w:p>
    <w:p w:rsidR="00364AEC" w:rsidRDefault="00364AEC" w:rsidP="007E4AF3">
      <w:r>
        <w:lastRenderedPageBreak/>
        <w:t>The SId namespace for SIds defined within ModelDefintions (as Species, Parameters, etc.) follows the same rules as defined in the core specification for the model-wide level, but need not be unique on a document-wide level:  two different ModelDefinitions may each define a Parameter with the same SId</w:t>
      </w:r>
      <w:r w:rsidR="0086604F">
        <w:t>, for example, without either violating the core specification’s uniqueness requirement, or implying that the two elements are ‘the same’ within this document.</w:t>
      </w:r>
    </w:p>
    <w:p w:rsidR="0086604F" w:rsidRDefault="0086604F" w:rsidP="0086604F">
      <w:r>
        <w:t xml:space="preserve">Similarly, the SIds for Models, ModelDefinitions, and </w:t>
      </w:r>
      <w:r w:rsidR="00364AEC">
        <w:t xml:space="preserve">ExternalModelDefinitions </w:t>
      </w:r>
      <w:r>
        <w:t>within a single SBMLDocument must be unique within that document</w:t>
      </w:r>
      <w:r w:rsidR="00F55EC4">
        <w:t xml:space="preserve">, but need not be unique across documents (referenced or otherwise), nor need they be different from other named elements of other Models.  In other words, a model with the id ‘mod1’ may not contain a parameter with the id ‘mod1’ (according to the core specification), nor may there be any other models with the id ‘mod1’ in the same file.  But if one model has the id ‘m1’, this id would not conflict with a parameter </w:t>
      </w:r>
      <w:r w:rsidR="000D16A3">
        <w:t xml:space="preserve">with the id ‘m1’ </w:t>
      </w:r>
      <w:r w:rsidR="00F55EC4">
        <w:t>in a different model in the same file.</w:t>
      </w:r>
      <w:r w:rsidR="00DE34D8">
        <w:t xml:space="preserve">  This is referred to as the ‘model namespace of the document’.</w:t>
      </w:r>
    </w:p>
    <w:p w:rsidR="009D0FE6" w:rsidRDefault="00C4337D" w:rsidP="00837F3B">
      <w:pPr>
        <w:jc w:val="center"/>
      </w:pPr>
      <w:r>
        <w:rPr>
          <w:noProof/>
        </w:rPr>
        <w:drawing>
          <wp:inline distT="0" distB="0" distL="0" distR="0" wp14:anchorId="57D54287">
            <wp:extent cx="2286000" cy="2493645"/>
            <wp:effectExtent l="0" t="0" r="0" b="190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493645"/>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0E6756">
        <w:rPr>
          <w:b/>
          <w:noProof/>
        </w:rPr>
        <w:t>3</w:t>
      </w:r>
      <w:r w:rsidRPr="00C45AC6">
        <w:rPr>
          <w:b/>
        </w:rPr>
        <w:fldChar w:fldCharType="end"/>
      </w:r>
      <w:r>
        <w:t>: Definition of the extension of the Model class and of the new ListOfSubmodels</w:t>
      </w:r>
      <w:r w:rsidR="000D16A3">
        <w:t xml:space="preserve">, </w:t>
      </w:r>
      <w:proofErr w:type="spellStart"/>
      <w:r w:rsidR="000D16A3">
        <w:t>ListOfPorts</w:t>
      </w:r>
      <w:proofErr w:type="spellEnd"/>
      <w:r w:rsidR="000D16A3">
        <w:t>, and Port</w:t>
      </w:r>
      <w:r>
        <w:t xml:space="preserve"> class</w:t>
      </w:r>
      <w:r w:rsidR="000D16A3">
        <w:t>es</w:t>
      </w:r>
      <w:r>
        <w:t>.  The Model class now may contain a single ListOfSubmodels, which in turn may contain any number of S</w:t>
      </w:r>
      <w:r w:rsidR="000D16A3">
        <w:t xml:space="preserve">ubmodel objects, defined below.  It may also contain a single </w:t>
      </w:r>
      <w:proofErr w:type="spellStart"/>
      <w:r w:rsidR="000D16A3">
        <w:t>ListOfPorts</w:t>
      </w:r>
      <w:proofErr w:type="spellEnd"/>
      <w:r w:rsidR="000D16A3">
        <w:t xml:space="preserve">, which in turn may contain any number of Port objects, defined here with required </w:t>
      </w:r>
      <w:r w:rsidR="000B5FA0">
        <w:t xml:space="preserve">‘id’ and </w:t>
      </w:r>
      <w:r w:rsidR="000D16A3">
        <w:t>‘</w:t>
      </w:r>
      <w:proofErr w:type="spellStart"/>
      <w:r w:rsidR="000D16A3">
        <w:t>metaIdRef</w:t>
      </w:r>
      <w:proofErr w:type="spellEnd"/>
      <w:r w:rsidR="000D16A3">
        <w:t>’ attribute</w:t>
      </w:r>
      <w:r w:rsidR="000B5FA0">
        <w:t>s</w:t>
      </w:r>
      <w:r w:rsidR="000D16A3">
        <w:t>.</w:t>
      </w:r>
    </w:p>
    <w:p w:rsidR="000D16A3" w:rsidRDefault="000D16A3" w:rsidP="000D16A3">
      <w:r>
        <w:t xml:space="preserve">The Model class is extended to potentially contain a single ListOfSubmodels and a single </w:t>
      </w:r>
      <w:proofErr w:type="spellStart"/>
      <w:r>
        <w:t>ListOfPorts</w:t>
      </w:r>
      <w:proofErr w:type="spellEnd"/>
      <w:r>
        <w:t xml:space="preserve">.  The ListOfSubmodels contains Submodel objects which will instantiate model definitions inside the containing model.  The </w:t>
      </w:r>
      <w:proofErr w:type="spellStart"/>
      <w:r>
        <w:t>ListOfPorts</w:t>
      </w:r>
      <w:proofErr w:type="spellEnd"/>
      <w:r>
        <w:t xml:space="preserve"> </w:t>
      </w:r>
      <w:r w:rsidR="00210CA5">
        <w:t xml:space="preserve">contains Port objects which </w:t>
      </w:r>
      <w:r w:rsidR="005C4199">
        <w:t xml:space="preserve">point the other way:  they </w:t>
      </w:r>
      <w:r w:rsidR="00210CA5">
        <w:t>guide this model’s in</w:t>
      </w:r>
      <w:r w:rsidR="005C4199">
        <w:t xml:space="preserve">teractions with models that contain it.  </w:t>
      </w:r>
      <w:r w:rsidR="00B33E4C">
        <w:t>The concept of ports are discussed more below in the ‘</w:t>
      </w:r>
      <w:r w:rsidR="000B5FA0">
        <w:t>Ports’</w:t>
      </w:r>
      <w:r w:rsidR="00B33E4C">
        <w:t xml:space="preserve"> section.</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w:t>
      </w:r>
      <w:r>
        <w:lastRenderedPageBreak/>
        <w:t xml:space="preserve">defined in a separate file.  The only restriction is that it may not contain loops:  it may not refer to its parent model, nor may it refer to a model which in turn instantiates its parent model, etc.  </w:t>
      </w:r>
    </w:p>
    <w:p w:rsidR="009D0FE6" w:rsidRDefault="009D0FE6" w:rsidP="009D0FE6">
      <w:r>
        <w:t xml:space="preserve">The </w:t>
      </w:r>
      <w:r w:rsidR="00DE34D8">
        <w:t xml:space="preserve">direct </w:t>
      </w:r>
      <w:r>
        <w:t xml:space="preserve">modifications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w:t>
      </w:r>
      <w:proofErr w:type="spellStart"/>
      <w:r w:rsidR="00D93035">
        <w:t>InitialAssignment</w:t>
      </w:r>
      <w:proofErr w:type="spellEnd"/>
      <w:r w:rsidR="00D93035">
        <w:t xml:space="preserve">, or </w:t>
      </w:r>
      <w:r w:rsidR="00DE34D8">
        <w:t>even a particular</w:t>
      </w:r>
      <w:r>
        <w:t xml:space="preserve"> </w:t>
      </w:r>
      <w:r w:rsidR="00DE34D8">
        <w:t>event assignment</w:t>
      </w:r>
      <w:r>
        <w:t>.</w:t>
      </w:r>
    </w:p>
    <w:p w:rsidR="009D0FE6" w:rsidRDefault="00A157C7" w:rsidP="00837F3B">
      <w:pPr>
        <w:jc w:val="center"/>
      </w:pPr>
      <w:r>
        <w:rPr>
          <w:noProof/>
        </w:rPr>
        <w:drawing>
          <wp:inline distT="0" distB="0" distL="0" distR="0" wp14:anchorId="1AEE561A">
            <wp:extent cx="3572510" cy="28956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510" cy="2895600"/>
                    </a:xfrm>
                    <a:prstGeom prst="rect">
                      <a:avLst/>
                    </a:prstGeom>
                    <a:noFill/>
                  </pic:spPr>
                </pic:pic>
              </a:graphicData>
            </a:graphic>
          </wp:inline>
        </w:drawing>
      </w:r>
    </w:p>
    <w:p w:rsidR="009D0FE6" w:rsidRDefault="009D0FE6" w:rsidP="009D0FE6">
      <w:pPr>
        <w:pStyle w:val="Caption"/>
      </w:pPr>
      <w:r>
        <w:t xml:space="preserve">Figure </w:t>
      </w:r>
      <w:r w:rsidR="00A15548">
        <w:fldChar w:fldCharType="begin"/>
      </w:r>
      <w:r w:rsidR="00A15548">
        <w:instrText xml:space="preserve"> SEQ Figure \* ARABIC </w:instrText>
      </w:r>
      <w:r w:rsidR="00A15548">
        <w:fldChar w:fldCharType="separate"/>
      </w:r>
      <w:r w:rsidR="000E6756">
        <w:rPr>
          <w:noProof/>
        </w:rPr>
        <w:t>4</w:t>
      </w:r>
      <w:r w:rsidR="00A15548">
        <w:rPr>
          <w:noProof/>
        </w:rPr>
        <w:fldChar w:fldCharType="end"/>
      </w:r>
      <w:r>
        <w:t xml:space="preserve">:  Definition of Submodel, </w:t>
      </w:r>
      <w:proofErr w:type="spellStart"/>
      <w:r>
        <w:t>ListOfDeletions</w:t>
      </w:r>
      <w:proofErr w:type="spellEnd"/>
      <w:r>
        <w:t>, and Deletion.  Th</w:t>
      </w:r>
      <w:r w:rsidR="00A157C7">
        <w:t>e Submodel object must contain an id and a</w:t>
      </w:r>
      <w:r>
        <w:t xml:space="preserve"> </w:t>
      </w:r>
      <w:proofErr w:type="spellStart"/>
      <w:r w:rsidR="00C23EBC">
        <w:t>modelRef</w:t>
      </w:r>
      <w:proofErr w:type="spellEnd"/>
      <w:r w:rsidR="00C23EBC">
        <w:t xml:space="preserve"> attribute with </w:t>
      </w:r>
      <w:proofErr w:type="gramStart"/>
      <w:r w:rsidR="00C23EBC">
        <w:t>an</w:t>
      </w:r>
      <w:proofErr w:type="gramEnd"/>
      <w:r w:rsidR="00C23EBC">
        <w:t xml:space="preserve"> </w:t>
      </w:r>
      <w:proofErr w:type="spellStart"/>
      <w:r w:rsidR="00C23EBC">
        <w:t>SidRef</w:t>
      </w:r>
      <w:proofErr w:type="spellEnd"/>
      <w:r w:rsidR="00C23EBC">
        <w:t xml:space="preserve"> of a model in this document</w:t>
      </w:r>
      <w:r w:rsidR="00A157C7">
        <w:t xml:space="preserve">.  It may additionally </w:t>
      </w:r>
      <w:r w:rsidR="00C23EBC">
        <w:t xml:space="preserve">contain up to </w:t>
      </w:r>
      <w:r w:rsidR="00CB5411">
        <w:t>six</w:t>
      </w:r>
      <w:r>
        <w:t xml:space="preserve"> different conversion factor attributes</w:t>
      </w:r>
      <w:r w:rsidR="00C23EBC">
        <w:t xml:space="preserve"> and </w:t>
      </w:r>
      <w:r>
        <w:t xml:space="preserve">a </w:t>
      </w:r>
      <w:proofErr w:type="spellStart"/>
      <w:r>
        <w:t>ListOfDeletions</w:t>
      </w:r>
      <w:proofErr w:type="spellEnd"/>
      <w:r>
        <w:t xml:space="preserve"> object.  The conversion factors, if present, must reference parameter o</w:t>
      </w:r>
      <w:r w:rsidR="00C23EBC">
        <w:t xml:space="preserve">bjects from the parent model.  </w:t>
      </w:r>
      <w:r>
        <w:t xml:space="preserve">The </w:t>
      </w:r>
      <w:proofErr w:type="spellStart"/>
      <w:r>
        <w:t>ListOfDeletions</w:t>
      </w:r>
      <w:proofErr w:type="spellEnd"/>
      <w:r>
        <w:t xml:space="preserve"> may contain any number of Deletions, which are of the class </w:t>
      </w:r>
      <w:proofErr w:type="spellStart"/>
      <w:r w:rsidR="00C23EBC">
        <w:t>SBaseRef</w:t>
      </w:r>
      <w:proofErr w:type="spellEnd"/>
      <w:r>
        <w:t xml:space="preserve"> (defined below) with the addition of an optional ‘id’, so that they can be referenced if needed in the parent model.</w:t>
      </w:r>
    </w:p>
    <w:p w:rsidR="002E2B33" w:rsidRDefault="009D0FE6" w:rsidP="001A6291">
      <w:r>
        <w:t xml:space="preserve">The </w:t>
      </w:r>
      <w:proofErr w:type="spellStart"/>
      <w:r>
        <w:t>Submodel’s</w:t>
      </w:r>
      <w:proofErr w:type="spellEnd"/>
      <w:r>
        <w:t xml:space="preserve"> ID attribute is </w:t>
      </w:r>
      <w:r w:rsidR="00A157C7">
        <w:t xml:space="preserve">required so that other references may always have a method </w:t>
      </w:r>
      <w:r>
        <w:t xml:space="preserve">through which </w:t>
      </w:r>
      <w:r w:rsidR="00A157C7">
        <w:t>a parent model may refer to this</w:t>
      </w:r>
      <w:r>
        <w:t xml:space="preserve"> </w:t>
      </w:r>
      <w:proofErr w:type="spellStart"/>
      <w:r>
        <w:t>submodel’s</w:t>
      </w:r>
      <w:proofErr w:type="spellEnd"/>
      <w:r>
        <w:t xml:space="preserve"> elements (to link and replace them)</w:t>
      </w:r>
      <w:r w:rsidR="00A157C7">
        <w:t>.  This ID must follow the normal restrictions on SBML SIds</w:t>
      </w:r>
      <w:r w:rsidR="002E2B33">
        <w:t xml:space="preserve"> for uniqueness within models</w:t>
      </w:r>
      <w:r w:rsidR="00A157C7">
        <w:t xml:space="preserve">, </w:t>
      </w:r>
      <w:r w:rsidR="002E2B33">
        <w:t xml:space="preserve">though they may not be used within core elements that do not know about this package.  </w:t>
      </w:r>
    </w:p>
    <w:p w:rsidR="001A6291" w:rsidRDefault="001A6291" w:rsidP="001A6291">
      <w:r>
        <w:t xml:space="preserve">The ‘model’ </w:t>
      </w:r>
      <w:proofErr w:type="spellStart"/>
      <w:r>
        <w:t>SidRef</w:t>
      </w:r>
      <w:proofErr w:type="spellEnd"/>
      <w:r>
        <w:t xml:space="preserve"> must be the ‘id’ of any other Model, ModelDefinition, or ExternalModelDefinition defined in this document</w:t>
      </w:r>
      <w:r w:rsidR="00576123">
        <w:t xml:space="preserve"> (</w:t>
      </w:r>
      <w:r w:rsidR="0098003F">
        <w:t>the ‘model namespace’ of this document)</w:t>
      </w:r>
      <w:r>
        <w:t xml:space="preserve">.  </w:t>
      </w:r>
      <w:r w:rsidR="00576123">
        <w:t xml:space="preserve">It is even legal, though unlikely, to refer to the &lt;model&gt; child of the SBMLDocument in this way, meaning that </w:t>
      </w:r>
      <w:r>
        <w:t xml:space="preserve">the file </w:t>
      </w:r>
      <w:r w:rsidR="00576123">
        <w:t xml:space="preserve">contains a ModelDefinition that itself contains (and presumably modifies) </w:t>
      </w:r>
      <w:r>
        <w:t>the model it presents to the world as the main model associated with this file</w:t>
      </w:r>
      <w:r w:rsidR="00576123">
        <w:t>.  P</w:t>
      </w:r>
      <w:r>
        <w:t xml:space="preserve">erhaps the main model defines a common scenario, and alternate initial conditions are defined in the </w:t>
      </w:r>
      <w:proofErr w:type="spellStart"/>
      <w:r>
        <w:t>ListOfModelDefinitions</w:t>
      </w:r>
      <w:proofErr w:type="spellEnd"/>
      <w:r>
        <w:t xml:space="preserve">, for example. </w:t>
      </w:r>
    </w:p>
    <w:p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w:t>
      </w:r>
      <w:r>
        <w:lastRenderedPageBreak/>
        <w:t>submodel.  The intricacies of how this works out in practice are complex; for more detail, see the ‘Conversion Factors’ section.</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 xml:space="preserve">The list of deletions is for removing elements from the submodel that no longer </w:t>
      </w:r>
      <w:r w:rsidR="00576123">
        <w:t xml:space="preserve">belong </w:t>
      </w:r>
      <w:r>
        <w:t xml:space="preserve">in the parent model, and </w:t>
      </w:r>
      <w:r w:rsidR="00576123">
        <w:t>do not need to be referenced by the submodel</w:t>
      </w:r>
      <w:r>
        <w:t>.  We will discuss deletions and replacements in the next section, along with ports.</w:t>
      </w:r>
    </w:p>
    <w:p w:rsidR="000B5F01" w:rsidRDefault="000B5F01" w:rsidP="000B5F01">
      <w:pPr>
        <w:pStyle w:val="Heading21"/>
      </w:pPr>
      <w:r>
        <w:t>3.3</w:t>
      </w:r>
      <w:r>
        <w:tab/>
      </w:r>
      <w:proofErr w:type="spellStart"/>
      <w:r w:rsidR="00576123">
        <w:t>SBaseRefs</w:t>
      </w:r>
      <w:proofErr w:type="spellEnd"/>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w:t>
      </w:r>
      <w:r w:rsidR="0098003F">
        <w:t xml:space="preserve">constant </w:t>
      </w:r>
      <w:r>
        <w:t>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 xml:space="preserve">To do this, we must be able to refer to elements of the submodels.  The construct to do this is called </w:t>
      </w:r>
      <w:proofErr w:type="gramStart"/>
      <w:r>
        <w:t>a</w:t>
      </w:r>
      <w:r w:rsidR="00576123">
        <w:t>n</w:t>
      </w:r>
      <w:proofErr w:type="gramEnd"/>
      <w:r>
        <w:t xml:space="preserve"> ‘</w:t>
      </w:r>
      <w:proofErr w:type="spellStart"/>
      <w:r>
        <w:t>S</w:t>
      </w:r>
      <w:r w:rsidR="00576123">
        <w:t>BaseRef</w:t>
      </w:r>
      <w:proofErr w:type="spellEnd"/>
      <w:r w:rsidR="006C05CA">
        <w:t>’</w:t>
      </w:r>
      <w:r>
        <w:t>.</w:t>
      </w:r>
    </w:p>
    <w:p w:rsidR="000B5F01" w:rsidRDefault="00F05210" w:rsidP="000B5F01">
      <w:pPr>
        <w:keepNext/>
        <w:jc w:val="center"/>
      </w:pPr>
      <w:r>
        <w:rPr>
          <w:noProof/>
        </w:rPr>
        <w:drawing>
          <wp:inline distT="0" distB="0" distL="0" distR="0" wp14:anchorId="69FA5308">
            <wp:extent cx="2755900" cy="145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145732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0E6756">
        <w:rPr>
          <w:b/>
          <w:noProof/>
        </w:rPr>
        <w:t>5</w:t>
      </w:r>
      <w:r w:rsidRPr="00C72822">
        <w:rPr>
          <w:b/>
        </w:rPr>
        <w:fldChar w:fldCharType="end"/>
      </w:r>
      <w:r>
        <w:t xml:space="preserve">:  Definition of </w:t>
      </w:r>
      <w:proofErr w:type="spellStart"/>
      <w:r w:rsidR="00576123">
        <w:t>SBaseRef</w:t>
      </w:r>
      <w:proofErr w:type="spellEnd"/>
      <w:r>
        <w:t xml:space="preserve">.  A </w:t>
      </w:r>
      <w:proofErr w:type="spellStart"/>
      <w:r w:rsidR="00576123">
        <w:t>SBaseRef</w:t>
      </w:r>
      <w:proofErr w:type="spellEnd"/>
      <w:r w:rsidR="00576123">
        <w:t xml:space="preserve"> </w:t>
      </w:r>
      <w:r>
        <w:t xml:space="preserve">must contain exactly one of the attributes ‘port’, </w:t>
      </w:r>
      <w:r w:rsidR="00576123">
        <w:t>‘</w:t>
      </w:r>
      <w:proofErr w:type="spellStart"/>
      <w:r w:rsidR="00576123">
        <w:t>idRef</w:t>
      </w:r>
      <w:proofErr w:type="spellEnd"/>
      <w:r w:rsidR="00576123">
        <w:t xml:space="preserve">’, </w:t>
      </w:r>
      <w:r w:rsidR="00F05210">
        <w:t>‘</w:t>
      </w:r>
      <w:proofErr w:type="spellStart"/>
      <w:r w:rsidR="00F05210">
        <w:t>unitRef</w:t>
      </w:r>
      <w:proofErr w:type="spellEnd"/>
      <w:r w:rsidR="00F05210">
        <w:t xml:space="preserve">’ </w:t>
      </w:r>
      <w:r w:rsidR="00576123">
        <w:t>or ‘</w:t>
      </w:r>
      <w:proofErr w:type="spellStart"/>
      <w:r w:rsidR="00576123">
        <w:t>metaIdRef</w:t>
      </w:r>
      <w:proofErr w:type="spellEnd"/>
      <w:r w:rsidR="00576123">
        <w:t>’</w:t>
      </w:r>
      <w:r w:rsidR="004E2330">
        <w:t xml:space="preserve">.  If this refers to a submodel itself, the element may additionally contain </w:t>
      </w:r>
      <w:r>
        <w:t>a</w:t>
      </w:r>
      <w:r w:rsidR="00293436">
        <w:t xml:space="preserve"> </w:t>
      </w:r>
      <w:proofErr w:type="spellStart"/>
      <w:r w:rsidR="004E2330">
        <w:t>SBaseRef</w:t>
      </w:r>
      <w:proofErr w:type="spellEnd"/>
      <w:r w:rsidR="004E2330">
        <w:t xml:space="preserve"> </w:t>
      </w:r>
      <w:r>
        <w:t>child</w:t>
      </w:r>
      <w:r w:rsidR="004E2330">
        <w:t>, to refer to a particular element of that submodel, instead of referring to the submodel itself</w:t>
      </w:r>
      <w:r>
        <w:t>.</w:t>
      </w:r>
    </w:p>
    <w:p w:rsidR="000B5F01" w:rsidRDefault="000B5F01" w:rsidP="000B5F01">
      <w:proofErr w:type="gramStart"/>
      <w:r>
        <w:t>A</w:t>
      </w:r>
      <w:r w:rsidR="00293436">
        <w:t>n</w:t>
      </w:r>
      <w:proofErr w:type="gramEnd"/>
      <w:r>
        <w:t xml:space="preserve"> </w:t>
      </w:r>
      <w:proofErr w:type="spellStart"/>
      <w:r w:rsidR="00576123">
        <w:t>SBaseRef</w:t>
      </w:r>
      <w:proofErr w:type="spellEnd"/>
      <w:r w:rsidR="00576123">
        <w:t xml:space="preserve"> </w:t>
      </w:r>
      <w:r>
        <w:t xml:space="preserve">object references an element of a submodel by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w:t>
      </w:r>
      <w:r w:rsidR="00F05210">
        <w:t>five</w:t>
      </w:r>
      <w:r>
        <w:t xml:space="preser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w:t>
      </w:r>
      <w:r w:rsidR="00780491">
        <w:t>ModelDefinition</w:t>
      </w:r>
      <w:r>
        <w:t xml:space="preserve"> has </w:t>
      </w:r>
      <w:r w:rsidR="00780491">
        <w:t xml:space="preserve">set up a system of ports, they are referenced </w:t>
      </w:r>
      <w:r>
        <w:t xml:space="preserve">here.  A fully modular model will only use ports, </w:t>
      </w:r>
      <w:r>
        <w:lastRenderedPageBreak/>
        <w:t>which are the defined interfaces between models and submodels.</w:t>
      </w:r>
      <w:r w:rsidR="00F05210">
        <w:t xml:space="preserve">  The namespace of the </w:t>
      </w:r>
      <w:proofErr w:type="spellStart"/>
      <w:r w:rsidR="00F05210">
        <w:t>PortIdRef</w:t>
      </w:r>
      <w:proofErr w:type="spellEnd"/>
      <w:r w:rsidR="00F05210">
        <w:t xml:space="preserve"> is the port namespace of the submodel, not the parent model </w:t>
      </w:r>
      <w:r w:rsidR="00F05210">
        <w:t>(see section 3.7; ‘Identifier Scoping’)</w:t>
      </w:r>
      <w:r w:rsidR="00F05210">
        <w:t>.</w:t>
      </w:r>
    </w:p>
    <w:p w:rsidR="000B5F01" w:rsidRDefault="000B5F01" w:rsidP="000B5F01">
      <w:pPr>
        <w:pStyle w:val="indent1level"/>
      </w:pPr>
      <w:r w:rsidRPr="00EE1D84">
        <w:rPr>
          <w:b/>
        </w:rPr>
        <w:t xml:space="preserve">By </w:t>
      </w:r>
      <w:r>
        <w:rPr>
          <w:b/>
        </w:rPr>
        <w:t>SId</w:t>
      </w:r>
      <w:r>
        <w:t xml:space="preserve">.  Most elements one would want to replace (such as species and reactions) will have </w:t>
      </w:r>
      <w:proofErr w:type="gramStart"/>
      <w:r>
        <w:t>SIds</w:t>
      </w:r>
      <w:proofErr w:type="gramEnd"/>
      <w:r>
        <w:t>.  If they do not have ports, you can reference them by this.  The SIdRef namespace is the namespace of the</w:t>
      </w:r>
      <w:r w:rsidR="00F05210">
        <w:t xml:space="preserve"> submodel, not the parent model, and refers to that model’s element namespace (see section 3.7; ‘Identifier Scoping’).</w:t>
      </w:r>
    </w:p>
    <w:p w:rsidR="00F05210" w:rsidRPr="00576123" w:rsidRDefault="00F05210" w:rsidP="000B5F01">
      <w:pPr>
        <w:pStyle w:val="indent1level"/>
      </w:pPr>
      <w:r>
        <w:rPr>
          <w:b/>
        </w:rPr>
        <w:t>By Unit SId</w:t>
      </w:r>
      <w:r w:rsidRPr="00F05210">
        <w:t>.</w:t>
      </w:r>
      <w:r>
        <w:t xml:space="preserve">  The SId of a </w:t>
      </w:r>
      <w:proofErr w:type="spellStart"/>
      <w:r>
        <w:t>UnitDefinition</w:t>
      </w:r>
      <w:proofErr w:type="spellEnd"/>
      <w:r>
        <w:t xml:space="preserve"> is defined in the core specification to exist in its own namespace.  Therefore, this attribute is provided to be able to search that unit namespace of the submodel </w:t>
      </w:r>
      <w:r>
        <w:t>(see section 3.7; ‘Identifier Scoping’)</w:t>
      </w:r>
      <w:r>
        <w:t xml:space="preserve">.  It should be noted that even though this attribute is of type </w:t>
      </w:r>
      <w:proofErr w:type="spellStart"/>
      <w:r>
        <w:t>UnitSIdRef</w:t>
      </w:r>
      <w:proofErr w:type="spellEnd"/>
      <w:r>
        <w:t>, the reserved identifier names that are usually valid for other constructs (see section 3.1.10 of the core specification) are not valid here, as these may not be replaced or deleted.</w:t>
      </w:r>
    </w:p>
    <w:p w:rsidR="000B5F01" w:rsidRPr="00576123" w:rsidRDefault="000B5F01" w:rsidP="000B5F01">
      <w:pPr>
        <w:pStyle w:val="indent1level"/>
      </w:pPr>
      <w:r w:rsidRPr="00576123">
        <w:rPr>
          <w:b/>
        </w:rPr>
        <w:t xml:space="preserve">By </w:t>
      </w:r>
      <w:proofErr w:type="spellStart"/>
      <w:r w:rsidRPr="00576123">
        <w:rPr>
          <w:b/>
        </w:rPr>
        <w:t>MetaId</w:t>
      </w:r>
      <w:proofErr w:type="spellEnd"/>
      <w:r w:rsidRPr="00576123">
        <w:t xml:space="preserve">.  Because some elements never have </w:t>
      </w:r>
      <w:proofErr w:type="gramStart"/>
      <w:r w:rsidRPr="00576123">
        <w:t>SIds</w:t>
      </w:r>
      <w:proofErr w:type="gramEnd"/>
      <w:r w:rsidRPr="00576123">
        <w:t xml:space="preserve"> and for some they are only optional, the modeler may wish to replace or delete an element that has no SId but does have a </w:t>
      </w:r>
      <w:proofErr w:type="spellStart"/>
      <w:r w:rsidRPr="00576123">
        <w:t>MetaID</w:t>
      </w:r>
      <w:proofErr w:type="spellEnd"/>
      <w:r w:rsidRPr="00576123">
        <w:t xml:space="preserve">.  (Since </w:t>
      </w:r>
      <w:proofErr w:type="spellStart"/>
      <w:r w:rsidRPr="00576123">
        <w:t>MetaIDs</w:t>
      </w:r>
      <w:proofErr w:type="spellEnd"/>
      <w:r w:rsidRPr="00576123">
        <w:t xml:space="preserve"> are optional attributes of </w:t>
      </w:r>
      <w:proofErr w:type="spellStart"/>
      <w:r w:rsidRPr="00576123">
        <w:t>SBase</w:t>
      </w:r>
      <w:proofErr w:type="spellEnd"/>
      <w:r w:rsidRPr="00576123">
        <w:t xml:space="preserve">, all SBML element have the potential to have a </w:t>
      </w:r>
      <w:proofErr w:type="spellStart"/>
      <w:r w:rsidRPr="00576123">
        <w:t>MetaID</w:t>
      </w:r>
      <w:proofErr w:type="spellEnd"/>
      <w:r w:rsidRPr="00576123">
        <w:t xml:space="preserve">.)  If the element has no port or SId, you may use the </w:t>
      </w:r>
      <w:proofErr w:type="spellStart"/>
      <w:r w:rsidRPr="00576123">
        <w:t>metaID</w:t>
      </w:r>
      <w:proofErr w:type="spellEnd"/>
      <w:r w:rsidRPr="00576123">
        <w:t>, if present.</w:t>
      </w:r>
    </w:p>
    <w:p w:rsidR="000B5F01" w:rsidRDefault="000B5F01" w:rsidP="00293436">
      <w:pPr>
        <w:pStyle w:val="indent1level"/>
      </w:pPr>
      <w:r w:rsidRPr="00CE1479">
        <w:rPr>
          <w:b/>
        </w:rPr>
        <w:t xml:space="preserve">By </w:t>
      </w:r>
      <w:r w:rsidR="004E2330">
        <w:rPr>
          <w:b/>
        </w:rPr>
        <w:t>an element of a submodel</w:t>
      </w:r>
      <w:r w:rsidRPr="00C3076F">
        <w:t>.</w:t>
      </w:r>
      <w:r>
        <w:t xml:space="preserve"> The above four options will all give you access to elements in </w:t>
      </w:r>
      <w:r w:rsidR="00A157C7">
        <w:t xml:space="preserve">a </w:t>
      </w:r>
      <w:r>
        <w:t xml:space="preserve">submodel, but cannot give you access to elements in the </w:t>
      </w:r>
      <w:proofErr w:type="spellStart"/>
      <w:r>
        <w:t>submodel’s</w:t>
      </w:r>
      <w:proofErr w:type="spellEnd"/>
      <w:r>
        <w:t xml:space="preserve"> submodels.  </w:t>
      </w:r>
      <w:r w:rsidR="004E2330">
        <w:t xml:space="preserve">If the object referred to by one of the above methods is itself a submodel, adding an </w:t>
      </w:r>
      <w:proofErr w:type="spellStart"/>
      <w:r w:rsidR="004E2330">
        <w:t>SBaseRef</w:t>
      </w:r>
      <w:proofErr w:type="spellEnd"/>
      <w:r w:rsidR="004E2330">
        <w:t xml:space="preserve"> </w:t>
      </w:r>
      <w:r>
        <w:t xml:space="preserve">child to </w:t>
      </w:r>
      <w:r w:rsidR="004E2330">
        <w:t xml:space="preserve">the </w:t>
      </w:r>
      <w:proofErr w:type="spellStart"/>
      <w:r w:rsidR="00A157C7">
        <w:t>SBaseRef</w:t>
      </w:r>
      <w:proofErr w:type="spellEnd"/>
      <w:r w:rsidR="00A157C7">
        <w:t xml:space="preserve"> </w:t>
      </w:r>
      <w:r>
        <w:t xml:space="preserve">allows you to find elements ‘buried’ in the hierarchy.  This can, in turn, refer to a deeper submodel, allowing access to any element of any arbitrary depth using this construct.  This is considered inelegant design:  it is better to ‘promote’ any element in a submodel to a local element if it needs to be referenced by a containing model, but if the submodel is fixed, no other option is available.  </w:t>
      </w:r>
    </w:p>
    <w:p w:rsidR="005013E3" w:rsidRDefault="005013E3" w:rsidP="000B5F01">
      <w:r>
        <w:t xml:space="preserve">This does not actually allow access to any possible element in a submodel that you do not control:  if the element in question has no port, id, or </w:t>
      </w:r>
      <w:proofErr w:type="spellStart"/>
      <w:r>
        <w:t>metaId</w:t>
      </w:r>
      <w:proofErr w:type="spellEnd"/>
      <w:r>
        <w:t xml:space="preserve">, you must create a local copy of that model and add (for instance) a </w:t>
      </w:r>
      <w:proofErr w:type="spellStart"/>
      <w:r>
        <w:t>metaId</w:t>
      </w:r>
      <w:proofErr w:type="spellEnd"/>
      <w:r>
        <w:t xml:space="preserve"> to the element you wish to reference.  In a future version of this specification, this restriction may be relaxe</w:t>
      </w:r>
      <w:r w:rsidR="00F05210">
        <w:t>d, allowing one to reference s</w:t>
      </w:r>
      <w:r w:rsidR="004E2330">
        <w:t xml:space="preserve">ubmodel elements by </w:t>
      </w:r>
      <w:proofErr w:type="spellStart"/>
      <w:r w:rsidR="004E2330">
        <w:t>xpath</w:t>
      </w:r>
      <w:proofErr w:type="gramStart"/>
      <w:r w:rsidR="004E2330">
        <w:t>:element</w:t>
      </w:r>
      <w:proofErr w:type="spellEnd"/>
      <w:proofErr w:type="gramEnd"/>
      <w:r w:rsidR="004E2330">
        <w:t>.  For now, this was considered to add too much of a burden to implementers of this specification, and was therefore delayed to a future version.</w:t>
      </w:r>
    </w:p>
    <w:p w:rsidR="000B5F01" w:rsidRDefault="000B5F01" w:rsidP="000B5F01">
      <w:r>
        <w:t>Any element that has been replaced or de</w:t>
      </w:r>
      <w:r w:rsidR="004E2330">
        <w:t xml:space="preserve">leted may not be referenced by </w:t>
      </w:r>
      <w:proofErr w:type="gramStart"/>
      <w:r w:rsidR="004E2330">
        <w:t>an</w:t>
      </w:r>
      <w:proofErr w:type="gramEnd"/>
      <w:r w:rsidR="004E2330">
        <w:t xml:space="preserve"> </w:t>
      </w:r>
      <w:proofErr w:type="spellStart"/>
      <w:r w:rsidR="004E2330">
        <w:t>SBaseRef</w:t>
      </w:r>
      <w:proofErr w:type="spellEnd"/>
      <w:r>
        <w:t xml:space="preserve">, including anything replaced or deleted within the submodel. </w:t>
      </w:r>
    </w:p>
    <w:p w:rsidR="000B5F01" w:rsidRDefault="000B5F01" w:rsidP="000B5F01">
      <w:r>
        <w:t xml:space="preserve">If you replace or delete an element that itself has children, those children are considered to be deleted unless replaced.  If you replace a KineticLaw, for example, any annotations that referred to the </w:t>
      </w:r>
      <w:proofErr w:type="spellStart"/>
      <w:r>
        <w:t>metaIDs</w:t>
      </w:r>
      <w:proofErr w:type="spellEnd"/>
      <w:r>
        <w:t xml:space="preserve">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516F7B" w:rsidP="000B5F01">
      <w:pPr>
        <w:pStyle w:val="Heading21"/>
      </w:pPr>
      <w:r>
        <w:lastRenderedPageBreak/>
        <w:t>3.4</w:t>
      </w:r>
      <w:r>
        <w:tab/>
        <w:t>Replacements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w:t>
      </w:r>
    </w:p>
    <w:p w:rsidR="000B5F01" w:rsidRDefault="00516F7B" w:rsidP="000B5F01">
      <w:r>
        <w:t>Here, the concept</w:t>
      </w:r>
      <w:r w:rsidR="000B5F01">
        <w:t xml:space="preserve"> of replacements </w:t>
      </w:r>
      <w:r>
        <w:t xml:space="preserve">is </w:t>
      </w:r>
      <w:r w:rsidR="000B5F01">
        <w:t xml:space="preserve">distributed to the individual elements that are replacing others.  This is accomplished by extending the </w:t>
      </w:r>
      <w:proofErr w:type="spellStart"/>
      <w:r w:rsidR="000B5F01">
        <w:t>SBase</w:t>
      </w:r>
      <w:proofErr w:type="spellEnd"/>
      <w:r w:rsidR="000B5F01">
        <w:t xml:space="preserve"> class itself:</w:t>
      </w:r>
    </w:p>
    <w:p w:rsidR="000B5F01" w:rsidRDefault="00473757" w:rsidP="000B5F01">
      <w:pPr>
        <w:keepNext/>
        <w:jc w:val="center"/>
      </w:pPr>
      <w:r>
        <w:rPr>
          <w:noProof/>
        </w:rPr>
        <w:drawing>
          <wp:inline distT="0" distB="0" distL="0" distR="0" wp14:anchorId="2ECADB26">
            <wp:extent cx="2974975" cy="2182495"/>
            <wp:effectExtent l="0" t="0" r="0" b="825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2182495"/>
                    </a:xfrm>
                    <a:prstGeom prst="rect">
                      <a:avLst/>
                    </a:prstGeom>
                    <a:noFill/>
                  </pic:spPr>
                </pic:pic>
              </a:graphicData>
            </a:graphic>
          </wp:inline>
        </w:drawing>
      </w:r>
    </w:p>
    <w:p w:rsidR="000B5F01" w:rsidRDefault="000B5F01" w:rsidP="000B5F01">
      <w:pPr>
        <w:pStyle w:val="Caption"/>
      </w:pPr>
      <w:r>
        <w:t xml:space="preserve">Figure </w:t>
      </w:r>
      <w:r w:rsidR="00A15548">
        <w:fldChar w:fldCharType="begin"/>
      </w:r>
      <w:r w:rsidR="00A15548">
        <w:instrText xml:space="preserve"> SEQ Figure \* ARABIC </w:instrText>
      </w:r>
      <w:r w:rsidR="00A15548">
        <w:fldChar w:fldCharType="separate"/>
      </w:r>
      <w:r w:rsidR="000E6756">
        <w:rPr>
          <w:noProof/>
        </w:rPr>
        <w:t>6</w:t>
      </w:r>
      <w:r w:rsidR="00A15548">
        <w:rPr>
          <w:noProof/>
        </w:rPr>
        <w:fldChar w:fldCharType="end"/>
      </w:r>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child, </w:t>
      </w:r>
      <w:proofErr w:type="spellStart"/>
      <w:r>
        <w:t>ListOfReplacements</w:t>
      </w:r>
      <w:proofErr w:type="spellEnd"/>
      <w:r>
        <w:t xml:space="preserve">, which may contain any number of </w:t>
      </w:r>
      <w:proofErr w:type="spellStart"/>
      <w:r>
        <w:t>ReplacedElement</w:t>
      </w:r>
      <w:proofErr w:type="spellEnd"/>
      <w:r>
        <w:t xml:space="preserve"> children.  The </w:t>
      </w:r>
      <w:proofErr w:type="spellStart"/>
      <w:r>
        <w:t>ReplacedElement</w:t>
      </w:r>
      <w:proofErr w:type="spellEnd"/>
      <w:r>
        <w:t xml:space="preserve"> class inherits from </w:t>
      </w:r>
      <w:proofErr w:type="spellStart"/>
      <w:r w:rsidR="00473757">
        <w:t>SBaseRef</w:t>
      </w:r>
      <w:proofErr w:type="spellEnd"/>
      <w:r>
        <w:t xml:space="preserve">, with the additional </w:t>
      </w:r>
      <w:r w:rsidR="00473757">
        <w:t>required attribute ‘</w:t>
      </w:r>
      <w:proofErr w:type="spellStart"/>
      <w:r w:rsidR="00473757">
        <w:t>submodelRef</w:t>
      </w:r>
      <w:proofErr w:type="spellEnd"/>
      <w:r w:rsidR="00473757">
        <w:t xml:space="preserve">’ SIdRef, and the </w:t>
      </w:r>
      <w:r>
        <w:t>optional attribute</w:t>
      </w:r>
      <w:r w:rsidR="00473757">
        <w:t xml:space="preserve">s ‘deletion’ (an SIdRef), </w:t>
      </w:r>
      <w:r>
        <w:t>‘identical’</w:t>
      </w:r>
      <w:r w:rsidR="00473757">
        <w:t xml:space="preserve"> (Boolean)</w:t>
      </w:r>
      <w:r>
        <w:t xml:space="preserve">, and </w:t>
      </w:r>
      <w:r w:rsidR="00473757">
        <w:t>‘</w:t>
      </w:r>
      <w:proofErr w:type="spellStart"/>
      <w:r>
        <w:t>conversionFactor</w:t>
      </w:r>
      <w:proofErr w:type="spellEnd"/>
      <w:r w:rsidR="00473757">
        <w:t>’ (an</w:t>
      </w:r>
      <w:r>
        <w:t xml:space="preserve"> SIdRef</w:t>
      </w:r>
      <w:r w:rsidR="00473757">
        <w:t>)</w:t>
      </w:r>
      <w:r>
        <w:t>.</w:t>
      </w:r>
    </w:p>
    <w:p w:rsidR="000B5F01" w:rsidRDefault="00780491" w:rsidP="000B5F01">
      <w:proofErr w:type="spellStart"/>
      <w:r>
        <w:t>ReplacedElements</w:t>
      </w:r>
      <w:proofErr w:type="spellEnd"/>
      <w:r w:rsidR="000B5F01">
        <w:t xml:space="preserve"> </w:t>
      </w:r>
      <w:r>
        <w:t xml:space="preserve">are pointers to submodel elements </w:t>
      </w:r>
      <w:r w:rsidR="000B5F01">
        <w:t xml:space="preserve">that are being replaced.  The </w:t>
      </w:r>
      <w:proofErr w:type="spellStart"/>
      <w:r w:rsidR="000B5F01">
        <w:t>ListOfReplacements</w:t>
      </w:r>
      <w:proofErr w:type="spellEnd"/>
      <w:r w:rsidR="000B5F01">
        <w:t xml:space="preserve"> child of the extended </w:t>
      </w:r>
      <w:proofErr w:type="spellStart"/>
      <w:r w:rsidR="000B5F01">
        <w:t>SBase</w:t>
      </w:r>
      <w:proofErr w:type="spellEnd"/>
      <w:r w:rsidR="000B5F01">
        <w:t xml:space="preserve"> lists everything in all the submodels that this element is replacing.  This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gramStart"/>
      <w:r w:rsidR="000B5F01">
        <w:t>SIds</w:t>
      </w:r>
      <w:proofErr w:type="gramEnd"/>
      <w:r w:rsidR="000B5F01">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SId will now refer to the replacement SId (as modified by either this element’s </w:t>
      </w:r>
      <w:proofErr w:type="spellStart"/>
      <w:r>
        <w:t>conversionFactor</w:t>
      </w:r>
      <w:proofErr w:type="spellEnd"/>
      <w:r>
        <w:t xml:space="preserve">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SId or </w:t>
      </w:r>
      <w:proofErr w:type="spellStart"/>
      <w:r>
        <w:t>MetaID</w:t>
      </w:r>
      <w:proofErr w:type="spellEnd"/>
      <w:r>
        <w:t xml:space="preserve"> will now point to the replacement element.  This means that when anything refers to a replaced element’s SId or </w:t>
      </w:r>
      <w:proofErr w:type="spellStart"/>
      <w:r>
        <w:t>MetaID</w:t>
      </w:r>
      <w:proofErr w:type="spellEnd"/>
      <w:r>
        <w:t xml:space="preserve">, the replacing element must itself define its own SId or </w:t>
      </w:r>
      <w:proofErr w:type="spellStart"/>
      <w:r>
        <w:t>MetaID</w:t>
      </w:r>
      <w:proofErr w:type="spellEnd"/>
      <w:r>
        <w:t xml:space="preserve">.  It also implies that any </w:t>
      </w:r>
      <w:proofErr w:type="spellStart"/>
      <w:r>
        <w:t>subelement</w:t>
      </w:r>
      <w:proofErr w:type="spellEnd"/>
      <w:r>
        <w:t xml:space="preserve"> </w:t>
      </w:r>
      <w:r>
        <w:lastRenderedPageBreak/>
        <w:t>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w:t>
      </w:r>
      <w:proofErr w:type="spellStart"/>
      <w:r>
        <w:t>ReplacedElement</w:t>
      </w:r>
      <w:proofErr w:type="spellEnd"/>
      <w:r>
        <w:t xml:space="preserve">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gramStart"/>
      <w:r w:rsidR="00477688">
        <w:t>SIds</w:t>
      </w:r>
      <w:proofErr w:type="gramEnd"/>
      <w:r w:rsidR="00477688">
        <w:t xml:space="preserve"> (such as the ‘compartment’ attribute of a Species) should point to the same element, but should that element have been replaced in the containing model, </w:t>
      </w:r>
      <w:r w:rsidR="00C00477">
        <w:t>the literal SId will be different</w:t>
      </w:r>
      <w:r w:rsidR="00477688">
        <w:t xml:space="preserve">.  </w:t>
      </w:r>
      <w:r w:rsidR="00C00477">
        <w:t>Finally, t</w:t>
      </w:r>
      <w:r>
        <w: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0B5F01" w:rsidRDefault="000B5F01" w:rsidP="000B5F01">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w:t>
      </w:r>
      <w:r>
        <w:lastRenderedPageBreak/>
        <w:t xml:space="preserve">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w:t>
      </w:r>
      <w:r w:rsidR="00EB3ABB">
        <w:t>In this case, the ‘deletion’ attribute is used instead of the normally-required ‘port’, ‘</w:t>
      </w:r>
      <w:proofErr w:type="spellStart"/>
      <w:r w:rsidR="00EB3ABB">
        <w:t>idRef</w:t>
      </w:r>
      <w:proofErr w:type="spellEnd"/>
      <w:r w:rsidR="00EB3ABB">
        <w:t>’, or ‘</w:t>
      </w:r>
      <w:proofErr w:type="spellStart"/>
      <w:r w:rsidR="00EB3ABB">
        <w:t>metaIdRef</w:t>
      </w:r>
      <w:proofErr w:type="spellEnd"/>
      <w:r w:rsidR="00EB3ABB">
        <w:t xml:space="preserve">’ attributes from the </w:t>
      </w:r>
      <w:proofErr w:type="spellStart"/>
      <w:r w:rsidR="00EB3ABB">
        <w:t>SBaseRef</w:t>
      </w:r>
      <w:proofErr w:type="spellEnd"/>
      <w:r w:rsidR="00EB3ABB">
        <w:t xml:space="preserve"> parent class.</w:t>
      </w:r>
      <w:r w:rsidR="000B5FA0">
        <w:t xml:space="preserve">  </w:t>
      </w:r>
      <w:r>
        <w:t xml:space="preserve">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780491" w:rsidRDefault="00516F7B" w:rsidP="000B5F01">
      <w:pPr>
        <w:pStyle w:val="Heading21"/>
      </w:pPr>
      <w:r>
        <w:t>3.5</w:t>
      </w:r>
      <w:r>
        <w:tab/>
      </w:r>
      <w:r w:rsidR="00780491">
        <w:t>Ports</w:t>
      </w:r>
    </w:p>
    <w:p w:rsidR="00780491" w:rsidRDefault="00516F7B" w:rsidP="00780491">
      <w:r>
        <w:t xml:space="preserve">The ‘port’ concept allows a modeler to design a submodel such that it can be used in a particular way by a containing model:  ports are those elements that are designed to be used in replacements or </w:t>
      </w:r>
      <w:r w:rsidR="000B5FA0">
        <w:t>deletions</w:t>
      </w:r>
      <w:r>
        <w:t xml:space="preserve">.  </w:t>
      </w:r>
      <w:r w:rsidR="000B5FA0">
        <w:t xml:space="preserve">As seen in Figure 3, Ports have two required attributes: an ‘id’ of type </w:t>
      </w:r>
      <w:proofErr w:type="spellStart"/>
      <w:r w:rsidR="000B5FA0">
        <w:t>P</w:t>
      </w:r>
      <w:r w:rsidR="00F05210">
        <w:t>ort</w:t>
      </w:r>
      <w:r w:rsidR="000B5FA0">
        <w:t>Id</w:t>
      </w:r>
      <w:proofErr w:type="spellEnd"/>
      <w:r w:rsidR="000B5FA0">
        <w:t xml:space="preserve">, and a </w:t>
      </w:r>
      <w:proofErr w:type="spellStart"/>
      <w:r w:rsidR="000B5FA0">
        <w:t>metaIdRef</w:t>
      </w:r>
      <w:proofErr w:type="spellEnd"/>
      <w:r w:rsidR="000B5FA0">
        <w:t xml:space="preserve">.  </w:t>
      </w:r>
      <w:r w:rsidR="00780491">
        <w:t xml:space="preserve">The </w:t>
      </w:r>
      <w:proofErr w:type="spellStart"/>
      <w:r w:rsidR="000B5FA0">
        <w:t>P</w:t>
      </w:r>
      <w:r w:rsidR="00F05210">
        <w:t>ort</w:t>
      </w:r>
      <w:r w:rsidR="000B5FA0">
        <w:t>Id</w:t>
      </w:r>
      <w:proofErr w:type="spellEnd"/>
      <w:r w:rsidR="000B5FA0">
        <w:t xml:space="preserve"> </w:t>
      </w:r>
      <w:r w:rsidR="00716849">
        <w:t xml:space="preserve">and </w:t>
      </w:r>
      <w:proofErr w:type="spellStart"/>
      <w:r w:rsidR="00716849">
        <w:t>P</w:t>
      </w:r>
      <w:r w:rsidR="00F05210">
        <w:t>ort</w:t>
      </w:r>
      <w:r w:rsidR="00716849">
        <w:t>IdRef</w:t>
      </w:r>
      <w:proofErr w:type="spellEnd"/>
      <w:r w:rsidR="00716849">
        <w:t xml:space="preserve"> </w:t>
      </w:r>
      <w:r w:rsidR="00780491">
        <w:t>type</w:t>
      </w:r>
      <w:r w:rsidR="00716849">
        <w:t xml:space="preserve">s have </w:t>
      </w:r>
      <w:r w:rsidR="00780491">
        <w:t xml:space="preserve">the same </w:t>
      </w:r>
      <w:r w:rsidR="00716849">
        <w:t>restrictions as the</w:t>
      </w:r>
      <w:r w:rsidR="00780491">
        <w:t xml:space="preserve"> SId </w:t>
      </w:r>
      <w:r w:rsidR="00716849">
        <w:t xml:space="preserve">and SIdRef types </w:t>
      </w:r>
      <w:r w:rsidR="00780491">
        <w:t xml:space="preserve">(see section 3.1.7 of the Level 3 Version 1 SBML core specification), but </w:t>
      </w:r>
      <w:r w:rsidR="00716849">
        <w:t xml:space="preserve">have their </w:t>
      </w:r>
      <w:r w:rsidR="00780491">
        <w:t xml:space="preserve">own namespace within </w:t>
      </w:r>
      <w:r w:rsidR="00716849">
        <w:t xml:space="preserve">the </w:t>
      </w:r>
      <w:r w:rsidR="00780491">
        <w:t xml:space="preserve">parent model, and thus may be the same as the </w:t>
      </w:r>
      <w:r w:rsidR="00716849">
        <w:t xml:space="preserve">referenced </w:t>
      </w:r>
      <w:r w:rsidR="00780491">
        <w:t xml:space="preserve">element’s SId, should one be present.  </w:t>
      </w:r>
      <w:r w:rsidR="00716849">
        <w:t xml:space="preserve">The </w:t>
      </w:r>
      <w:proofErr w:type="spellStart"/>
      <w:r w:rsidR="00716849">
        <w:t>metaIdRef</w:t>
      </w:r>
      <w:proofErr w:type="spellEnd"/>
      <w:r w:rsidR="00716849">
        <w:t xml:space="preserve"> must refer to an element of the parent model.  </w:t>
      </w:r>
      <w:r w:rsidR="00F05210">
        <w:t xml:space="preserve">The port namespace of a model is created using the </w:t>
      </w:r>
      <w:proofErr w:type="spellStart"/>
      <w:r w:rsidR="00F05210">
        <w:t>ListOfPorts</w:t>
      </w:r>
      <w:proofErr w:type="spellEnd"/>
      <w:r w:rsidR="00F05210">
        <w:t xml:space="preserve"> object in a Model, and is searched using the </w:t>
      </w:r>
      <w:r w:rsidR="00716849">
        <w:t xml:space="preserve">‘port’ attribute </w:t>
      </w:r>
      <w:r w:rsidR="00F05210">
        <w:t xml:space="preserve">of </w:t>
      </w:r>
      <w:proofErr w:type="gramStart"/>
      <w:r w:rsidR="00F05210">
        <w:t>an</w:t>
      </w:r>
      <w:proofErr w:type="gramEnd"/>
      <w:r w:rsidR="00F05210">
        <w:t xml:space="preserve"> </w:t>
      </w:r>
      <w:proofErr w:type="spellStart"/>
      <w:r w:rsidR="00F05210">
        <w:t>SBaseRef</w:t>
      </w:r>
      <w:proofErr w:type="spellEnd"/>
      <w:r w:rsidR="00F05210">
        <w:t>.</w:t>
      </w:r>
    </w:p>
    <w:p w:rsidR="00780491" w:rsidRDefault="00780491" w:rsidP="00780491">
      <w:r>
        <w:t xml:space="preserve">As written, this scheme does not have the capability to </w:t>
      </w:r>
      <w:r w:rsidR="000B5FA0">
        <w:t xml:space="preserve">place restrictions on ports, as </w:t>
      </w:r>
      <w:r w:rsidR="00F05210">
        <w:t xml:space="preserve">may be </w:t>
      </w:r>
      <w:r w:rsidR="000B5FA0">
        <w:t xml:space="preserve">desired by ‘black box’ modelers.  </w:t>
      </w:r>
      <w:r w:rsidR="00F05210">
        <w:t xml:space="preserve">For example, it might be desirable to </w:t>
      </w:r>
      <w:r>
        <w:t>tag a port with a Boolean flag saying whether it must be overloaded or not (as Andrew Finney proposed in 2007</w:t>
      </w:r>
      <w:r>
        <w:rPr>
          <w:rStyle w:val="FootnoteReference"/>
        </w:rPr>
        <w:footnoteReference w:id="32"/>
      </w:r>
      <w:r>
        <w:t>)</w:t>
      </w:r>
      <w:r w:rsidR="00F05210">
        <w:t xml:space="preserve">.  In future versions of this specification we plan to add such options.  For now, we encourage users to develop their own annotation scheme for ports and add them to the Port object.  </w:t>
      </w:r>
    </w:p>
    <w:p w:rsidR="000B5F01" w:rsidRDefault="00780491" w:rsidP="000B5F01">
      <w:pPr>
        <w:pStyle w:val="Heading21"/>
      </w:pPr>
      <w:r>
        <w:lastRenderedPageBreak/>
        <w:t>3.6</w:t>
      </w:r>
      <w:r w:rsidR="000B5F01">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w:t>
      </w:r>
      <w:proofErr w:type="spellStart"/>
      <w:r>
        <w:t>InitialAssignment</w:t>
      </w:r>
      <w:proofErr w:type="spellEnd"/>
      <w:r>
        <w:t xml:space="preserve">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t xml:space="preserve">This is the use of the six different optional conversion factors present on the Submodel class, and the single conversion factor present in the </w:t>
      </w:r>
      <w:proofErr w:type="spellStart"/>
      <w:r>
        <w:t>ReplacedElement</w:t>
      </w:r>
      <w:proofErr w:type="spellEnd"/>
      <w:r>
        <w:t xml:space="preserve"> class.  The conversion factor in the </w:t>
      </w:r>
      <w:proofErr w:type="spellStart"/>
      <w:r>
        <w:t>ReplacedElement</w:t>
      </w:r>
      <w:proofErr w:type="spellEnd"/>
      <w:r>
        <w:t xml:space="preserve">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SId is found on the left-hand side of an equation, the right-hand side is multiplied by that conversion factor before assignment to that variable.  So, if a species has an </w:t>
      </w:r>
      <w:proofErr w:type="spellStart"/>
      <w:r>
        <w:t>InitialAssignment</w:t>
      </w:r>
      <w:proofErr w:type="spellEnd"/>
      <w:r>
        <w:t xml:space="preserve"> of 4x+3, and has a conversion factor of CF, the </w:t>
      </w:r>
      <w:proofErr w:type="spellStart"/>
      <w:r>
        <w:t>InitialAssignment</w:t>
      </w:r>
      <w:proofErr w:type="spellEnd"/>
      <w:r>
        <w:t xml:space="preserve"> become CF*(4x+3).  The same is true for </w:t>
      </w:r>
      <w:proofErr w:type="spellStart"/>
      <w:r>
        <w:t>AssignmentRules</w:t>
      </w:r>
      <w:proofErr w:type="spellEnd"/>
      <w:r>
        <w:t xml:space="preserve">, </w:t>
      </w:r>
      <w:r w:rsidR="00F05210">
        <w:t xml:space="preserve">and </w:t>
      </w:r>
      <w:proofErr w:type="spellStart"/>
      <w:r>
        <w:t>Rat</w:t>
      </w:r>
      <w:r w:rsidR="005E2E5B">
        <w:t>eRules</w:t>
      </w:r>
      <w:proofErr w:type="spellEnd"/>
      <w:r w:rsidR="00F05210">
        <w:t xml:space="preserve">, </w:t>
      </w:r>
      <w:proofErr w:type="spellStart"/>
      <w:r>
        <w:t>KineticLaws</w:t>
      </w:r>
      <w:proofErr w:type="spellEnd"/>
      <w:r>
        <w:t xml:space="preserve">, </w:t>
      </w:r>
      <w:proofErr w:type="spellStart"/>
      <w:r>
        <w:t>EventAssignments</w:t>
      </w:r>
      <w:proofErr w:type="spellEnd"/>
      <w:r>
        <w:t>, and the implied rates of change of species as calculated from kinetic laws, as described in section 4.11.7 of the core specification.</w:t>
      </w:r>
    </w:p>
    <w:p w:rsidR="000B5F01" w:rsidRDefault="000B5F01" w:rsidP="000B5F01">
      <w:r>
        <w:t xml:space="preserve">Conversely, any time the SId of a replaced element appears on the right-hand side of an equation in its original submodel, its appearance in that equation should be divided by the conversion factor.  In our previous example of an </w:t>
      </w:r>
      <w:proofErr w:type="spellStart"/>
      <w:r>
        <w:t>InitialAssignment</w:t>
      </w:r>
      <w:proofErr w:type="spellEnd"/>
      <w:r>
        <w:t xml:space="preserve">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r w:rsidR="00F05210">
        <w:t xml:space="preserve">, including </w:t>
      </w:r>
      <w:proofErr w:type="spellStart"/>
      <w:r w:rsidR="00F05210">
        <w:t>AlgebraicRules</w:t>
      </w:r>
      <w:proofErr w:type="spellEnd"/>
      <w:r>
        <w:t>.</w:t>
      </w:r>
    </w:p>
    <w:p w:rsidR="000B5F01" w:rsidRDefault="000B5F01" w:rsidP="000B5F01">
      <w:r>
        <w:t xml:space="preserve">This also means that if a value appears on the right and left-hand sides of an equation, you must apply the conversion factor twice:  if the </w:t>
      </w:r>
      <w:proofErr w:type="spellStart"/>
      <w:r>
        <w:t>RateRule</w:t>
      </w:r>
      <w:proofErr w:type="spellEnd"/>
      <w:r>
        <w:t xml:space="preserv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w:t>
      </w:r>
      <w:proofErr w:type="spellStart"/>
      <w:r>
        <w:t>spatialDimensions</w:t>
      </w:r>
      <w:proofErr w:type="spellEnd"/>
      <w:r>
        <w:t>=3’ is of the unit type ‘volume’, for example, even if exactly what units those are (liters; mi</w:t>
      </w:r>
      <w:r w:rsidR="00F05210">
        <w:t>l</w:t>
      </w:r>
      <w:r>
        <w:t>licubits</w:t>
      </w:r>
      <w:r w:rsidRPr="00D662DA">
        <w:rPr>
          <w:vertAlign w:val="superscript"/>
        </w:rPr>
        <w:t>3</w:t>
      </w:r>
      <w:r>
        <w:t>; etc.)</w:t>
      </w:r>
      <w:r w:rsidR="005E2E5B">
        <w:t xml:space="preserve"> </w:t>
      </w:r>
      <w:r>
        <w:t xml:space="preserve">is left undefined.  Similarly, all species are either of the unit type </w:t>
      </w:r>
      <w:r>
        <w:lastRenderedPageBreak/>
        <w:t>‘substance’ or ‘concentration’, depending on the value of the required Boolean attribute ‘</w:t>
      </w:r>
      <w:proofErr w:type="spellStart"/>
      <w:r>
        <w:t>hasOnlySubstanceUnits</w:t>
      </w:r>
      <w:proofErr w:type="spellEnd"/>
      <w:r>
        <w:t xml:space="preserve">’.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The six Submodel attributes ‘</w:t>
      </w:r>
      <w:proofErr w:type="spellStart"/>
      <w:r>
        <w:t>lengthConversionFactor</w:t>
      </w:r>
      <w:proofErr w:type="spellEnd"/>
      <w:r>
        <w:t>’, ‘</w:t>
      </w:r>
      <w:proofErr w:type="spellStart"/>
      <w:r>
        <w:t>volumeConversionFactor</w:t>
      </w:r>
      <w:proofErr w:type="spellEnd"/>
      <w:r>
        <w:t>’, ‘</w:t>
      </w:r>
      <w:proofErr w:type="spellStart"/>
      <w:r>
        <w:t>areaConversionFactor</w:t>
      </w:r>
      <w:proofErr w:type="spellEnd"/>
      <w:r>
        <w:t>’, ‘</w:t>
      </w:r>
      <w:proofErr w:type="spellStart"/>
      <w:r>
        <w:t>substanceConversionFactor</w:t>
      </w:r>
      <w:proofErr w:type="spellEnd"/>
      <w:r>
        <w:t>’, ‘</w:t>
      </w:r>
      <w:proofErr w:type="spellStart"/>
      <w:r>
        <w:t>timeConversionFactor</w:t>
      </w:r>
      <w:proofErr w:type="spellEnd"/>
      <w:r>
        <w:t>’, and ‘</w:t>
      </w:r>
      <w:proofErr w:type="spellStart"/>
      <w:r>
        <w:t>extentConversionFactor</w:t>
      </w:r>
      <w:proofErr w:type="spellEnd"/>
      <w:r>
        <w:t xml:space="preserve">’ dictate how any submodel math whose unit types are defined by the Level 3 core specification are to be converted </w:t>
      </w:r>
      <w:r>
        <w:rPr>
          <w:b/>
        </w:rPr>
        <w:t>whether or not that element was replaced</w:t>
      </w:r>
      <w:r>
        <w:t>, in the absence of an explicit conversion factor for that element.  Thus, all Compartments set ‘</w:t>
      </w:r>
      <w:proofErr w:type="spellStart"/>
      <w:r>
        <w:t>spatialDimension</w:t>
      </w:r>
      <w:proofErr w:type="spellEnd"/>
      <w:r>
        <w:t xml:space="preserve">=1’ in the submodel must be converted according to the </w:t>
      </w:r>
      <w:proofErr w:type="spellStart"/>
      <w:r>
        <w:t>lengthConversionFactor</w:t>
      </w:r>
      <w:proofErr w:type="spellEnd"/>
      <w:r>
        <w:t xml:space="preserve">, with all assignments to that compartment multiplied by the conversion factor, and that compartment’s SId divided by it wherever it appears inside a math element.  All </w:t>
      </w:r>
      <w:r w:rsidR="00B51E30">
        <w:t>rates of change of species amounts (defined in section 4.11.7 of the Level 3 specification)</w:t>
      </w:r>
      <w:r>
        <w:t xml:space="preserve"> are converted by the </w:t>
      </w:r>
      <w:proofErr w:type="spellStart"/>
      <w:r>
        <w:t>substanceConversionFactor</w:t>
      </w:r>
      <w:proofErr w:type="spellEnd"/>
      <w:r>
        <w:t xml:space="preserve">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xml:space="preserve">.  All species concentrations from compartments of dimension 2 are converted by the </w:t>
      </w:r>
      <w:proofErr w:type="spellStart"/>
      <w:r>
        <w:t>substanceConversionFactor</w:t>
      </w:r>
      <w:proofErr w:type="spellEnd"/>
      <w:r>
        <w:t xml:space="preserve"> divided by the </w:t>
      </w:r>
      <w:proofErr w:type="spellStart"/>
      <w:r>
        <w:t>areaConversionFactor</w:t>
      </w:r>
      <w:proofErr w:type="spellEnd"/>
      <w:r>
        <w:t>.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w:t>
      </w:r>
      <w:proofErr w:type="spellStart"/>
      <w:r w:rsidR="000B5F01">
        <w:t>substanceConversionFactor</w:t>
      </w:r>
      <w:proofErr w:type="spellEnd"/>
      <w:r w:rsidR="000B5F01">
        <w:t>’ is defined but ‘</w:t>
      </w:r>
      <w:proofErr w:type="spellStart"/>
      <w:r>
        <w:t>area</w:t>
      </w:r>
      <w:r w:rsidR="000B5F01">
        <w:t>ConversionFactor</w:t>
      </w:r>
      <w:proofErr w:type="spellEnd"/>
      <w:r w:rsidR="000B5F01">
        <w:t xml:space="preserve">’ is not, species concentrations from compartments of dimension 2 are still converted according to the </w:t>
      </w:r>
      <w:proofErr w:type="spellStart"/>
      <w:r w:rsidR="000B5F01">
        <w:t>substanceConversionFactor</w:t>
      </w:r>
      <w:proofErr w:type="spellEnd"/>
      <w:r w:rsidR="000B5F01">
        <w:t>,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w:t>
      </w:r>
      <w:proofErr w:type="spellStart"/>
      <w:r>
        <w:t>spatialDimension</w:t>
      </w:r>
      <w:proofErr w:type="spellEnd"/>
      <w:r>
        <w:t xml:space="preserve"> set, or set to a fractal </w:t>
      </w:r>
      <w:proofErr w:type="spellStart"/>
      <w:r>
        <w:t>spatialDimension</w:t>
      </w:r>
      <w:proofErr w:type="spellEnd"/>
      <w:r>
        <w:t xml:space="preserve"> such as 2.6 should not be converted automatically.  This means that if a Parameter is internal to a submodel and </w:t>
      </w:r>
      <w:r w:rsidR="00F05210">
        <w:t xml:space="preserve">not </w:t>
      </w:r>
      <w:r>
        <w:t xml:space="preserve">replaced, there is no way to convert it, and it will remain in </w:t>
      </w:r>
      <w:r w:rsidR="00F05210">
        <w:t xml:space="preserve">its original </w:t>
      </w:r>
      <w:r>
        <w:t xml:space="preserve">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w:t>
      </w:r>
      <w:proofErr w:type="spellStart"/>
      <w:r>
        <w:t>RateRule</w:t>
      </w:r>
      <w:proofErr w:type="spellEnd"/>
      <w:r>
        <w:t xml:space="preserve"> that defines how a Parameter changes with time.  If the Parameter has been replaced and given a conversion factor, the Parameter’s explicit conversion factor is </w:t>
      </w:r>
      <w:r>
        <w:lastRenderedPageBreak/>
        <w:t xml:space="preserve">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w:t>
      </w:r>
      <w:proofErr w:type="spellStart"/>
      <w:r>
        <w:t>substanceConversionFactor</w:t>
      </w:r>
      <w:proofErr w:type="spellEnd"/>
      <w:r>
        <w:t xml:space="preserve"> from the Submodel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w:t>
      </w:r>
      <w:proofErr w:type="spellStart"/>
      <w:r>
        <w:t>substanceConversionFactor</w:t>
      </w:r>
      <w:proofErr w:type="spellEnd"/>
      <w:r>
        <w:t xml:space="preserve">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no automatic </w:t>
      </w:r>
      <w:proofErr w:type="spellStart"/>
      <w:r>
        <w:t>conversionFactor</w:t>
      </w:r>
      <w:proofErr w:type="spellEnd"/>
      <w:r>
        <w:t xml:space="preserve"> is possible, and if one is needed, it must be set explicitly on the species’ replacement itself.</w:t>
      </w:r>
    </w:p>
    <w:p w:rsidR="000B5F01" w:rsidRDefault="000B5F01" w:rsidP="000B5F01">
      <w:r>
        <w:t>Another complication is the situation where a species is set ‘</w:t>
      </w:r>
      <w:proofErr w:type="spellStart"/>
      <w:r>
        <w:t>hasOnlySubstanceUnits</w:t>
      </w:r>
      <w:proofErr w:type="spellEnd"/>
      <w:r>
        <w:t>=true’ in the submodel, but is set ‘</w:t>
      </w:r>
      <w:proofErr w:type="spellStart"/>
      <w:r>
        <w:t>hasOnlySubstanceUnits</w:t>
      </w:r>
      <w:proofErr w:type="spellEnd"/>
      <w:r>
        <w:t xml:space="preserve">=false’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w:t>
      </w:r>
      <w:r w:rsidR="00282AFB">
        <w:t>-10</w:t>
      </w:r>
      <w:r>
        <w:t>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Submodel (‘</w:t>
      </w:r>
      <w:proofErr w:type="spellStart"/>
      <w:r w:rsidR="00282AFB">
        <w:t>newpack:</w:t>
      </w:r>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 xml:space="preserve">For convenience, here is a table of SBML core elements and concepts, and what conversion factors they use </w:t>
      </w:r>
      <w:bookmarkStart w:id="1" w:name="_GoBack"/>
      <w:bookmarkEnd w:id="1"/>
      <w:r>
        <w:t>when included as a submodel:</w:t>
      </w:r>
    </w:p>
    <w:p w:rsidR="000B5F01" w:rsidRDefault="000B5F01" w:rsidP="000B5F01">
      <w:pPr>
        <w:pStyle w:val="Caption"/>
        <w:keepNext/>
      </w:pPr>
      <w:proofErr w:type="gramStart"/>
      <w:r>
        <w:t xml:space="preserve">Table </w:t>
      </w:r>
      <w:r w:rsidR="00A15548">
        <w:fldChar w:fldCharType="begin"/>
      </w:r>
      <w:r w:rsidR="00A15548">
        <w:instrText xml:space="preserve"> SEQ Table \* ARABIC </w:instrText>
      </w:r>
      <w:r w:rsidR="00A15548">
        <w:fldChar w:fldCharType="separate"/>
      </w:r>
      <w:r w:rsidR="000E6756">
        <w:rPr>
          <w:noProof/>
        </w:rPr>
        <w:t>1</w:t>
      </w:r>
      <w:r w:rsidR="00A15548">
        <w:rPr>
          <w:noProof/>
        </w:rPr>
        <w:fldChar w:fldCharType="end"/>
      </w:r>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w:t>
      </w:r>
      <w:r>
        <w:lastRenderedPageBreak/>
        <w:t>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rsidR="000B5F01" w:rsidRPr="00B55652" w:rsidRDefault="00F05210"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1</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=1</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lengthConversionFactor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=2</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areaConversionFactor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=3</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volumeConversionFactor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 xml:space="preserve"> undefined or not equal to 1, 2, or 3</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InitialAssignment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KineticLaw</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extentConversionFactor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RateRule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xml:space="preserve">(conversion factor of symbol)/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=true,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compartment</w:t>
            </w:r>
          </w:p>
        </w:tc>
      </w:tr>
      <w:tr w:rsidR="000B5F01" w:rsidRPr="00B55652"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=false,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 compartment/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SpeciesReference</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Trigger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511009" w:rsidRDefault="00511009" w:rsidP="00511009">
      <w:pPr>
        <w:pStyle w:val="Heading21"/>
      </w:pPr>
      <w:r>
        <w:t>3.7</w:t>
      </w:r>
      <w:r>
        <w:tab/>
      </w:r>
      <w:r w:rsidR="004D0B68">
        <w:t>Identifier scoping</w:t>
      </w:r>
    </w:p>
    <w:p w:rsidR="00511009" w:rsidRDefault="002E6147" w:rsidP="00511009">
      <w:pPr>
        <w:pStyle w:val="Body"/>
      </w:pPr>
      <w:r>
        <w:t>In section 3.3.1 of the SBML Level 3 version 1 specification, three scopes for element ids are defined:  the scope of IDs over the Model, over a Reaction, and for Units within a Model</w:t>
      </w:r>
      <w:r w:rsidR="00296D96">
        <w:t xml:space="preserve">.  </w:t>
      </w:r>
      <w:r w:rsidR="00511009">
        <w:t>The introduction of hierarchy to SBML creates a profusion of namespaces, each of which is explained above, but which is summarized here for convenience.</w:t>
      </w:r>
    </w:p>
    <w:p w:rsidR="00511009" w:rsidRDefault="00511009" w:rsidP="00214BAE">
      <w:pPr>
        <w:pStyle w:val="indent1level"/>
      </w:pPr>
      <w:r w:rsidRPr="00214BAE">
        <w:rPr>
          <w:b/>
        </w:rPr>
        <w:t>SBMLDocument</w:t>
      </w:r>
      <w:r>
        <w:t xml:space="preserve">:  </w:t>
      </w:r>
      <w:r w:rsidR="00214BAE">
        <w:t xml:space="preserve">The identifier of every Model, ModelDefinition, and ExternalModelDefinition in the document must be unique across the set of all such identifiers in the document.  </w:t>
      </w:r>
      <w:r w:rsidR="00325C67">
        <w:t>This is referred to as the ‘model namespace of the document’.</w:t>
      </w:r>
    </w:p>
    <w:p w:rsidR="007A2D46" w:rsidRDefault="007A2D46" w:rsidP="00214BAE">
      <w:pPr>
        <w:pStyle w:val="indent1level"/>
      </w:pPr>
      <w:r w:rsidRPr="00214BAE">
        <w:rPr>
          <w:b/>
        </w:rPr>
        <w:t>Model and ModelDefinitions</w:t>
      </w:r>
      <w:r>
        <w:t xml:space="preserve">:  </w:t>
      </w:r>
      <w:r w:rsidR="00214BAE">
        <w:t xml:space="preserve">As in core SBML Level3, the identifiers of every </w:t>
      </w:r>
      <w:proofErr w:type="spellStart"/>
      <w:r w:rsidR="00214BAE">
        <w:t>FunctionDefinition</w:t>
      </w:r>
      <w:proofErr w:type="spellEnd"/>
      <w:r w:rsidR="00214BAE">
        <w:t xml:space="preserve">, Compartment, Species, Parameter, Reaction, SpeciesReference, </w:t>
      </w:r>
      <w:proofErr w:type="spellStart"/>
      <w:r w:rsidR="00214BAE">
        <w:t>ModifierSpeciesReference</w:t>
      </w:r>
      <w:proofErr w:type="spellEnd"/>
      <w:r w:rsidR="00214BAE">
        <w:t>, Event, and Model,</w:t>
      </w:r>
      <w:r w:rsidR="00464434">
        <w:t xml:space="preserve"> plus the newly-defined classes Submodel and Deletion must be unique across the set of all such identifiers in the Model or ModelDefinition to which they belong.  This is referred to as the ‘element namespace of the model’.  When there are multiple Models or ModelDefintions, this means there are multiple such namespaces, </w:t>
      </w:r>
      <w:r w:rsidR="00F05210">
        <w:t>so</w:t>
      </w:r>
      <w:r w:rsidR="00464434">
        <w:t xml:space="preserve"> that when </w:t>
      </w:r>
      <w:proofErr w:type="gramStart"/>
      <w:r w:rsidR="00464434">
        <w:t>an</w:t>
      </w:r>
      <w:proofErr w:type="gramEnd"/>
      <w:r w:rsidR="00464434">
        <w:t xml:space="preserve"> SIdRef points to this namespace, one must also know to which Model one is referring.</w:t>
      </w:r>
    </w:p>
    <w:p w:rsidR="004D0B68" w:rsidRDefault="00A15548" w:rsidP="00325C67">
      <w:pPr>
        <w:pStyle w:val="indent1level"/>
      </w:pPr>
      <w:r>
        <w:rPr>
          <w:b/>
        </w:rPr>
        <w:t>Units</w:t>
      </w:r>
      <w:r w:rsidR="004D0B68" w:rsidRPr="004D0B68">
        <w:t>:</w:t>
      </w:r>
      <w:r w:rsidR="004D0B68">
        <w:t xml:space="preserve">  </w:t>
      </w:r>
      <w:r w:rsidR="00F05210">
        <w:t xml:space="preserve">As in </w:t>
      </w:r>
      <w:r w:rsidR="004D0B68">
        <w:t>Core SBML Level 3</w:t>
      </w:r>
      <w:r w:rsidR="00F05210">
        <w:t xml:space="preserve">, the identifiers of every Unit must be unique across the set of all such identifiers in the Model or ModelDefinition to which they belong.  This is referred to as the ‘unit namespace of the model’.  </w:t>
      </w:r>
      <w:r w:rsidR="00F05210">
        <w:t>When there are multiple Models or ModelDefintions, this means there are multiple such namespace</w:t>
      </w:r>
      <w:r w:rsidR="00F05210">
        <w:t xml:space="preserve">s, </w:t>
      </w:r>
      <w:r w:rsidR="00F05210">
        <w:t>so</w:t>
      </w:r>
      <w:r w:rsidR="00F05210">
        <w:t xml:space="preserve"> that when a</w:t>
      </w:r>
      <w:r w:rsidR="00F05210">
        <w:t xml:space="preserve"> </w:t>
      </w:r>
      <w:proofErr w:type="spellStart"/>
      <w:r w:rsidR="00F05210">
        <w:t>Unit</w:t>
      </w:r>
      <w:r w:rsidR="00F05210">
        <w:t>SIdRef</w:t>
      </w:r>
      <w:proofErr w:type="spellEnd"/>
      <w:r w:rsidR="00F05210">
        <w:t xml:space="preserve"> points to this namespace, one must also know to which Model one is referring.</w:t>
      </w:r>
    </w:p>
    <w:p w:rsidR="00F05210" w:rsidRDefault="00F05210" w:rsidP="00F05210">
      <w:pPr>
        <w:pStyle w:val="indent1level"/>
      </w:pPr>
      <w:r>
        <w:rPr>
          <w:b/>
        </w:rPr>
        <w:t>Ports</w:t>
      </w:r>
      <w:r w:rsidRPr="00F05210">
        <w:t>:</w:t>
      </w:r>
      <w:r>
        <w:t xml:space="preserve">  A new construct in this package; the identifiers of every Port must be unique across the set of all such identifiers in the Model or ModelDefinition to which they belong.  This is referred to as the ‘port namespace of the model’.  When there are multiple Models </w:t>
      </w:r>
      <w:r>
        <w:t>or ModelDefintions, this means there are multiple such namespaces, so</w:t>
      </w:r>
      <w:r>
        <w:t xml:space="preserve"> </w:t>
      </w:r>
      <w:r>
        <w:t xml:space="preserve">that when a </w:t>
      </w:r>
      <w:proofErr w:type="spellStart"/>
      <w:r>
        <w:t>UnitSIdRef</w:t>
      </w:r>
      <w:proofErr w:type="spellEnd"/>
      <w:r>
        <w:t xml:space="preserve"> points to this namespace, one must also know to which Model one is referring.</w:t>
      </w:r>
    </w:p>
    <w:p w:rsidR="00F05210" w:rsidRDefault="00F05210" w:rsidP="00F05210">
      <w:pPr>
        <w:pStyle w:val="indent1level"/>
      </w:pPr>
      <w:r>
        <w:rPr>
          <w:b/>
        </w:rPr>
        <w:t>Reactions</w:t>
      </w:r>
      <w:r w:rsidRPr="00464434">
        <w:t>:</w:t>
      </w:r>
      <w:r>
        <w:t xml:space="preserve">  As Reactions augment and override the element namespace of a model with the identifiers of LocalParameters, these LocalParameters are not </w:t>
      </w:r>
      <w:proofErr w:type="spellStart"/>
      <w:r>
        <w:t>referenceable</w:t>
      </w:r>
      <w:proofErr w:type="spellEnd"/>
      <w:r>
        <w:t xml:space="preserve"> outside of </w:t>
      </w:r>
      <w:proofErr w:type="gramStart"/>
      <w:r>
        <w:t>that</w:t>
      </w:r>
      <w:proofErr w:type="gramEnd"/>
      <w:r>
        <w:t xml:space="preserve"> Reaction.  This is referred to as the ‘element namespace of the reaction’.  In particular, this means that </w:t>
      </w:r>
      <w:proofErr w:type="spellStart"/>
      <w:r>
        <w:t>SBaseRef</w:t>
      </w:r>
      <w:proofErr w:type="spellEnd"/>
      <w:r>
        <w:t xml:space="preserve"> elements may not reference LocalParameters by id.  However, these LocalParameters may still be deleted or replaced by giving them a </w:t>
      </w:r>
      <w:proofErr w:type="spellStart"/>
      <w:r>
        <w:t>metaId</w:t>
      </w:r>
      <w:proofErr w:type="spellEnd"/>
      <w:r>
        <w:t xml:space="preserve"> and referring to that.  If replaced, it must be by an element in the normal element namespace of a model (such as a global Parameter).  Old references to that replaced LocalParameter will then point to the new replacement element.  If a LocalParameter is deleted from a Reaction whose KineticLaw used it in its math, that KineticLaw may still be valid if there was an element in the element namespace of the model with that same id to which it can now refer (in other words, if the LocalParameter shadowed a global parameter).</w:t>
      </w:r>
    </w:p>
    <w:p w:rsidR="00511009" w:rsidRPr="00511009" w:rsidRDefault="00511009" w:rsidP="00511009">
      <w:pPr>
        <w:pStyle w:val="Body"/>
      </w:pPr>
    </w:p>
    <w:p w:rsidR="00DA1154" w:rsidRDefault="00DA1154" w:rsidP="00DA1154">
      <w:pPr>
        <w:pStyle w:val="Heading11"/>
      </w:pPr>
      <w:r>
        <w:lastRenderedPageBreak/>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w:t>
      </w:r>
      <w:proofErr w:type="spellStart"/>
      <w:r w:rsidRPr="00774D65">
        <w:rPr>
          <w:rFonts w:ascii="Courier New" w:hAnsi="Courier New" w:cs="Courier New"/>
          <w:sz w:val="16"/>
          <w:szCs w:val="16"/>
        </w:rPr>
        <w:t>spatialDimensions</w:t>
      </w:r>
      <w:proofErr w:type="spellEnd"/>
      <w:r w:rsidRPr="00774D65">
        <w:rPr>
          <w:rFonts w:ascii="Courier New" w:hAnsi="Courier New" w:cs="Courier New"/>
          <w:sz w:val="16"/>
          <w:szCs w:val="16"/>
        </w:rPr>
        <w:t>="3"/&gt;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submodel="A" symbol="comp" identical="true" /&gt;</w:t>
      </w:r>
    </w:p>
    <w:p w:rsidR="00DA1154" w:rsidRDefault="00DA1154" w:rsidP="00DA1154">
      <w:pPr>
        <w:pStyle w:val="text"/>
      </w:pPr>
      <w:r>
        <w:t xml:space="preserve">          &lt;</w:t>
      </w:r>
      <w:proofErr w:type="spellStart"/>
      <w:r>
        <w:t>subelement</w:t>
      </w:r>
      <w:proofErr w:type="spellEnd"/>
      <w:r>
        <w:t xml:space="preserve"> submodel="B"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submodel="A" symbol="S" identical="true" /&gt;</w:t>
      </w:r>
    </w:p>
    <w:p w:rsidR="00DA1154" w:rsidRDefault="00DA1154" w:rsidP="00DA1154">
      <w:pPr>
        <w:pStyle w:val="text"/>
      </w:pPr>
      <w:r>
        <w:t xml:space="preserve">          &lt;</w:t>
      </w:r>
      <w:proofErr w:type="spellStart"/>
      <w:r>
        <w:t>subelement</w:t>
      </w:r>
      <w:proofErr w:type="spellEnd"/>
      <w:r>
        <w:t xml:space="preserve"> submodel="B"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lastRenderedPageBreak/>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submodel="simple"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xml:space="preserve">”,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w:t>
      </w:r>
      <w:r>
        <w:lastRenderedPageBreak/>
        <w:t>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354F9A" w:rsidRDefault="00354F9A" w:rsidP="00354F9A">
      <w:pPr>
        <w:pStyle w:val="text"/>
      </w:pPr>
      <w:proofErr w:type="gramStart"/>
      <w:r>
        <w:t>&lt;?xml</w:t>
      </w:r>
      <w:proofErr w:type="gramEnd"/>
      <w:r>
        <w:t xml:space="preserve"> version="1.0" encoding="UTF-8"?&gt;</w:t>
      </w:r>
    </w:p>
    <w:p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rsidR="00354F9A" w:rsidRDefault="00354F9A" w:rsidP="00354F9A">
      <w:pPr>
        <w:pStyle w:val="text"/>
      </w:pPr>
      <w:r>
        <w:t xml:space="preserve">      xmlns:comp="http://www.sbml.org/sbml/level3/version1/comp/version1"</w:t>
      </w:r>
    </w:p>
    <w:p w:rsidR="00354F9A" w:rsidRDefault="00354F9A" w:rsidP="00354F9A">
      <w:pPr>
        <w:pStyle w:val="text"/>
      </w:pPr>
      <w:r>
        <w:t xml:space="preserve">      </w:t>
      </w:r>
      <w:proofErr w:type="spellStart"/>
      <w:proofErr w:type="gramStart"/>
      <w:r>
        <w:t>comp:</w:t>
      </w:r>
      <w:proofErr w:type="gramEnd"/>
      <w:r>
        <w:t>required</w:t>
      </w:r>
      <w:proofErr w:type="spellEnd"/>
      <w:r>
        <w:t>="true"&gt;</w:t>
      </w:r>
    </w:p>
    <w:p w:rsidR="00354F9A" w:rsidRDefault="00354F9A" w:rsidP="00354F9A">
      <w:pPr>
        <w:pStyle w:val="text"/>
      </w:pPr>
    </w:p>
    <w:p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r>
        <w:t>modelDefinition</w:t>
      </w:r>
      <w:proofErr w:type="spellEnd"/>
      <w:r>
        <w:t xml:space="preserve"> id="simple" name="simple"&gt;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modelDefinition</w:t>
      </w:r>
      <w:proofErr w:type="spellEnd"/>
      <w:r>
        <w:t xml:space="preserve"> id="enzyme" name="enzyme"&gt;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354F9A" w:rsidRDefault="00354F9A" w:rsidP="00354F9A">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lastRenderedPageBreak/>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 </w:t>
      </w:r>
      <w:proofErr w:type="spellStart"/>
      <w:r>
        <w:t>portid</w:t>
      </w:r>
      <w:proofErr w:type="spellEnd"/>
      <w:r>
        <w:t>="J1_port"&gt;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listOfModelDefinitions</w:t>
      </w:r>
      <w:proofErr w:type="spellEnd"/>
      <w:r>
        <w:t>&gt;</w:t>
      </w:r>
    </w:p>
    <w:p w:rsidR="00354F9A" w:rsidRDefault="00354F9A" w:rsidP="00354F9A">
      <w:pPr>
        <w:pStyle w:val="text"/>
      </w:pPr>
    </w:p>
    <w:p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proofErr w:type="gramStart"/>
      <w:r>
        <w:t>listOfSubmodels</w:t>
      </w:r>
      <w:proofErr w:type="spellEnd"/>
      <w:proofErr w:type="gramEnd"/>
      <w:r>
        <w:t>&gt;</w:t>
      </w:r>
    </w:p>
    <w:p w:rsidR="00354F9A" w:rsidRDefault="00354F9A" w:rsidP="00354F9A">
      <w:pPr>
        <w:pStyle w:val="text"/>
      </w:pPr>
      <w:r>
        <w:t xml:space="preserve">       &lt;submodel id="simple"&gt;</w:t>
      </w:r>
    </w:p>
    <w:p w:rsidR="00354F9A" w:rsidRDefault="00354F9A" w:rsidP="00354F9A">
      <w:pPr>
        <w:pStyle w:val="text"/>
      </w:pPr>
      <w:r>
        <w:t xml:space="preserve">         &lt;</w:t>
      </w:r>
      <w:proofErr w:type="spellStart"/>
      <w:r>
        <w:t>modelRef</w:t>
      </w:r>
      <w:proofErr w:type="spellEnd"/>
      <w:r>
        <w:t xml:space="preserve"> model="simple" /&gt;</w:t>
      </w:r>
    </w:p>
    <w:p w:rsidR="00354F9A" w:rsidRDefault="00354F9A" w:rsidP="00354F9A">
      <w:pPr>
        <w:pStyle w:val="text"/>
      </w:pPr>
      <w:r>
        <w:t xml:space="preserve">         &lt;</w:t>
      </w:r>
      <w:proofErr w:type="spellStart"/>
      <w:proofErr w:type="gramStart"/>
      <w:r>
        <w:t>listOfDeletions</w:t>
      </w:r>
      <w:proofErr w:type="spellEnd"/>
      <w:proofErr w:type="gramEnd"/>
      <w:r>
        <w:t>&gt;</w:t>
      </w:r>
    </w:p>
    <w:p w:rsidR="00354F9A" w:rsidRDefault="00354F9A" w:rsidP="00354F9A">
      <w:pPr>
        <w:pStyle w:val="text"/>
      </w:pPr>
      <w:r>
        <w:t xml:space="preserve">           &lt;deletion id="</w:t>
      </w:r>
      <w:proofErr w:type="spellStart"/>
      <w:r>
        <w:t>oldrxn</w:t>
      </w:r>
      <w:proofErr w:type="spellEnd"/>
      <w:r>
        <w:t>" port="J0_port" /&gt;</w:t>
      </w:r>
    </w:p>
    <w:p w:rsidR="00354F9A" w:rsidRDefault="00354F9A" w:rsidP="00354F9A">
      <w:pPr>
        <w:pStyle w:val="text"/>
      </w:pPr>
      <w:r>
        <w:t xml:space="preserve">         &lt;/</w:t>
      </w:r>
      <w:proofErr w:type="spellStart"/>
      <w:r>
        <w:t>listOfDeletions</w:t>
      </w:r>
      <w:proofErr w:type="spellEnd"/>
      <w:r>
        <w:t>&gt;</w:t>
      </w:r>
    </w:p>
    <w:p w:rsidR="00354F9A" w:rsidRDefault="00354F9A" w:rsidP="00354F9A">
      <w:pPr>
        <w:pStyle w:val="text"/>
      </w:pPr>
      <w:r>
        <w:t xml:space="preserve">       &lt;/submodel&gt;</w:t>
      </w:r>
    </w:p>
    <w:p w:rsidR="00354F9A" w:rsidRDefault="00354F9A" w:rsidP="00354F9A">
      <w:pPr>
        <w:pStyle w:val="text"/>
      </w:pPr>
      <w:r>
        <w:t xml:space="preserve">       &lt;submodel id="enzyme"&gt;</w:t>
      </w:r>
    </w:p>
    <w:p w:rsidR="00354F9A" w:rsidRDefault="00354F9A" w:rsidP="00354F9A">
      <w:pPr>
        <w:pStyle w:val="text"/>
      </w:pPr>
      <w:r>
        <w:t xml:space="preserve">         &lt;</w:t>
      </w:r>
      <w:proofErr w:type="spellStart"/>
      <w:r>
        <w:t>modelRef</w:t>
      </w:r>
      <w:proofErr w:type="spellEnd"/>
      <w:r>
        <w:t xml:space="preserve"> model="enzyme" /&gt;</w:t>
      </w:r>
    </w:p>
    <w:p w:rsidR="00354F9A" w:rsidRDefault="00354F9A" w:rsidP="00354F9A">
      <w:pPr>
        <w:pStyle w:val="text"/>
      </w:pPr>
      <w:r>
        <w:t xml:space="preserve">       &lt;/submodel&gt;</w:t>
      </w:r>
    </w:p>
    <w:p w:rsidR="00354F9A" w:rsidRDefault="00354F9A" w:rsidP="00354F9A">
      <w:pPr>
        <w:pStyle w:val="text"/>
      </w:pPr>
      <w:r>
        <w:t xml:space="preserve">    &lt;/</w:t>
      </w:r>
      <w:proofErr w:type="spellStart"/>
      <w:r>
        <w:t>listOfSubmodels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submodel="enzyme" port="J0_port"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submodel="enzyme" port="J1_port"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="3"&gt;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port="</w:t>
      </w:r>
      <w:proofErr w:type="spellStart"/>
      <w:r>
        <w:t>comp_port</w:t>
      </w:r>
      <w:proofErr w:type="spellEnd"/>
      <w:r>
        <w:t>" identical="true" /&gt;</w:t>
      </w:r>
    </w:p>
    <w:p w:rsidR="00354F9A" w:rsidRDefault="00354F9A" w:rsidP="00354F9A">
      <w:pPr>
        <w:pStyle w:val="text"/>
      </w:pPr>
      <w:r>
        <w:t xml:space="preserve">          &lt;</w:t>
      </w:r>
      <w:proofErr w:type="spellStart"/>
      <w:r>
        <w:t>subelement</w:t>
      </w:r>
      <w:proofErr w:type="spellEnd"/>
      <w:r>
        <w:t xml:space="preserve"> submodel="enzyme" port="</w:t>
      </w:r>
      <w:proofErr w:type="spellStart"/>
      <w:r>
        <w:t>comp_port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&lt;/compartment&gt;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port="</w:t>
      </w:r>
      <w:proofErr w:type="spellStart"/>
      <w:r>
        <w:t>S_port</w:t>
      </w:r>
      <w:proofErr w:type="spellEnd"/>
      <w:r>
        <w:t>" identical="true" /&gt;</w:t>
      </w:r>
    </w:p>
    <w:p w:rsidR="00354F9A" w:rsidRDefault="00354F9A" w:rsidP="00354F9A">
      <w:pPr>
        <w:pStyle w:val="text"/>
      </w:pPr>
      <w:r>
        <w:t xml:space="preserve">          &lt;</w:t>
      </w:r>
      <w:proofErr w:type="spellStart"/>
      <w:r>
        <w:t>subelement</w:t>
      </w:r>
      <w:proofErr w:type="spellEnd"/>
      <w:r>
        <w:t xml:space="preserve"> submodel="enzyme" port="</w:t>
      </w:r>
      <w:proofErr w:type="spellStart"/>
      <w:r>
        <w:t>S_port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lastRenderedPageBreak/>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port="</w:t>
      </w:r>
      <w:proofErr w:type="spellStart"/>
      <w:r>
        <w:t>D_port</w:t>
      </w:r>
      <w:proofErr w:type="spellEnd"/>
      <w:r>
        <w:t>" identical="true" /&gt;</w:t>
      </w:r>
    </w:p>
    <w:p w:rsidR="00354F9A" w:rsidRDefault="00354F9A" w:rsidP="00354F9A">
      <w:pPr>
        <w:pStyle w:val="text"/>
      </w:pPr>
      <w:r>
        <w:t xml:space="preserve">          &lt;</w:t>
      </w:r>
      <w:proofErr w:type="spellStart"/>
      <w:r>
        <w:t>subelement</w:t>
      </w:r>
      <w:proofErr w:type="spellEnd"/>
      <w:r>
        <w:t xml:space="preserve"> submodel="enzyme" port="</w:t>
      </w:r>
      <w:proofErr w:type="spellStart"/>
      <w:r>
        <w:t>D_port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submodel="enzyme" port="</w:t>
      </w:r>
      <w:proofErr w:type="spellStart"/>
      <w:r>
        <w:t>E_port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submodel="enzyme" port="</w:t>
      </w:r>
      <w:proofErr w:type="spellStart"/>
      <w:r>
        <w:t>ES_port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&lt;/model&gt;</w:t>
      </w:r>
    </w:p>
    <w:p w:rsidR="00354F9A" w:rsidRDefault="00354F9A" w:rsidP="00354F9A">
      <w:pPr>
        <w:pStyle w:val="text"/>
      </w:pPr>
    </w:p>
    <w:p w:rsidR="00DA1154" w:rsidRDefault="00354F9A" w:rsidP="00354F9A">
      <w:pPr>
        <w:pStyle w:val="text"/>
      </w:pPr>
      <w:r>
        <w:t>&lt;/</w:t>
      </w:r>
      <w:proofErr w:type="spellStart"/>
      <w:r>
        <w:t>sbml</w:t>
      </w:r>
      <w:proofErr w:type="spellEnd"/>
      <w:r>
        <w:t>&gt;</w:t>
      </w:r>
    </w:p>
    <w:p w:rsidR="00354F9A" w:rsidRDefault="00354F9A" w:rsidP="00354F9A">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SId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xml:space="preserve">, and the model will be impossible to instantiate at all.  But models that leave required flags undefined in its elements may become valid if those elements are replaced by valid elements, or if they are deleted entirely.  Similarly, references to </w:t>
      </w:r>
      <w:r>
        <w:lastRenderedPageBreak/>
        <w:t>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Every SId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SId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w:t>
      </w:r>
      <w:r w:rsidR="005F14B1">
        <w:t xml:space="preserve"> t</w:t>
      </w:r>
      <w:r>
        <w: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SId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lastRenderedPageBreak/>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19"/>
      <w:headerReference w:type="default" r:id="rId20"/>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8CB" w:rsidRDefault="000638CB" w:rsidP="009D0FE6">
      <w:r>
        <w:separator/>
      </w:r>
    </w:p>
  </w:endnote>
  <w:endnote w:type="continuationSeparator" w:id="0">
    <w:p w:rsidR="000638CB" w:rsidRDefault="000638CB"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8CB" w:rsidRDefault="000638CB" w:rsidP="009D0FE6">
      <w:r>
        <w:separator/>
      </w:r>
    </w:p>
  </w:footnote>
  <w:footnote w:type="continuationSeparator" w:id="0">
    <w:p w:rsidR="000638CB" w:rsidRDefault="000638CB" w:rsidP="009D0FE6">
      <w:r>
        <w:continuationSeparator/>
      </w:r>
    </w:p>
  </w:footnote>
  <w:footnote w:id="1">
    <w:p w:rsidR="00A15548" w:rsidRDefault="00A15548"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A15548" w:rsidRDefault="00A15548"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A15548" w:rsidRDefault="00A15548"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A15548" w:rsidRDefault="00A15548"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A15548" w:rsidRDefault="00A15548"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A15548" w:rsidRDefault="00A15548"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A15548" w:rsidRDefault="00A15548"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A15548" w:rsidRDefault="00A15548">
      <w:pPr>
        <w:pStyle w:val="FootnoteText"/>
      </w:pPr>
      <w:r>
        <w:rPr>
          <w:rStyle w:val="FootnoteReference"/>
        </w:rPr>
        <w:footnoteRef/>
      </w:r>
      <w:r>
        <w:t xml:space="preserve"> </w:t>
      </w:r>
      <w:hyperlink r:id="rId30" w:history="1">
        <w:r w:rsidRPr="003F2524">
          <w:rPr>
            <w:rStyle w:val="Hyperlink"/>
            <w:sz w:val="18"/>
            <w:szCs w:val="18"/>
            <w:u w:val="none"/>
          </w:rPr>
          <w:t>http://precedings.nature.com/documents/5133/version/1</w:t>
        </w:r>
      </w:hyperlink>
      <w:r>
        <w:rPr>
          <w:sz w:val="18"/>
          <w:szCs w:val="18"/>
        </w:rPr>
        <w:t xml:space="preserve"> </w:t>
      </w:r>
    </w:p>
  </w:footnote>
  <w:footnote w:id="28">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http://www.sbml.org/Forums/index.php?t=tree&amp;goto=6104</w:t>
        </w:r>
      </w:hyperlink>
    </w:p>
  </w:footnote>
  <w:footnote w:id="29">
    <w:p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2" w:history="1">
        <w:r>
          <w:rPr>
            <w:rStyle w:val="Hyperlink1"/>
          </w:rPr>
          <w:t>http://sbml.org/Events/SBML_Editors'_Meetings/Minutes/2010-06-22</w:t>
        </w:r>
      </w:hyperlink>
    </w:p>
  </w:footnote>
  <w:footnote w:id="30">
    <w:p w:rsidR="00A15548" w:rsidRDefault="00A15548">
      <w:pPr>
        <w:pStyle w:val="FootnoteText"/>
      </w:pPr>
      <w:r>
        <w:rPr>
          <w:rStyle w:val="FootnoteReference"/>
        </w:rPr>
        <w:footnoteRef/>
      </w:r>
      <w:r>
        <w:t xml:space="preserve"> </w:t>
      </w:r>
      <w:hyperlink r:id="rId33" w:history="1">
        <w:r w:rsidRPr="00B24F66">
          <w:rPr>
            <w:rStyle w:val="Hyperlink"/>
            <w:u w:val="none"/>
          </w:rPr>
          <w:t>http://tools.ietf.org/html/rfc3986</w:t>
        </w:r>
      </w:hyperlink>
      <w:r>
        <w:t xml:space="preserve"> </w:t>
      </w:r>
    </w:p>
  </w:footnote>
  <w:footnote w:id="31">
    <w:p w:rsidR="00A15548" w:rsidRDefault="00A15548"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 w:id="32">
    <w:p w:rsidR="00A15548" w:rsidRDefault="00A15548" w:rsidP="00780491">
      <w:pPr>
        <w:pStyle w:val="FootnoteText"/>
      </w:pPr>
      <w:r>
        <w:rPr>
          <w:rStyle w:val="FootnoteReference"/>
        </w:rPr>
        <w:footnoteRef/>
      </w:r>
      <w:r>
        <w:t xml:space="preserve"> </w:t>
      </w:r>
      <w:hyperlink r:id="rId35" w:history="1">
        <w:r w:rsidRPr="000B5FA0">
          <w:rPr>
            <w:rStyle w:val="Hyperlink"/>
            <w:sz w:val="18"/>
            <w:szCs w:val="18"/>
            <w:u w:val="none"/>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548" w:rsidRDefault="00A15548">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A15548" w:rsidRDefault="00A15548">
        <w:pPr>
          <w:pStyle w:val="Header"/>
          <w:jc w:val="right"/>
        </w:pPr>
        <w:r>
          <w:fldChar w:fldCharType="begin"/>
        </w:r>
        <w:r>
          <w:instrText xml:space="preserve"> PAGE   \* MERGEFORMAT </w:instrText>
        </w:r>
        <w:r>
          <w:fldChar w:fldCharType="separate"/>
        </w:r>
        <w:r w:rsidR="00F05210">
          <w:rPr>
            <w:noProof/>
          </w:rPr>
          <w:t>23</w:t>
        </w:r>
        <w:r>
          <w:rPr>
            <w:noProof/>
          </w:rPr>
          <w:fldChar w:fldCharType="end"/>
        </w:r>
      </w:p>
    </w:sdtContent>
  </w:sdt>
  <w:p w:rsidR="00A15548" w:rsidRDefault="00A15548"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38CB"/>
    <w:rsid w:val="00065317"/>
    <w:rsid w:val="00066033"/>
    <w:rsid w:val="00076DAC"/>
    <w:rsid w:val="000B5F01"/>
    <w:rsid w:val="000B5FA0"/>
    <w:rsid w:val="000C1B49"/>
    <w:rsid w:val="000D16A3"/>
    <w:rsid w:val="000D71D2"/>
    <w:rsid w:val="000E035C"/>
    <w:rsid w:val="000E3BDE"/>
    <w:rsid w:val="000E6756"/>
    <w:rsid w:val="00112210"/>
    <w:rsid w:val="00135AC3"/>
    <w:rsid w:val="00166EB4"/>
    <w:rsid w:val="001901F8"/>
    <w:rsid w:val="001A6291"/>
    <w:rsid w:val="001F354B"/>
    <w:rsid w:val="001F385C"/>
    <w:rsid w:val="001F43DC"/>
    <w:rsid w:val="00210CA5"/>
    <w:rsid w:val="00214BAE"/>
    <w:rsid w:val="00231CFE"/>
    <w:rsid w:val="00241A9C"/>
    <w:rsid w:val="00250CE8"/>
    <w:rsid w:val="00282AFB"/>
    <w:rsid w:val="00293436"/>
    <w:rsid w:val="00296D96"/>
    <w:rsid w:val="002D6F6D"/>
    <w:rsid w:val="002E2B33"/>
    <w:rsid w:val="002E6147"/>
    <w:rsid w:val="00303FED"/>
    <w:rsid w:val="003151F5"/>
    <w:rsid w:val="00324C86"/>
    <w:rsid w:val="00325C67"/>
    <w:rsid w:val="00327DFF"/>
    <w:rsid w:val="00335D33"/>
    <w:rsid w:val="00354F9A"/>
    <w:rsid w:val="0036327D"/>
    <w:rsid w:val="00364AEC"/>
    <w:rsid w:val="00376DB0"/>
    <w:rsid w:val="003C6FC2"/>
    <w:rsid w:val="003E0423"/>
    <w:rsid w:val="003F2524"/>
    <w:rsid w:val="004076AF"/>
    <w:rsid w:val="00437800"/>
    <w:rsid w:val="00443AD9"/>
    <w:rsid w:val="00451D62"/>
    <w:rsid w:val="00461E99"/>
    <w:rsid w:val="00464434"/>
    <w:rsid w:val="00470ADC"/>
    <w:rsid w:val="00473757"/>
    <w:rsid w:val="00477688"/>
    <w:rsid w:val="004A126C"/>
    <w:rsid w:val="004D0B68"/>
    <w:rsid w:val="004E2330"/>
    <w:rsid w:val="004E3F30"/>
    <w:rsid w:val="004F0F02"/>
    <w:rsid w:val="004F11A0"/>
    <w:rsid w:val="005013E3"/>
    <w:rsid w:val="00511009"/>
    <w:rsid w:val="00516F7B"/>
    <w:rsid w:val="005303C0"/>
    <w:rsid w:val="0054030D"/>
    <w:rsid w:val="00543C89"/>
    <w:rsid w:val="005440DB"/>
    <w:rsid w:val="00576123"/>
    <w:rsid w:val="005A332D"/>
    <w:rsid w:val="005B2C74"/>
    <w:rsid w:val="005B4EFA"/>
    <w:rsid w:val="005C4199"/>
    <w:rsid w:val="005E2E5B"/>
    <w:rsid w:val="005E7A1F"/>
    <w:rsid w:val="005F14B1"/>
    <w:rsid w:val="00605FB6"/>
    <w:rsid w:val="006300EB"/>
    <w:rsid w:val="00643E14"/>
    <w:rsid w:val="0067468F"/>
    <w:rsid w:val="0068053D"/>
    <w:rsid w:val="006C05CA"/>
    <w:rsid w:val="00716849"/>
    <w:rsid w:val="00780491"/>
    <w:rsid w:val="007979FD"/>
    <w:rsid w:val="007A2D46"/>
    <w:rsid w:val="007B7E03"/>
    <w:rsid w:val="007C0369"/>
    <w:rsid w:val="007E4AF3"/>
    <w:rsid w:val="0081720C"/>
    <w:rsid w:val="0082620D"/>
    <w:rsid w:val="00837F3B"/>
    <w:rsid w:val="008463E6"/>
    <w:rsid w:val="00850D2D"/>
    <w:rsid w:val="0086604F"/>
    <w:rsid w:val="00875576"/>
    <w:rsid w:val="0088186E"/>
    <w:rsid w:val="008D61D4"/>
    <w:rsid w:val="008D7056"/>
    <w:rsid w:val="00952219"/>
    <w:rsid w:val="00955806"/>
    <w:rsid w:val="0098003F"/>
    <w:rsid w:val="009D0FE6"/>
    <w:rsid w:val="00A14041"/>
    <w:rsid w:val="00A15548"/>
    <w:rsid w:val="00A157C7"/>
    <w:rsid w:val="00A71A2A"/>
    <w:rsid w:val="00A83DC4"/>
    <w:rsid w:val="00AA14EF"/>
    <w:rsid w:val="00B02FDC"/>
    <w:rsid w:val="00B24F66"/>
    <w:rsid w:val="00B3118A"/>
    <w:rsid w:val="00B31CDE"/>
    <w:rsid w:val="00B33E4C"/>
    <w:rsid w:val="00B51E30"/>
    <w:rsid w:val="00B80E1A"/>
    <w:rsid w:val="00C00477"/>
    <w:rsid w:val="00C23EBC"/>
    <w:rsid w:val="00C4337D"/>
    <w:rsid w:val="00C5090F"/>
    <w:rsid w:val="00C83637"/>
    <w:rsid w:val="00C9565E"/>
    <w:rsid w:val="00CB16E7"/>
    <w:rsid w:val="00CB384B"/>
    <w:rsid w:val="00CB5411"/>
    <w:rsid w:val="00CC6E43"/>
    <w:rsid w:val="00CE3C27"/>
    <w:rsid w:val="00CF19E1"/>
    <w:rsid w:val="00D064F3"/>
    <w:rsid w:val="00D323C8"/>
    <w:rsid w:val="00D45A24"/>
    <w:rsid w:val="00D46A23"/>
    <w:rsid w:val="00D93035"/>
    <w:rsid w:val="00DA1154"/>
    <w:rsid w:val="00DA4601"/>
    <w:rsid w:val="00DB5A1E"/>
    <w:rsid w:val="00DD67E3"/>
    <w:rsid w:val="00DE34D8"/>
    <w:rsid w:val="00DE5249"/>
    <w:rsid w:val="00E24D3C"/>
    <w:rsid w:val="00E41A9C"/>
    <w:rsid w:val="00E70A72"/>
    <w:rsid w:val="00EB3ABB"/>
    <w:rsid w:val="00EB4F53"/>
    <w:rsid w:val="00EC23C6"/>
    <w:rsid w:val="00F05210"/>
    <w:rsid w:val="00F32511"/>
    <w:rsid w:val="00F4463E"/>
    <w:rsid w:val="00F474BC"/>
    <w:rsid w:val="00F55EC4"/>
    <w:rsid w:val="00F71F15"/>
    <w:rsid w:val="00FB3509"/>
    <w:rsid w:val="00FC46B6"/>
    <w:rsid w:val="00FC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ml.org/Community/Wiki/SBML_Level_3_Proposals/Hierarchical_Model_Composition_%28Hoops_2007%29"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svn.sourceforge.net/viewvc/sbml/trunk/specifications/sbml-level-3/version-1/comp/Hierarchical%20Model%20Composition%20Proposal.pdf?view=lo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tools.ietf.org/html/rfc3986"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sbml.org/Events/SBML_Editors'_Meetings/Minutes/2010-06-22"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www.sbml.org/Forums/index.php?t=tree&amp;goto=6104"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precedings.nature.com/documents/5133/version/1" TargetMode="External"/><Relationship Id="rId35" Type="http://schemas.openxmlformats.org/officeDocument/2006/relationships/hyperlink" Target="http://sbml.org/Andrew_2007_Comments_about_Model_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B626D-72C4-4D0D-B25C-FAF81E89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32</Pages>
  <Words>13689</Words>
  <Characters>78030</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Lucian</cp:lastModifiedBy>
  <cp:revision>1</cp:revision>
  <cp:lastPrinted>2011-04-15T03:05:00Z</cp:lastPrinted>
  <dcterms:created xsi:type="dcterms:W3CDTF">2011-04-25T19:49:00Z</dcterms:created>
  <dcterms:modified xsi:type="dcterms:W3CDTF">2011-04-27T20:39:00Z</dcterms:modified>
</cp:coreProperties>
</file>