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F32511"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F32511"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w:t>
      </w:r>
      <w:proofErr w:type="spellStart"/>
      <w:r w:rsidRPr="005B4EFA">
        <w:rPr>
          <w:rStyle w:val="MikesparagraphsChar"/>
        </w:rPr>
        <w:t>submodels</w:t>
      </w:r>
      <w:proofErr w:type="spellEnd"/>
      <w:r w:rsidRPr="005B4EFA">
        <w:rPr>
          <w:rStyle w:val="MikesparagraphsChar"/>
        </w:rPr>
        <w:t xml:space="preserve">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4F11A0">
        <w:rPr>
          <w:noProof/>
        </w:rPr>
        <w:drawing>
          <wp:inline distT="0" distB="0" distL="0" distR="0" wp14:anchorId="5ECC9DC1" wp14:editId="6ACCE6DA">
            <wp:extent cx="20193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600325"/>
                    </a:xfrm>
                    <a:prstGeom prst="rect">
                      <a:avLst/>
                    </a:prstGeom>
                    <a:noFill/>
                  </pic:spPr>
                </pic:pic>
              </a:graphicData>
            </a:graphic>
          </wp:inline>
        </w:drawing>
      </w:r>
      <w:r w:rsidR="004F11A0">
        <w:rPr>
          <w:noProof/>
        </w:rPr>
        <w:drawing>
          <wp:inline distT="0" distB="0" distL="0" distR="0" wp14:anchorId="51C12F0F" wp14:editId="7B3721A5">
            <wp:extent cx="1891323" cy="268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159" cy="2687437"/>
                    </a:xfrm>
                    <a:prstGeom prst="rect">
                      <a:avLst/>
                    </a:prstGeom>
                    <a:noFill/>
                  </pic:spPr>
                </pic:pic>
              </a:graphicData>
            </a:graphic>
          </wp:inline>
        </w:drawing>
      </w:r>
      <w:r w:rsidR="004F11A0">
        <w:rPr>
          <w:noProof/>
        </w:rPr>
        <w:drawing>
          <wp:inline distT="0" distB="0" distL="0" distR="0" wp14:anchorId="0D12B6EC" wp14:editId="22003881">
            <wp:extent cx="193357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657475"/>
                    </a:xfrm>
                    <a:prstGeom prst="rect">
                      <a:avLst/>
                    </a:prstGeom>
                    <a:noFill/>
                  </pic:spPr>
                </pic:pic>
              </a:graphicData>
            </a:graphic>
          </wp:inline>
        </w:drawing>
      </w:r>
    </w:p>
    <w:p w:rsidR="005B4EFA" w:rsidRDefault="004F11A0" w:rsidP="004F11A0">
      <w:pPr>
        <w:pStyle w:val="Caption"/>
      </w:pPr>
      <w:r>
        <w:t xml:space="preserve">Figure </w:t>
      </w:r>
      <w:fldSimple w:instr=" SEQ Figure \* ARABIC ">
        <w:r>
          <w:rPr>
            <w:noProof/>
          </w:rPr>
          <w:t>1</w:t>
        </w:r>
      </w:fldSimple>
      <w:r>
        <w:t xml:space="preserve">: </w:t>
      </w:r>
      <w:r w:rsidRPr="004F11A0">
        <w:t>Model composition scenarios.  From left to righ</w:t>
      </w:r>
      <w:r>
        <w:t>t</w:t>
      </w:r>
      <w:r w:rsidRPr="004F11A0">
        <w:t xml:space="preserve">: a model composed of multiple instances of a single, internally-defined </w:t>
      </w:r>
      <w:proofErr w:type="spellStart"/>
      <w:r w:rsidRPr="004F11A0">
        <w:t>submodel</w:t>
      </w:r>
      <w:proofErr w:type="spellEnd"/>
      <w:r w:rsidRPr="004F11A0">
        <w:t xml:space="preserve"> definition; a model composed of a </w:t>
      </w:r>
      <w:proofErr w:type="spellStart"/>
      <w:r w:rsidRPr="004F11A0">
        <w:t>submodel</w:t>
      </w:r>
      <w:proofErr w:type="spellEnd"/>
      <w:r w:rsidRPr="004F11A0">
        <w:t xml:space="preserve"> that is itself composed of </w:t>
      </w:r>
      <w:proofErr w:type="spellStart"/>
      <w:r w:rsidRPr="004F11A0">
        <w:t>submodels</w:t>
      </w:r>
      <w:proofErr w:type="spellEnd"/>
      <w:r w:rsidRPr="004F11A0">
        <w:t xml:space="preserve">; and a model composed of </w:t>
      </w:r>
      <w:proofErr w:type="spellStart"/>
      <w:r w:rsidRPr="004F11A0">
        <w:t>submodels</w:t>
      </w:r>
      <w:proofErr w:type="spellEnd"/>
      <w:r w:rsidRPr="004F11A0">
        <w:t>,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w:t>
      </w:r>
      <w:proofErr w:type="spellStart"/>
      <w:r>
        <w:t>submodel</w:t>
      </w:r>
      <w:proofErr w:type="spellEnd"/>
      <w:r>
        <w:t xml:space="preserve">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 xml:space="preserve">SBML Level 3 Core has no direct support for allowing a model to include other models as </w:t>
      </w:r>
      <w:proofErr w:type="spellStart"/>
      <w:r>
        <w:t>submodels</w:t>
      </w:r>
      <w:proofErr w:type="spellEnd"/>
      <w:r>
        <w:t xml:space="preserve">. Software tools either have to implement their own schemes outside of SBML, or (in principle) one could also use annotations to augment a plain SBML Level 2 model with the necessary information to allow a software tool to compose a model out of </w:t>
      </w:r>
      <w:proofErr w:type="spellStart"/>
      <w:r>
        <w:t>submodels</w:t>
      </w:r>
      <w:proofErr w:type="spellEnd"/>
      <w:r>
        <w:t>.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w:t>
      </w:r>
      <w:proofErr w:type="spellStart"/>
      <w:r>
        <w:t>submodels</w:t>
      </w:r>
      <w:proofErr w:type="spellEnd"/>
      <w:r>
        <w:t xml:space="preserve">”.  In that document, the main model object can contain a list of </w:t>
      </w:r>
      <w:proofErr w:type="spellStart"/>
      <w:r>
        <w:t>submodels</w:t>
      </w:r>
      <w:proofErr w:type="spellEnd"/>
      <w:r>
        <w:t xml:space="preserve">, each of which are model definitions only, and a list of </w:t>
      </w:r>
      <w:proofErr w:type="spellStart"/>
      <w:r>
        <w:t>submodel</w:t>
      </w:r>
      <w:proofErr w:type="spellEnd"/>
      <w:r>
        <w:t xml:space="preserve"> instantiations, each of which are references to elements in the </w:t>
      </w:r>
      <w:proofErr w:type="spellStart"/>
      <w:r>
        <w:t>submodel</w:t>
      </w:r>
      <w:proofErr w:type="spellEnd"/>
      <w:r>
        <w:t xml:space="preserve">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w:t>
      </w:r>
      <w:proofErr w:type="spellStart"/>
      <w:r>
        <w:t>submodel</w:t>
      </w:r>
      <w:proofErr w:type="spellEnd"/>
      <w:r>
        <w:t xml:space="preserve">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w:t>
      </w:r>
      <w:proofErr w:type="spellStart"/>
      <w:r>
        <w:t>submodel</w:t>
      </w:r>
      <w:proofErr w:type="spellEnd"/>
      <w:r>
        <w:t xml:space="preserve"> ideas, and was envisioned to exist in parallel with another proposal by Finney, for arrays and sets of SBML elements (including </w:t>
      </w:r>
      <w:proofErr w:type="spellStart"/>
      <w:r>
        <w:t>submodels</w:t>
      </w:r>
      <w:proofErr w:type="spellEnd"/>
      <w:r>
        <w:t>)</w:t>
      </w:r>
      <w:r>
        <w:rPr>
          <w:vertAlign w:val="superscript"/>
        </w:rPr>
        <w:footnoteReference w:id="9"/>
      </w:r>
      <w:r>
        <w:t xml:space="preserve">. Finney attempted to resolve the differences in the two basic philosophies (essentially, black-box versus white-box encapsulation) by introducing optional “ports” as interfaces between a </w:t>
      </w:r>
      <w:proofErr w:type="spellStart"/>
      <w:r>
        <w:t>submodel</w:t>
      </w:r>
      <w:proofErr w:type="spellEnd"/>
      <w:r>
        <w:t xml:space="preserve">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w:t>
      </w:r>
      <w:proofErr w:type="spellStart"/>
      <w:r>
        <w:t>submodels</w:t>
      </w:r>
      <w:proofErr w:type="spellEnd"/>
      <w:r>
        <w:t xml:space="preserve"> were replaced by corresponding elements of the containing model. Finney’s proposal also provided a direct link facility that allows a containing model to refer directly to </w:t>
      </w:r>
      <w:proofErr w:type="spellStart"/>
      <w:r>
        <w:t>submodel</w:t>
      </w:r>
      <w:proofErr w:type="spellEnd"/>
      <w:r>
        <w:t xml:space="preserve"> elements without providing placeholder elements in the containing model.  For example, a containing model could have a reaction that converts a species in one </w:t>
      </w:r>
      <w:proofErr w:type="spellStart"/>
      <w:r>
        <w:t>submodel</w:t>
      </w:r>
      <w:proofErr w:type="spellEnd"/>
      <w:r>
        <w:t xml:space="preserve"> to a species in a different </w:t>
      </w:r>
      <w:proofErr w:type="spellStart"/>
      <w:r>
        <w:t>submodel</w:t>
      </w:r>
      <w:proofErr w:type="spellEnd"/>
      <w:r>
        <w:t xml:space="preserve">, and in the </w:t>
      </w:r>
      <w:r>
        <w:lastRenderedPageBreak/>
        <w:t xml:space="preserve">direct-link approach, it would only need to define the reaction, with the reactant and product being expressed as links directly to the species defined in the </w:t>
      </w:r>
      <w:proofErr w:type="spellStart"/>
      <w:r>
        <w:t>submodels</w:t>
      </w:r>
      <w:proofErr w:type="spellEnd"/>
      <w:r>
        <w:t>.</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of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w:t>
      </w:r>
      <w:proofErr w:type="spellStart"/>
      <w:r>
        <w:t>submodels</w:t>
      </w:r>
      <w:proofErr w:type="spellEnd"/>
      <w:r>
        <w:t xml:space="preserve">.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 xml:space="preserve">A proposition made during the workshop is that elements in the outer model always override elements in the </w:t>
      </w:r>
      <w:proofErr w:type="spellStart"/>
      <w:r w:rsidRPr="00DA1154">
        <w:t>submodels</w:t>
      </w:r>
      <w:proofErr w:type="spellEnd"/>
      <w:r w:rsidRPr="00DA1154">
        <w:t>,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 xml:space="preserve">The model composition approach must provide a means to handle the conversion of units, so that the units of entities defined in a </w:t>
      </w:r>
      <w:proofErr w:type="spellStart"/>
      <w:r w:rsidRPr="00DA1154">
        <w:t>submodel</w:t>
      </w:r>
      <w:proofErr w:type="spellEnd"/>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 xml:space="preserve">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w:t>
      </w:r>
      <w:proofErr w:type="spellStart"/>
      <w:r>
        <w:t>submodels</w:t>
      </w:r>
      <w:proofErr w:type="spellEnd"/>
      <w:r>
        <w:t xml:space="preserve">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w:t>
      </w:r>
      <w:r w:rsidR="0081720C">
        <w:t>has been 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w:t>
      </w:r>
      <w:proofErr w:type="spellStart"/>
      <w:r>
        <w:t>submodels</w:t>
      </w:r>
      <w:proofErr w:type="spellEnd"/>
      <w:r>
        <w:t xml:space="preserve">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 xml:space="preserve">Models and </w:t>
      </w:r>
      <w:proofErr w:type="spellStart"/>
      <w:r w:rsidR="009D0FE6">
        <w:t>Submodels</w:t>
      </w:r>
      <w:proofErr w:type="spellEnd"/>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w:t>
      </w:r>
      <w:proofErr w:type="spellStart"/>
      <w:r>
        <w:t>Submodel</w:t>
      </w:r>
      <w:proofErr w:type="spellEnd"/>
      <w:r>
        <w:t xml:space="preserve">.  A definition is like a platonic ideal:  it may be a complete model in and of itself, but in this file, it exists only as a concept.  A </w:t>
      </w:r>
      <w:proofErr w:type="spellStart"/>
      <w:r>
        <w:t>submodel</w:t>
      </w:r>
      <w:proofErr w:type="spellEnd"/>
      <w:r>
        <w:t xml:space="preserve">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w:t>
      </w:r>
      <w:proofErr w:type="spellStart"/>
      <w:r>
        <w:t>submodel</w:t>
      </w:r>
      <w:proofErr w:type="spellEnd"/>
      <w:r>
        <w:t>’ for the instance of the model inside the containing mo</w:t>
      </w:r>
      <w:r w:rsidR="0081720C">
        <w:t>del.)</w:t>
      </w:r>
      <w:r>
        <w:t xml:space="preserve">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4A126C" w:rsidP="00837F3B">
      <w:pPr>
        <w:jc w:val="center"/>
      </w:pPr>
      <w:r>
        <w:rPr>
          <w:noProof/>
        </w:rPr>
        <w:lastRenderedPageBreak/>
        <w:drawing>
          <wp:inline distT="0" distB="0" distL="0" distR="0" wp14:anchorId="1EA72D58" wp14:editId="0E835D91">
            <wp:extent cx="3108960" cy="2121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153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4F11A0">
        <w:rPr>
          <w:b/>
          <w:noProof/>
        </w:rPr>
        <w:t>2</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w:t>
      </w:r>
      <w:r w:rsidR="0088186E">
        <w:t xml:space="preserve">These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2D6F6D" w:rsidRDefault="009D0FE6" w:rsidP="009D0FE6">
      <w:r>
        <w:t xml:space="preserve">The Model class is extended in one respect:  to contain a single </w:t>
      </w:r>
      <w:proofErr w:type="spellStart"/>
      <w:r>
        <w:t>ListOfSubmodels</w:t>
      </w:r>
      <w:proofErr w:type="spellEnd"/>
      <w:r>
        <w:t xml:space="preserve"> which, in turn, contain the </w:t>
      </w:r>
      <w:proofErr w:type="spellStart"/>
      <w:r>
        <w:t>Submodel</w:t>
      </w:r>
      <w:proofErr w:type="spellEnd"/>
      <w:r>
        <w:t xml:space="preserve"> objects which will instantiate model definitions inside the containing model.</w:t>
      </w:r>
    </w:p>
    <w:p w:rsidR="009D0FE6" w:rsidRDefault="00054D77" w:rsidP="00837F3B">
      <w:pPr>
        <w:jc w:val="center"/>
      </w:pPr>
      <w:r>
        <w:rPr>
          <w:noProof/>
        </w:rPr>
        <w:drawing>
          <wp:inline distT="0" distB="0" distL="0" distR="0" wp14:anchorId="60A939EC" wp14:editId="5720000E">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4F11A0">
        <w:rPr>
          <w:b/>
          <w:noProof/>
        </w:rPr>
        <w:t>3</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w:t>
      </w:r>
      <w:proofErr w:type="spellStart"/>
      <w:r>
        <w:t>Submodel</w:t>
      </w:r>
      <w:proofErr w:type="spellEnd"/>
      <w:r>
        <w:t xml:space="preserve"> objects, defined below.  </w:t>
      </w:r>
    </w:p>
    <w:p w:rsidR="009D0FE6" w:rsidRDefault="009D0FE6" w:rsidP="009D0FE6">
      <w:r>
        <w:t xml:space="preserve">A Model that contains </w:t>
      </w:r>
      <w:proofErr w:type="spellStart"/>
      <w:r>
        <w:t>Submodels</w:t>
      </w:r>
      <w:proofErr w:type="spellEnd"/>
      <w:r>
        <w:t xml:space="preserve"> should be considered to itself contain those elements (such as species, reactions, compartments, rules, and events) contained in the </w:t>
      </w:r>
      <w:proofErr w:type="spellStart"/>
      <w:r>
        <w:t>submodel</w:t>
      </w:r>
      <w:proofErr w:type="spellEnd"/>
      <w:r>
        <w:t>.   This is the heart of this proposal:  combining models together to make new models.</w:t>
      </w:r>
    </w:p>
    <w:p w:rsidR="009D0FE6" w:rsidRDefault="009D0FE6" w:rsidP="009D0FE6">
      <w:r>
        <w:t xml:space="preserve">A </w:t>
      </w:r>
      <w:proofErr w:type="spellStart"/>
      <w:r>
        <w:t>Submodel</w:t>
      </w:r>
      <w:proofErr w:type="spellEnd"/>
      <w:r>
        <w:t xml:space="preserve">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 xml:space="preserve">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t>even an annotation of a rate rule that no longer applies.</w:t>
      </w:r>
    </w:p>
    <w:p w:rsidR="009D0FE6" w:rsidRDefault="00F32511" w:rsidP="00837F3B">
      <w:pPr>
        <w:jc w:val="center"/>
      </w:pPr>
      <w:r>
        <w:rPr>
          <w:noProof/>
        </w:rPr>
        <w:drawing>
          <wp:inline distT="0" distB="0" distL="0" distR="0" wp14:anchorId="6F673CC1">
            <wp:extent cx="3578860" cy="3749675"/>
            <wp:effectExtent l="0" t="0" r="254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860" cy="3749675"/>
                    </a:xfrm>
                    <a:prstGeom prst="rect">
                      <a:avLst/>
                    </a:prstGeom>
                    <a:noFill/>
                  </pic:spPr>
                </pic:pic>
              </a:graphicData>
            </a:graphic>
          </wp:inline>
        </w:drawing>
      </w:r>
      <w:bookmarkStart w:id="1" w:name="_GoBack"/>
      <w:bookmarkEnd w:id="1"/>
    </w:p>
    <w:p w:rsidR="009D0FE6" w:rsidRDefault="009D0FE6" w:rsidP="009D0FE6">
      <w:pPr>
        <w:pStyle w:val="Caption"/>
      </w:pPr>
      <w:r>
        <w:t xml:space="preserve">Figure </w:t>
      </w:r>
      <w:fldSimple w:instr=" SEQ Figure \* ARABIC ">
        <w:r w:rsidR="004F11A0">
          <w:rPr>
            <w:noProof/>
          </w:rPr>
          <w:t>4</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w:t>
      </w:r>
      <w:proofErr w:type="spellStart"/>
      <w:r>
        <w:t>Submodel</w:t>
      </w:r>
      <w:proofErr w:type="spellEnd"/>
      <w:r>
        <w:t xml:space="preserve">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w:t>
      </w:r>
      <w:proofErr w:type="spellStart"/>
      <w:r>
        <w:t>submodel</w:t>
      </w:r>
      <w:proofErr w:type="spellEnd"/>
      <w:r>
        <w:t>.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w:t>
      </w:r>
      <w:proofErr w:type="gramStart"/>
      <w:r>
        <w:t xml:space="preserve">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or the ‘main model’ child of the SBML object.</w:t>
      </w:r>
      <w:proofErr w:type="gramEnd"/>
      <w:r>
        <w:t xml:space="preserve">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 xml:space="preserve">The imported model may in turn contain </w:t>
      </w:r>
      <w:proofErr w:type="spellStart"/>
      <w:r>
        <w:t>submodels</w:t>
      </w:r>
      <w:proofErr w:type="spellEnd"/>
      <w:r>
        <w:t xml:space="preserve"> imported from the same or from other external files.  This chain should, of course, be followed, with the same caveat that no loops are allowed, whether internally or across files.</w:t>
      </w:r>
    </w:p>
    <w:p w:rsidR="009D0FE6" w:rsidRDefault="009D0FE6" w:rsidP="009D0FE6">
      <w:r>
        <w:t xml:space="preserve">The list of deletions is for removing elements from the </w:t>
      </w:r>
      <w:proofErr w:type="spellStart"/>
      <w:r>
        <w:t>submodel</w:t>
      </w:r>
      <w:proofErr w:type="spellEnd"/>
      <w:r>
        <w:t xml:space="preserve"> that no longer </w:t>
      </w:r>
      <w:proofErr w:type="gramStart"/>
      <w:r>
        <w:t>have a role</w:t>
      </w:r>
      <w:proofErr w:type="gramEnd"/>
      <w:r>
        <w:t xml:space="preserv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w:t>
      </w:r>
      <w:proofErr w:type="spellStart"/>
      <w:r>
        <w:t>submodels</w:t>
      </w:r>
      <w:proofErr w:type="spellEnd"/>
      <w:r>
        <w:t xml:space="preserve">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w:t>
      </w:r>
      <w:proofErr w:type="spellStart"/>
      <w:r>
        <w:t>submodel</w:t>
      </w:r>
      <w:proofErr w:type="spellEnd"/>
      <w:r>
        <w:t xml:space="preserve"> is the same as </w:t>
      </w:r>
      <w:r w:rsidRPr="00850D2D">
        <w:rPr>
          <w:i/>
        </w:rPr>
        <w:t>this other</w:t>
      </w:r>
      <w:r>
        <w:t xml:space="preserve"> element of a second </w:t>
      </w:r>
      <w:proofErr w:type="spellStart"/>
      <w:r>
        <w:t>submodel</w:t>
      </w:r>
      <w:proofErr w:type="spellEnd"/>
      <w:r>
        <w:t xml:space="preserve">.  In the case of a species, one </w:t>
      </w:r>
      <w:proofErr w:type="spellStart"/>
      <w:r>
        <w:t>submodel</w:t>
      </w:r>
      <w:proofErr w:type="spellEnd"/>
      <w:r>
        <w:t xml:space="preserve"> may control its creation and destruction, and the second may define how its presence modulates the rate of a related reaction.  It may have even been modeled as a parameter in the second </w:t>
      </w:r>
      <w:proofErr w:type="spellStart"/>
      <w:r>
        <w:t>submodel</w:t>
      </w:r>
      <w:proofErr w:type="spellEnd"/>
      <w:r>
        <w:t xml:space="preserve">, if its concentration never changed under the conditions it was designed to imitate.  The new parent model may be an attempt to relax the assumptions in the </w:t>
      </w:r>
      <w:proofErr w:type="spellStart"/>
      <w:r>
        <w:t>submodels</w:t>
      </w:r>
      <w:proofErr w:type="spellEnd"/>
      <w:r>
        <w:t>, and create a more complicated and robust model of the system being studied.</w:t>
      </w:r>
    </w:p>
    <w:p w:rsidR="000B5F01" w:rsidRDefault="000B5F01" w:rsidP="000B5F01">
      <w:r>
        <w:t xml:space="preserve">To do this, we must be able to refer to elements of the </w:t>
      </w:r>
      <w:proofErr w:type="spellStart"/>
      <w:r>
        <w:t>submodels</w:t>
      </w:r>
      <w:proofErr w:type="spellEnd"/>
      <w:r>
        <w:t>.  The construct to do this is called a ‘</w:t>
      </w:r>
      <w:proofErr w:type="spellStart"/>
      <w:r>
        <w:t>Subelement</w:t>
      </w:r>
      <w:proofErr w:type="spellEnd"/>
      <w:r>
        <w:t>’.</w:t>
      </w:r>
    </w:p>
    <w:p w:rsidR="000B5F01" w:rsidRDefault="00F32511" w:rsidP="000B5F01">
      <w:pPr>
        <w:keepNext/>
        <w:jc w:val="center"/>
      </w:pPr>
      <w:r>
        <w:rPr>
          <w:noProof/>
        </w:rPr>
        <w:lastRenderedPageBreak/>
        <w:drawing>
          <wp:inline distT="0" distB="0" distL="0" distR="0" wp14:anchorId="67A00270">
            <wp:extent cx="2859405" cy="1627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6275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4F11A0">
        <w:rPr>
          <w:b/>
          <w:noProof/>
        </w:rPr>
        <w:t>5</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w:t>
      </w:r>
      <w:r w:rsidR="00F474BC">
        <w:t>a ‘</w:t>
      </w:r>
      <w:proofErr w:type="spellStart"/>
      <w:r w:rsidR="00F474BC">
        <w:t>submodel</w:t>
      </w:r>
      <w:proofErr w:type="spellEnd"/>
      <w:r w:rsidR="00F474BC">
        <w:t xml:space="preserve">’ </w:t>
      </w:r>
      <w:proofErr w:type="spellStart"/>
      <w:r w:rsidR="00F474BC">
        <w:t>SIdRef</w:t>
      </w:r>
      <w:proofErr w:type="spellEnd"/>
      <w:r w:rsidR="00F474BC">
        <w:t xml:space="preserve">, and </w:t>
      </w:r>
      <w:r>
        <w:t>exactly one of the attributes ‘port’, ‘symbol,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w:t>
      </w:r>
      <w:proofErr w:type="spellStart"/>
      <w:r>
        <w:t>submodel</w:t>
      </w:r>
      <w:proofErr w:type="spellEnd"/>
      <w:r>
        <w:t xml:space="preserve"> by first pointing to that </w:t>
      </w:r>
      <w:proofErr w:type="spellStart"/>
      <w:r>
        <w:t>submodel</w:t>
      </w:r>
      <w:proofErr w:type="spellEnd"/>
      <w:r>
        <w:t xml:space="preserve"> (with the ‘</w:t>
      </w:r>
      <w:proofErr w:type="spellStart"/>
      <w:r>
        <w:t>submodel</w:t>
      </w:r>
      <w:proofErr w:type="spellEnd"/>
      <w:r>
        <w:t xml:space="preserve">’ attribute pointing to its </w:t>
      </w:r>
      <w:proofErr w:type="spellStart"/>
      <w:r>
        <w:t>SId</w:t>
      </w:r>
      <w:proofErr w:type="spellEnd"/>
      <w:r>
        <w:t xml:space="preserve">), and then referencing a particular element in one of several ways.  The multiple options available are because the referenced </w:t>
      </w:r>
      <w:proofErr w:type="spellStart"/>
      <w:r>
        <w:t>submodel</w:t>
      </w:r>
      <w:proofErr w:type="spellEnd"/>
      <w:r>
        <w:t xml:space="preserve">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w:t>
      </w:r>
      <w:proofErr w:type="spellStart"/>
      <w:r>
        <w:t>submodels</w:t>
      </w:r>
      <w:proofErr w:type="spellEnd"/>
      <w:r>
        <w:t>.</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w:t>
      </w:r>
      <w:proofErr w:type="spellStart"/>
      <w:r>
        <w:t>submodel</w:t>
      </w:r>
      <w:proofErr w:type="spellEnd"/>
      <w:r>
        <w:t>, not the parent model.</w:t>
      </w:r>
    </w:p>
    <w:p w:rsidR="000B5F01" w:rsidRPr="00F32511" w:rsidRDefault="000B5F01" w:rsidP="000B5F01">
      <w:pPr>
        <w:pStyle w:val="indent1level"/>
        <w:rPr>
          <w:strike/>
        </w:rPr>
      </w:pPr>
      <w:r w:rsidRPr="00F32511">
        <w:rPr>
          <w:b/>
          <w:strike/>
        </w:rPr>
        <w:t xml:space="preserve">By </w:t>
      </w:r>
      <w:proofErr w:type="spellStart"/>
      <w:r w:rsidRPr="00F32511">
        <w:rPr>
          <w:b/>
          <w:strike/>
        </w:rPr>
        <w:t>MetaId</w:t>
      </w:r>
      <w:proofErr w:type="spellEnd"/>
      <w:r w:rsidRPr="00F32511">
        <w:rPr>
          <w:strike/>
        </w:rPr>
        <w:t xml:space="preserve">.  Because some elements never have </w:t>
      </w:r>
      <w:proofErr w:type="spellStart"/>
      <w:proofErr w:type="gramStart"/>
      <w:r w:rsidRPr="00F32511">
        <w:rPr>
          <w:strike/>
        </w:rPr>
        <w:t>SIds</w:t>
      </w:r>
      <w:proofErr w:type="spellEnd"/>
      <w:proofErr w:type="gramEnd"/>
      <w:r w:rsidRPr="00F32511">
        <w:rPr>
          <w:strike/>
        </w:rPr>
        <w:t xml:space="preserve"> and for some they are only optional, the modeler may wish to replace or delete an element that has no </w:t>
      </w:r>
      <w:proofErr w:type="spellStart"/>
      <w:r w:rsidRPr="00F32511">
        <w:rPr>
          <w:strike/>
        </w:rPr>
        <w:t>SId</w:t>
      </w:r>
      <w:proofErr w:type="spellEnd"/>
      <w:r w:rsidRPr="00F32511">
        <w:rPr>
          <w:strike/>
        </w:rPr>
        <w:t xml:space="preserve"> but does have a </w:t>
      </w:r>
      <w:proofErr w:type="spellStart"/>
      <w:r w:rsidRPr="00F32511">
        <w:rPr>
          <w:strike/>
        </w:rPr>
        <w:t>MetaID</w:t>
      </w:r>
      <w:proofErr w:type="spellEnd"/>
      <w:r w:rsidRPr="00F32511">
        <w:rPr>
          <w:strike/>
        </w:rPr>
        <w:t xml:space="preserve">.  (Since </w:t>
      </w:r>
      <w:proofErr w:type="spellStart"/>
      <w:r w:rsidRPr="00F32511">
        <w:rPr>
          <w:strike/>
        </w:rPr>
        <w:t>MetaIDs</w:t>
      </w:r>
      <w:proofErr w:type="spellEnd"/>
      <w:r w:rsidRPr="00F32511">
        <w:rPr>
          <w:strike/>
        </w:rPr>
        <w:t xml:space="preserve"> are optional attributes of </w:t>
      </w:r>
      <w:proofErr w:type="spellStart"/>
      <w:r w:rsidRPr="00F32511">
        <w:rPr>
          <w:strike/>
        </w:rPr>
        <w:t>SBase</w:t>
      </w:r>
      <w:proofErr w:type="spellEnd"/>
      <w:r w:rsidRPr="00F32511">
        <w:rPr>
          <w:strike/>
        </w:rPr>
        <w:t xml:space="preserve">, all SBML element have the potential to have a </w:t>
      </w:r>
      <w:proofErr w:type="spellStart"/>
      <w:r w:rsidRPr="00F32511">
        <w:rPr>
          <w:strike/>
        </w:rPr>
        <w:t>MetaID</w:t>
      </w:r>
      <w:proofErr w:type="spellEnd"/>
      <w:r w:rsidRPr="00F32511">
        <w:rPr>
          <w:strike/>
        </w:rPr>
        <w:t xml:space="preserve">.)  If the element has no port or </w:t>
      </w:r>
      <w:proofErr w:type="spellStart"/>
      <w:r w:rsidRPr="00F32511">
        <w:rPr>
          <w:strike/>
        </w:rPr>
        <w:t>SId</w:t>
      </w:r>
      <w:proofErr w:type="spellEnd"/>
      <w:r w:rsidRPr="00F32511">
        <w:rPr>
          <w:strike/>
        </w:rPr>
        <w:t xml:space="preserve">, you may use the </w:t>
      </w:r>
      <w:proofErr w:type="spellStart"/>
      <w:r w:rsidRPr="00F32511">
        <w:rPr>
          <w:strike/>
        </w:rPr>
        <w:t>metaID</w:t>
      </w:r>
      <w:proofErr w:type="spellEnd"/>
      <w:r w:rsidRPr="00F32511">
        <w:rPr>
          <w:strike/>
        </w:rPr>
        <w:t>, if present.</w:t>
      </w:r>
      <w:r w:rsidR="00F32511">
        <w:t xml:space="preserve">  (</w:t>
      </w:r>
      <w:r w:rsidR="00F32511" w:rsidRPr="00F32511">
        <w:rPr>
          <w:color w:val="FF0000"/>
        </w:rPr>
        <w:t xml:space="preserve">This option was removed because it wouldn’t work with </w:t>
      </w:r>
      <w:proofErr w:type="spellStart"/>
      <w:r w:rsidR="00F32511" w:rsidRPr="00F32511">
        <w:rPr>
          <w:color w:val="FF0000"/>
        </w:rPr>
        <w:t>xinclude</w:t>
      </w:r>
      <w:proofErr w:type="spellEnd"/>
      <w:r w:rsidR="00F32511" w:rsidRPr="00F32511">
        <w:rPr>
          <w:color w:val="FF0000"/>
        </w:rPr>
        <w:t xml:space="preserve">. Though if we take out </w:t>
      </w:r>
      <w:proofErr w:type="spellStart"/>
      <w:r w:rsidR="00F32511" w:rsidRPr="00F32511">
        <w:rPr>
          <w:color w:val="FF0000"/>
        </w:rPr>
        <w:t>xinclude</w:t>
      </w:r>
      <w:proofErr w:type="spellEnd"/>
      <w:r w:rsidR="00F32511" w:rsidRPr="00F32511">
        <w:rPr>
          <w:color w:val="FF0000"/>
        </w:rPr>
        <w:t xml:space="preserve"> again, we could reintroduce it…</w:t>
      </w:r>
      <w:r w:rsidR="00F32511">
        <w: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w:t>
      </w:r>
      <w:proofErr w:type="spellStart"/>
      <w:r>
        <w:t>Submodel</w:t>
      </w:r>
      <w:proofErr w:type="spellEnd"/>
      <w:r>
        <w:t xml:space="preserve">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w:t>
      </w:r>
      <w:proofErr w:type="spellStart"/>
      <w:r>
        <w:t>submodel</w:t>
      </w:r>
      <w:proofErr w:type="spellEnd"/>
      <w:r>
        <w:t xml:space="preserve">,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w:t>
      </w:r>
      <w:proofErr w:type="spellStart"/>
      <w:r>
        <w:t>submodel</w:t>
      </w:r>
      <w:proofErr w:type="spellEnd"/>
      <w:r>
        <w:t xml:space="preserve">’ ID allows you to find elements ‘buried’ in the hierarchy.  The namespace of the child </w:t>
      </w:r>
      <w:proofErr w:type="spellStart"/>
      <w:r>
        <w:t>Subelement</w:t>
      </w:r>
      <w:proofErr w:type="spellEnd"/>
      <w:r>
        <w:t xml:space="preserve"> is the namespace of the </w:t>
      </w:r>
      <w:proofErr w:type="spellStart"/>
      <w:r>
        <w:t>submodel</w:t>
      </w:r>
      <w:proofErr w:type="spellEnd"/>
      <w:r>
        <w:t xml:space="preserve"> referred to in the </w:t>
      </w:r>
      <w:proofErr w:type="spellStart"/>
      <w:r>
        <w:t>submodel</w:t>
      </w:r>
      <w:proofErr w:type="spellEnd"/>
      <w:r>
        <w:t xml:space="preserve"> ID of the parent </w:t>
      </w:r>
      <w:proofErr w:type="spellStart"/>
      <w:r>
        <w:t>Subelement</w:t>
      </w:r>
      <w:proofErr w:type="spellEnd"/>
      <w:r>
        <w:t xml:space="preserve">.  This can, in turn, refer to a deeper </w:t>
      </w:r>
      <w:proofErr w:type="spellStart"/>
      <w:r>
        <w:t>submodel</w:t>
      </w:r>
      <w:proofErr w:type="spellEnd"/>
      <w:r>
        <w:t xml:space="preserve">, allowing access to any element of any arbitrary depth using this construct.  This is considered inelegant design:  it is better to </w:t>
      </w:r>
      <w:r>
        <w:lastRenderedPageBreak/>
        <w:t xml:space="preserve">‘promote’ any element in a </w:t>
      </w:r>
      <w:proofErr w:type="spellStart"/>
      <w:r>
        <w:t>submodel</w:t>
      </w:r>
      <w:proofErr w:type="spellEnd"/>
      <w:r>
        <w:t xml:space="preserve"> to a local element if it needs to be referenced by a containing model, but if the </w:t>
      </w:r>
      <w:proofErr w:type="spellStart"/>
      <w:r>
        <w:t>submodel</w:t>
      </w:r>
      <w:proofErr w:type="spellEnd"/>
      <w:r>
        <w:t xml:space="preserve">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w:t>
      </w:r>
      <w:proofErr w:type="spellStart"/>
      <w:r>
        <w:t>submodel</w:t>
      </w:r>
      <w:proofErr w:type="spellEnd"/>
      <w:r>
        <w:t xml:space="preserve">. </w:t>
      </w:r>
    </w:p>
    <w:p w:rsidR="000B5F01" w:rsidRDefault="000B5F01" w:rsidP="000B5F01">
      <w:r>
        <w:t xml:space="preserve">Finally, it is sometimes useful to refer to an element of the </w:t>
      </w:r>
      <w:proofErr w:type="spellStart"/>
      <w:r>
        <w:t>submodel</w:t>
      </w:r>
      <w:proofErr w:type="spellEnd"/>
      <w:r>
        <w:t xml:space="preserve">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w:t>
      </w:r>
      <w:proofErr w:type="spellStart"/>
      <w:r>
        <w:t>submodel</w:t>
      </w:r>
      <w:proofErr w:type="spellEnd"/>
      <w:r>
        <w:t xml:space="preserve">, as the (optional) </w:t>
      </w:r>
      <w:proofErr w:type="spellStart"/>
      <w:r>
        <w:t>SId</w:t>
      </w:r>
      <w:proofErr w:type="spellEnd"/>
      <w:r>
        <w:t xml:space="preserve"> in question is the one on the Deletion element.  It is illegal to reference an already-deleted element of a </w:t>
      </w:r>
      <w:proofErr w:type="spellStart"/>
      <w:r>
        <w:t>submodel</w:t>
      </w:r>
      <w:proofErr w:type="spellEnd"/>
      <w:r>
        <w:t xml:space="preserve"> other than with this construct.</w:t>
      </w:r>
    </w:p>
    <w:p w:rsidR="000B5F01" w:rsidRDefault="000B5F01" w:rsidP="000B5F01">
      <w:r>
        <w:t xml:space="preserve">We have already seen the Deletion element in the </w:t>
      </w:r>
      <w:proofErr w:type="spellStart"/>
      <w:r>
        <w:t>Submodel</w:t>
      </w:r>
      <w:proofErr w:type="spellEnd"/>
      <w:r>
        <w:t xml:space="preserve"> discussion, which are a subclass of </w:t>
      </w:r>
      <w:proofErr w:type="spellStart"/>
      <w:r>
        <w:t>Subelement</w:t>
      </w:r>
      <w:proofErr w:type="spellEnd"/>
      <w:r>
        <w:t xml:space="preserve">, extended to have an optional </w:t>
      </w:r>
      <w:proofErr w:type="spellStart"/>
      <w:r>
        <w:t>SId</w:t>
      </w:r>
      <w:proofErr w:type="spellEnd"/>
      <w:r>
        <w:t xml:space="preserve">.  As we now know, these </w:t>
      </w:r>
      <w:proofErr w:type="spellStart"/>
      <w:r>
        <w:t>ids</w:t>
      </w:r>
      <w:proofErr w:type="spellEnd"/>
      <w:r>
        <w:t xml:space="preserve"> are there so that they can be referenced by other </w:t>
      </w:r>
      <w:proofErr w:type="spellStart"/>
      <w:r>
        <w:t>Subelements</w:t>
      </w:r>
      <w:proofErr w:type="spellEnd"/>
      <w:r>
        <w:t xml:space="preserve">, elsewhere in the model.  Any reference to a deleted element, whether in the </w:t>
      </w:r>
      <w:proofErr w:type="spellStart"/>
      <w:r>
        <w:t>submodel</w:t>
      </w:r>
      <w:proofErr w:type="spellEnd"/>
      <w:r>
        <w:t xml:space="preserve">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 xml:space="preserve">If you replace or delete an element that itself has children, those children are considered to be deleted unless replaced.  If you replace a </w:t>
      </w:r>
      <w:proofErr w:type="spellStart"/>
      <w:r>
        <w:t>KineticLaw</w:t>
      </w:r>
      <w:proofErr w:type="spellEnd"/>
      <w:r>
        <w:t xml:space="preserve">, for example, any annotations that referred to the </w:t>
      </w:r>
      <w:proofErr w:type="spellStart"/>
      <w:r>
        <w:t>metaIDs</w:t>
      </w:r>
      <w:proofErr w:type="spellEnd"/>
      <w:r>
        <w:t xml:space="preserve"> of its </w:t>
      </w:r>
      <w:proofErr w:type="spellStart"/>
      <w:r>
        <w:t>LocalParameters</w:t>
      </w:r>
      <w:proofErr w:type="spellEnd"/>
      <w:r>
        <w:t xml:space="preserve"> will be invalid.  To correct this situation, those annotations must themselves be deleted or replaced by valid elements, or the referenced </w:t>
      </w:r>
      <w:proofErr w:type="spellStart"/>
      <w:r>
        <w:t>LocalParameter</w:t>
      </w:r>
      <w:proofErr w:type="spellEnd"/>
      <w:r>
        <w:t xml:space="preserve"> must be explicitly replaced (by its equivalent in the new </w:t>
      </w:r>
      <w:proofErr w:type="spellStart"/>
      <w:r>
        <w:t>KineticLaw</w:t>
      </w:r>
      <w:proofErr w:type="spellEnd"/>
      <w:r>
        <w:t>,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w:t>
      </w:r>
      <w:proofErr w:type="spellStart"/>
      <w:r>
        <w:t>submodels</w:t>
      </w:r>
      <w:proofErr w:type="spellEnd"/>
      <w:r>
        <w:t xml:space="preserve"> together with each other and with the containing model.  Some previous proposals have called this concept ‘links’, as they link similar elements from different sources.  The ‘port’ concept allows a modeler to design a </w:t>
      </w:r>
      <w:proofErr w:type="spellStart"/>
      <w:r>
        <w:t>submodel</w:t>
      </w:r>
      <w:proofErr w:type="spellEnd"/>
      <w:r>
        <w:t xml:space="preserve">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w:t>
      </w:r>
      <w:proofErr w:type="spellStart"/>
      <w:r>
        <w:t>submodels</w:t>
      </w:r>
      <w:proofErr w:type="spellEnd"/>
      <w:r>
        <w:t>,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F32511" w:rsidP="000B5F01">
      <w:pPr>
        <w:keepNext/>
        <w:jc w:val="center"/>
      </w:pPr>
      <w:r>
        <w:rPr>
          <w:noProof/>
        </w:rPr>
        <w:lastRenderedPageBreak/>
        <w:drawing>
          <wp:inline distT="0" distB="0" distL="0" distR="0" wp14:anchorId="738C0D15">
            <wp:extent cx="2969260" cy="21094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4F11A0">
          <w:rPr>
            <w:noProof/>
          </w:rPr>
          <w:t>6</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w:t>
      </w:r>
      <w:proofErr w:type="spellStart"/>
      <w:r>
        <w:t>submodel</w:t>
      </w:r>
      <w:proofErr w:type="spellEnd"/>
      <w:r>
        <w:t xml:space="preserve">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w:t>
      </w:r>
      <w:proofErr w:type="spellStart"/>
      <w:r>
        <w:t>submodels</w:t>
      </w:r>
      <w:proofErr w:type="spellEnd"/>
      <w:r>
        <w:t xml:space="preserve">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w:t>
      </w:r>
      <w:proofErr w:type="spellStart"/>
      <w:r>
        <w:t>submodel</w:t>
      </w:r>
      <w:proofErr w:type="spellEnd"/>
      <w:r>
        <w:t xml:space="preserve">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proofErr w:type="spellStart"/>
      <w:r>
        <w:lastRenderedPageBreak/>
        <w:t>conversionFactor</w:t>
      </w:r>
      <w:proofErr w:type="spellEnd"/>
      <w:r>
        <w:t xml:space="preserve"> or the relevant </w:t>
      </w:r>
      <w:proofErr w:type="spellStart"/>
      <w:r>
        <w:t>submodel</w:t>
      </w:r>
      <w:proofErr w:type="spellEnd"/>
      <w:r>
        <w:t xml:space="preserve">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w:t>
      </w:r>
      <w:proofErr w:type="spellStart"/>
      <w:r>
        <w:t>submodels</w:t>
      </w:r>
      <w:proofErr w:type="spellEnd"/>
      <w:r>
        <w:t xml:space="preserve">, and no ‘horizontal replacements’ are possible that involve only </w:t>
      </w:r>
      <w:proofErr w:type="spellStart"/>
      <w:r>
        <w:t>subelements</w:t>
      </w:r>
      <w:proofErr w:type="spellEnd"/>
      <w:r>
        <w:t xml:space="preserve">.  This decision means that some of the design goals of previous proposals cannot be met, though it is still true that all possible models can still be created.  One proposal, for example, wanted to be able to define one species in one </w:t>
      </w:r>
      <w:proofErr w:type="spellStart"/>
      <w:r>
        <w:t>submodel</w:t>
      </w:r>
      <w:proofErr w:type="spellEnd"/>
      <w:r>
        <w:t xml:space="preserve">, a second species in a second </w:t>
      </w:r>
      <w:proofErr w:type="spellStart"/>
      <w:r>
        <w:t>submodel</w:t>
      </w:r>
      <w:proofErr w:type="spellEnd"/>
      <w:r>
        <w:t>,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xml:space="preserve">’ class and use it instead without invalidating Level 3 core.  But a scheme would be possible, similar to those proposed before, that would link elements ‘sideways’ across sibling </w:t>
      </w:r>
      <w:proofErr w:type="spellStart"/>
      <w:r>
        <w:t>submodels</w:t>
      </w:r>
      <w:proofErr w:type="spellEnd"/>
      <w:r>
        <w:t>,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w:t>
      </w:r>
      <w:proofErr w:type="spellStart"/>
      <w:r>
        <w:t>submodel</w:t>
      </w:r>
      <w:proofErr w:type="spellEnd"/>
      <w:r>
        <w:t xml:space="preserve">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w:t>
      </w:r>
      <w:proofErr w:type="spellStart"/>
      <w:r>
        <w:t>submodel</w:t>
      </w:r>
      <w:proofErr w:type="spellEnd"/>
      <w:r>
        <w:t xml:space="preserve">.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w:t>
      </w:r>
      <w:proofErr w:type="spellStart"/>
      <w:r>
        <w:t>submodel</w:t>
      </w:r>
      <w:proofErr w:type="spellEnd"/>
      <w:r>
        <w:t xml:space="preserve">,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w:t>
      </w:r>
      <w:proofErr w:type="spellStart"/>
      <w:r>
        <w:t>submodel</w:t>
      </w:r>
      <w:proofErr w:type="spellEnd"/>
      <w:r>
        <w:t xml:space="preserve"> defines how a species </w:t>
      </w:r>
      <w:r w:rsidRPr="006E6C30">
        <w:rPr>
          <w:i/>
        </w:rPr>
        <w:t>amount</w:t>
      </w:r>
      <w:r>
        <w:t xml:space="preserve"> changes in time, and a second </w:t>
      </w:r>
      <w:proofErr w:type="spellStart"/>
      <w:r>
        <w:t>submodel</w:t>
      </w:r>
      <w:proofErr w:type="spellEnd"/>
      <w:r>
        <w:t xml:space="preserve"> defines an </w:t>
      </w:r>
      <w:proofErr w:type="spellStart"/>
      <w:r>
        <w:t>InitialAssignment</w:t>
      </w:r>
      <w:proofErr w:type="spellEnd"/>
      <w:r>
        <w:t xml:space="preserve"> for that same species in terms of </w:t>
      </w:r>
      <w:r w:rsidRPr="006E6C30">
        <w:rPr>
          <w:i/>
        </w:rPr>
        <w:t>concentration</w:t>
      </w:r>
      <w:r>
        <w:t xml:space="preserve">, something must be done to make the model as a whole coherent without editing the </w:t>
      </w:r>
      <w:proofErr w:type="spellStart"/>
      <w:r>
        <w:t>submodels</w:t>
      </w:r>
      <w:proofErr w:type="spellEnd"/>
      <w:r>
        <w:t xml:space="preserve"> directly.  However, we likewise cannot rely on implicit conversion based on declared units, but must make everything explicit instead.</w:t>
      </w:r>
    </w:p>
    <w:p w:rsidR="000B5F01" w:rsidRDefault="000B5F01" w:rsidP="000B5F01">
      <w:r>
        <w:lastRenderedPageBreak/>
        <w:t xml:space="preserve">This is the use of the six different optional conversion factors present on the </w:t>
      </w:r>
      <w:proofErr w:type="spellStart"/>
      <w:r>
        <w:t>Submodel</w:t>
      </w:r>
      <w:proofErr w:type="spellEnd"/>
      <w:r>
        <w:t xml:space="preserve">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w:t>
      </w:r>
      <w:proofErr w:type="spellStart"/>
      <w:r>
        <w:t>Submodel</w:t>
      </w:r>
      <w:proofErr w:type="spellEnd"/>
      <w:r>
        <w:t xml:space="preserve"> conversion factors), so we will tackle that one first.</w:t>
      </w:r>
    </w:p>
    <w:p w:rsidR="000B5F01" w:rsidRDefault="000B5F01" w:rsidP="000B5F01">
      <w:r>
        <w:t xml:space="preserve">If the </w:t>
      </w:r>
      <w:proofErr w:type="spellStart"/>
      <w:r>
        <w:t>submodels</w:t>
      </w:r>
      <w:proofErr w:type="spellEnd"/>
      <w:r>
        <w:t xml:space="preserve"> of the merged model retain any math (that is, if there are any reactions or assignments or anything with a math element on it that has not been replaced or deleted from the </w:t>
      </w:r>
      <w:proofErr w:type="spellStart"/>
      <w:r>
        <w:t>submodel</w:t>
      </w:r>
      <w:proofErr w:type="spellEnd"/>
      <w:r>
        <w:t xml:space="preserve">),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w:t>
      </w:r>
      <w:proofErr w:type="spellStart"/>
      <w:r>
        <w:t>Submodel</w:t>
      </w:r>
      <w:proofErr w:type="spellEnd"/>
      <w:r>
        <w:t xml:space="preserve">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w:t>
      </w:r>
      <w:proofErr w:type="spellStart"/>
      <w:r>
        <w:t>KineticLaws</w:t>
      </w:r>
      <w:proofErr w:type="spellEnd"/>
      <w:r>
        <w:t xml:space="preserve">, </w:t>
      </w:r>
      <w:proofErr w:type="spellStart"/>
      <w:r>
        <w:t>EventAssignments</w:t>
      </w:r>
      <w:proofErr w:type="spellEnd"/>
      <w:r>
        <w:t xml:space="preserve">,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w:t>
      </w:r>
      <w:proofErr w:type="spellStart"/>
      <w:r>
        <w:t>submodel</w:t>
      </w:r>
      <w:proofErr w:type="spellEnd"/>
      <w:r>
        <w:t xml:space="preserve">,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w:t>
      </w:r>
      <w:proofErr w:type="spellStart"/>
      <w:r>
        <w:t>Submodel</w:t>
      </w:r>
      <w:proofErr w:type="spellEnd"/>
      <w:r>
        <w:t xml:space="preserve">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w:t>
      </w:r>
      <w:proofErr w:type="spellStart"/>
      <w:r>
        <w:t>submodel</w:t>
      </w:r>
      <w:proofErr w:type="spellEnd"/>
      <w:r>
        <w:t xml:space="preserve">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w:t>
      </w:r>
      <w:proofErr w:type="spellStart"/>
      <w:r>
        <w:t>spatialDimension</w:t>
      </w:r>
      <w:proofErr w:type="spellEnd"/>
      <w:r>
        <w:t xml:space="preserve">=1’ in the </w:t>
      </w:r>
      <w:proofErr w:type="spellStart"/>
      <w:r>
        <w:t>submodel</w:t>
      </w:r>
      <w:proofErr w:type="spellEnd"/>
      <w:r>
        <w:t xml:space="preserve"> must be converted according to the </w:t>
      </w:r>
      <w:proofErr w:type="spellStart"/>
      <w:r>
        <w:t>lengthConversionFactor</w:t>
      </w:r>
      <w:proofErr w:type="spellEnd"/>
      <w:r>
        <w:t xml:space="preserve">,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w:t>
      </w:r>
      <w:proofErr w:type="spellStart"/>
      <w:r>
        <w:t>submodel</w:t>
      </w:r>
      <w:proofErr w:type="spellEnd"/>
      <w:r>
        <w:t xml:space="preserve">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w:t>
      </w:r>
      <w:proofErr w:type="spellStart"/>
      <w:r>
        <w:t>Submodel</w:t>
      </w:r>
      <w:proofErr w:type="spellEnd"/>
      <w:r>
        <w:t xml:space="preserve">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w:t>
      </w:r>
      <w:proofErr w:type="spellStart"/>
      <w:r>
        <w:t>Submodel</w:t>
      </w:r>
      <w:proofErr w:type="spellEnd"/>
      <w:r>
        <w:t xml:space="preserve">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w:t>
      </w:r>
      <w:proofErr w:type="spellStart"/>
      <w:r>
        <w:t>spatialDimensions</w:t>
      </w:r>
      <w:proofErr w:type="spellEnd"/>
      <w:r>
        <w:t xml:space="preserve"> set to 1, 2, or 3, the corresponding </w:t>
      </w:r>
      <w:proofErr w:type="spellStart"/>
      <w:r>
        <w:t>conversionFactor</w:t>
      </w:r>
      <w:proofErr w:type="spellEnd"/>
      <w:r>
        <w:t xml:space="preserve"> from the </w:t>
      </w:r>
      <w:proofErr w:type="spellStart"/>
      <w:r>
        <w:t>Submodel</w:t>
      </w:r>
      <w:proofErr w:type="spellEnd"/>
      <w:r>
        <w:t xml:space="preserve"> </w:t>
      </w:r>
      <w:r>
        <w:lastRenderedPageBreak/>
        <w:t xml:space="preserve">should be used.  In all other cases, no automatic </w:t>
      </w:r>
      <w:proofErr w:type="spellStart"/>
      <w:r>
        <w:t>conversionFactor</w:t>
      </w:r>
      <w:proofErr w:type="spellEnd"/>
      <w:r>
        <w:t xml:space="preserve"> is possible, and if one is needed, it must be set explicitly on the species’ replacement itself.</w:t>
      </w:r>
    </w:p>
    <w:p w:rsidR="000B5F01" w:rsidRDefault="000B5F01" w:rsidP="000B5F01">
      <w:r>
        <w:t>Another complication is the situation where a species is set ‘</w:t>
      </w:r>
      <w:proofErr w:type="spellStart"/>
      <w:r>
        <w:t>hasOnlySubstanceUnits</w:t>
      </w:r>
      <w:proofErr w:type="spellEnd"/>
      <w:r>
        <w:t xml:space="preserve">=true’ in the </w:t>
      </w:r>
      <w:proofErr w:type="spellStart"/>
      <w:r>
        <w:t>submodel</w:t>
      </w:r>
      <w:proofErr w:type="spellEnd"/>
      <w:r>
        <w:t>,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w:t>
      </w:r>
      <w:proofErr w:type="spellStart"/>
      <w:r>
        <w:t>submodels</w:t>
      </w:r>
      <w:proofErr w:type="spellEnd"/>
      <w:r>
        <w:t xml:space="preserve">.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w:t>
      </w:r>
      <w:proofErr w:type="spellStart"/>
      <w:r>
        <w:t>submodels</w:t>
      </w:r>
      <w:proofErr w:type="spellEnd"/>
      <w:r>
        <w:t xml:space="preserve"> with Priority expressions from the containing model or from other </w:t>
      </w:r>
      <w:proofErr w:type="spellStart"/>
      <w:r>
        <w:t>submodels</w:t>
      </w:r>
      <w:proofErr w:type="spellEnd"/>
      <w:r>
        <w:t xml:space="preserve">,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w:t>
      </w:r>
      <w:proofErr w:type="spellStart"/>
      <w:r>
        <w:t>submodel</w:t>
      </w:r>
      <w:proofErr w:type="spellEnd"/>
      <w:r>
        <w:t xml:space="preserve">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 xml:space="preserve">For convenience, here is a table of SBML core elements and concepts, and what conversion factors they use when included as a </w:t>
      </w:r>
      <w:proofErr w:type="spellStart"/>
      <w:r>
        <w:t>submodel</w:t>
      </w:r>
      <w:proofErr w:type="spellEnd"/>
      <w:r>
        <w:t>:</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KineticLaw</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w:t>
      </w:r>
      <w:proofErr w:type="spellStart"/>
      <w:r>
        <w:t>submodel</w:t>
      </w:r>
      <w:proofErr w:type="spellEnd"/>
      <w:r>
        <w:t>="enzyme"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w:t>
      </w:r>
      <w:proofErr w:type="spellStart"/>
      <w:r>
        <w:t>submodel</w:t>
      </w:r>
      <w:proofErr w:type="spellEnd"/>
      <w:r>
        <w:t>="enzyme"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w:t>
      </w:r>
      <w:proofErr w:type="spellStart"/>
      <w:r>
        <w:t>submodel</w:t>
      </w:r>
      <w:proofErr w:type="spellEnd"/>
      <w:r>
        <w:t>="enzyme"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w:t>
      </w:r>
      <w:proofErr w:type="spellStart"/>
      <w:r>
        <w:t>submodels</w:t>
      </w:r>
      <w:proofErr w:type="spellEnd"/>
      <w:r>
        <w:t xml:space="preserve">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w:t>
      </w:r>
      <w:proofErr w:type="spellStart"/>
      <w:r>
        <w:t>submodels</w:t>
      </w:r>
      <w:proofErr w:type="spellEnd"/>
      <w:r>
        <w:t xml:space="preserve">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 xml:space="preserve">Examine the </w:t>
      </w:r>
      <w:proofErr w:type="spellStart"/>
      <w:r>
        <w:t>submodels</w:t>
      </w:r>
      <w:proofErr w:type="spellEnd"/>
      <w:r>
        <w:t xml:space="preserve"> of the model you are translating or validating.  If any of them themselves contain </w:t>
      </w:r>
      <w:proofErr w:type="spellStart"/>
      <w:r>
        <w:t>submodels</w:t>
      </w:r>
      <w:proofErr w:type="spellEnd"/>
      <w:r>
        <w:t xml:space="preserve">, repeat this algorithm from the beginning with those </w:t>
      </w:r>
      <w:proofErr w:type="spellStart"/>
      <w:r>
        <w:t>submodels</w:t>
      </w:r>
      <w:proofErr w:type="spellEnd"/>
      <w:r>
        <w:t xml:space="preserve"> before continuing.   Afterwards, repeat steps 2-5 for each </w:t>
      </w:r>
      <w:proofErr w:type="spellStart"/>
      <w:r>
        <w:t>submodel</w:t>
      </w:r>
      <w:proofErr w:type="spellEnd"/>
      <w:r>
        <w:t>:</w:t>
      </w:r>
    </w:p>
    <w:p w:rsidR="00DA1154" w:rsidRDefault="00DA1154" w:rsidP="00DA1154">
      <w:pPr>
        <w:pStyle w:val="Numberedindent"/>
        <w:ind w:left="361" w:hangingChars="164" w:hanging="361"/>
      </w:pPr>
      <w:r>
        <w:t xml:space="preserve">Give all </w:t>
      </w:r>
      <w:proofErr w:type="spellStart"/>
      <w:r>
        <w:t>submodels</w:t>
      </w:r>
      <w:proofErr w:type="spellEnd"/>
      <w:r>
        <w:t xml:space="preserve"> that do not yet have one an ID unique to the containing model’s namespace.  For example, if the model has three unnamed </w:t>
      </w:r>
      <w:proofErr w:type="spellStart"/>
      <w:r>
        <w:t>submodels</w:t>
      </w:r>
      <w:proofErr w:type="spellEnd"/>
      <w:r>
        <w:t xml:space="preserve">,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 xml:space="preserve">Remove any </w:t>
      </w:r>
      <w:proofErr w:type="spellStart"/>
      <w:r>
        <w:t>submodel</w:t>
      </w:r>
      <w:proofErr w:type="spellEnd"/>
      <w:r>
        <w:t xml:space="preserve">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w:t>
      </w:r>
      <w:proofErr w:type="spellStart"/>
      <w:r>
        <w:t>submodel</w:t>
      </w:r>
      <w:proofErr w:type="spellEnd"/>
      <w:r>
        <w:t xml:space="preserve">.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 xml:space="preserve">After performing the above tasks for all </w:t>
      </w:r>
      <w:proofErr w:type="spellStart"/>
      <w:r>
        <w:t>submodels</w:t>
      </w:r>
      <w:proofErr w:type="spellEnd"/>
      <w:r>
        <w:t xml:space="preserve">, assemble all remaining elements of the </w:t>
      </w:r>
      <w:proofErr w:type="spellStart"/>
      <w:r>
        <w:t>submodels</w:t>
      </w:r>
      <w:proofErr w:type="spellEnd"/>
      <w:r>
        <w:t xml:space="preserve">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 xml:space="preserve">At this point, the Model is ready to be exported as Level 3 core (plus any attendant packages used by the </w:t>
      </w:r>
      <w:proofErr w:type="spellStart"/>
      <w:r>
        <w:t>submodels</w:t>
      </w:r>
      <w:proofErr w:type="spellEnd"/>
      <w:r>
        <w:t>),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C74" w:rsidRDefault="005B2C74" w:rsidP="009D0FE6">
      <w:r>
        <w:separator/>
      </w:r>
    </w:p>
  </w:endnote>
  <w:endnote w:type="continuationSeparator" w:id="0">
    <w:p w:rsidR="005B2C74" w:rsidRDefault="005B2C74"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C74" w:rsidRDefault="005B2C74" w:rsidP="009D0FE6">
      <w:r>
        <w:separator/>
      </w:r>
    </w:p>
  </w:footnote>
  <w:footnote w:type="continuationSeparator" w:id="0">
    <w:p w:rsidR="005B2C74" w:rsidRDefault="005B2C74" w:rsidP="009D0FE6">
      <w:r>
        <w:continuationSeparator/>
      </w:r>
    </w:p>
  </w:footnote>
  <w:footnote w:id="1">
    <w:p w:rsidR="00F32511" w:rsidRDefault="00F32511"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F32511" w:rsidRDefault="00F32511"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F32511" w:rsidRDefault="00F32511"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F32511" w:rsidRDefault="00F32511"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F32511" w:rsidRDefault="00F32511"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F32511" w:rsidRDefault="00F32511"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F32511" w:rsidRDefault="00F32511"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F32511" w:rsidRDefault="00F32511">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F32511" w:rsidRDefault="00F32511">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F32511" w:rsidRDefault="00F32511"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11" w:rsidRDefault="00F32511">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F32511" w:rsidRDefault="00F32511">
        <w:pPr>
          <w:pStyle w:val="Header"/>
          <w:jc w:val="right"/>
        </w:pPr>
        <w:r>
          <w:fldChar w:fldCharType="begin"/>
        </w:r>
        <w:r>
          <w:instrText xml:space="preserve"> PAGE   \* MERGEFORMAT </w:instrText>
        </w:r>
        <w:r>
          <w:fldChar w:fldCharType="separate"/>
        </w:r>
        <w:r w:rsidR="007B7E03">
          <w:rPr>
            <w:noProof/>
          </w:rPr>
          <w:t>24</w:t>
        </w:r>
        <w:r>
          <w:rPr>
            <w:noProof/>
          </w:rPr>
          <w:fldChar w:fldCharType="end"/>
        </w:r>
      </w:p>
    </w:sdtContent>
  </w:sdt>
  <w:p w:rsidR="00F32511" w:rsidRDefault="00F32511"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B5F01"/>
    <w:rsid w:val="000D71D2"/>
    <w:rsid w:val="000E3BDE"/>
    <w:rsid w:val="00112210"/>
    <w:rsid w:val="00135AC3"/>
    <w:rsid w:val="00166EB4"/>
    <w:rsid w:val="001F43DC"/>
    <w:rsid w:val="00241A9C"/>
    <w:rsid w:val="00250CE8"/>
    <w:rsid w:val="002D6F6D"/>
    <w:rsid w:val="00324C86"/>
    <w:rsid w:val="00327DFF"/>
    <w:rsid w:val="00354F9A"/>
    <w:rsid w:val="003C6FC2"/>
    <w:rsid w:val="00443AD9"/>
    <w:rsid w:val="00461E99"/>
    <w:rsid w:val="00470ADC"/>
    <w:rsid w:val="00477688"/>
    <w:rsid w:val="004A126C"/>
    <w:rsid w:val="004F11A0"/>
    <w:rsid w:val="005303C0"/>
    <w:rsid w:val="0054030D"/>
    <w:rsid w:val="00543C89"/>
    <w:rsid w:val="005A332D"/>
    <w:rsid w:val="005B2C74"/>
    <w:rsid w:val="005B4EFA"/>
    <w:rsid w:val="005E2E5B"/>
    <w:rsid w:val="005F14B1"/>
    <w:rsid w:val="00605FB6"/>
    <w:rsid w:val="0067468F"/>
    <w:rsid w:val="007979FD"/>
    <w:rsid w:val="007B7E03"/>
    <w:rsid w:val="0081720C"/>
    <w:rsid w:val="00837F3B"/>
    <w:rsid w:val="00850D2D"/>
    <w:rsid w:val="0088186E"/>
    <w:rsid w:val="008D61D4"/>
    <w:rsid w:val="00952219"/>
    <w:rsid w:val="00955806"/>
    <w:rsid w:val="009D0FE6"/>
    <w:rsid w:val="00B02FDC"/>
    <w:rsid w:val="00B51E30"/>
    <w:rsid w:val="00B80E1A"/>
    <w:rsid w:val="00C00477"/>
    <w:rsid w:val="00C5090F"/>
    <w:rsid w:val="00CB5411"/>
    <w:rsid w:val="00CF19E1"/>
    <w:rsid w:val="00D064F3"/>
    <w:rsid w:val="00D323C8"/>
    <w:rsid w:val="00D46A23"/>
    <w:rsid w:val="00D93035"/>
    <w:rsid w:val="00DA1154"/>
    <w:rsid w:val="00DA4601"/>
    <w:rsid w:val="00DB5A1E"/>
    <w:rsid w:val="00DD67E3"/>
    <w:rsid w:val="00E41A9C"/>
    <w:rsid w:val="00EB4F53"/>
    <w:rsid w:val="00EC23C6"/>
    <w:rsid w:val="00F32511"/>
    <w:rsid w:val="00F4463E"/>
    <w:rsid w:val="00F474BC"/>
    <w:rsid w:val="00F71F15"/>
    <w:rsid w:val="00FB3509"/>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C9F0C-8484-4916-96CD-22E941E52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4075</TotalTime>
  <Pages>31</Pages>
  <Words>12960</Words>
  <Characters>73874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24</cp:revision>
  <cp:lastPrinted>2010-10-07T17:02:00Z</cp:lastPrinted>
  <dcterms:created xsi:type="dcterms:W3CDTF">2010-10-01T21:32:00Z</dcterms:created>
  <dcterms:modified xsi:type="dcterms:W3CDTF">2011-04-15T06:04:00Z</dcterms:modified>
</cp:coreProperties>
</file>