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D1031B">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D1031B">
            <w:pPr>
              <w:pStyle w:val="Body"/>
              <w:spacing w:after="60"/>
              <w:jc w:val="center"/>
              <w:rPr>
                <w:rFonts w:ascii="Courier" w:hAnsi="Courier"/>
                <w:color w:val="333333"/>
              </w:rPr>
            </w:pPr>
            <w:r>
              <w:rPr>
                <w:rFonts w:ascii="Courier" w:hAnsi="Courier"/>
                <w:color w:val="333333"/>
              </w:rPr>
              <w:t>mhucka@caltech.edu</w:t>
            </w:r>
          </w:p>
          <w:p w:rsidR="00DD67E3" w:rsidRDefault="00DD67E3" w:rsidP="00D1031B">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D1031B">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D1031B">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D1031B">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D1031B">
            <w:pPr>
              <w:pStyle w:val="Body"/>
              <w:spacing w:after="40"/>
              <w:jc w:val="center"/>
              <w:rPr>
                <w:rFonts w:ascii="Courier" w:hAnsi="Courier"/>
                <w:color w:val="333333"/>
              </w:rPr>
            </w:pPr>
            <w:r>
              <w:rPr>
                <w:rFonts w:ascii="Courier" w:hAnsi="Courier"/>
                <w:color w:val="333333"/>
              </w:rPr>
              <w:t>lenov@ebi.ac.uk</w:t>
            </w:r>
          </w:p>
          <w:p w:rsidR="00DD67E3" w:rsidRDefault="00DD67E3" w:rsidP="00D1031B">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D1031B">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D1031B">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D1031B">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D1031B">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D1031B">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D1031B">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DD67E3">
      <w:pPr>
        <w:pStyle w:val="FreeForm"/>
        <w:keepLines/>
        <w:spacing w:before="240" w:after="20" w:line="20" w:lineRule="atLeast"/>
        <w:ind w:left="1440" w:right="1440"/>
        <w:jc w:val="center"/>
        <w:rPr>
          <w:rFonts w:ascii="Arial" w:hAnsi="Arial"/>
        </w:rPr>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DD67E3" w:rsidP="00DD67E3">
      <w:hyperlink r:id="rId10" w:history="1">
        <w:r>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DD67E3" w:rsidP="00DD67E3">
      <w:hyperlink r:id="rId11" w:history="1">
        <w:r w:rsidRPr="00FB53C5">
          <w:rPr>
            <w:rStyle w:val="Hyperlink"/>
          </w:rPr>
          <w:t>http://sbml.org/Community/Wiki/SBML_Level_3_Proposals/Hierarchical_Model_Composition_%28Hoops_2007%29</w:t>
        </w:r>
      </w:hyperlink>
      <w:r>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DD67E3" w:rsidP="00DA1154">
            <w:pPr>
              <w:pStyle w:val="Body"/>
              <w:spacing w:after="0"/>
            </w:pPr>
            <w:r>
              <w:rPr>
                <w:noProof/>
              </w:rPr>
              <w:drawing>
                <wp:inline distT="0" distB="0" distL="0" distR="0" wp14:anchorId="74AEE4EF" wp14:editId="7491ADDD">
                  <wp:extent cx="19304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w:t>
      </w:r>
      <w:bookmarkStart w:id="0" w:name="_GoBack"/>
      <w:bookmarkEnd w:id="0"/>
      <w:r>
        <w:t xml:space="preserve">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w:t>
      </w:r>
      <w:r>
        <w:lastRenderedPageBreak/>
        <w:t>definitions, it supports optional external file storage, and it allows recursive model decomposition with arbitrary submodel nesting.</w:t>
      </w:r>
    </w:p>
    <w:p w:rsidR="005B4EFA" w:rsidRDefault="009D0FE6" w:rsidP="00C5090F">
      <w:pPr>
        <w:pStyle w:val="Heading11"/>
      </w:pPr>
      <w:r>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w:t>
      </w:r>
      <w:proofErr w:type="spellStart"/>
      <w:r>
        <w:t>defind</w:t>
      </w:r>
      <w:proofErr w:type="spellEnd"/>
      <w:r>
        <w:t xml:space="preserve"> interface, thereby supporting the simplification or elaboration of models as needed.  Their proposal emphasizes the reuse of models and with the possibility of developing libraries of models.</w:t>
      </w:r>
    </w:p>
    <w:p w:rsidR="005B4EFA" w:rsidRDefault="005B4EFA" w:rsidP="009D0FE6">
      <w:r>
        <w:lastRenderedPageBreak/>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The proposal itself has not survived intact on the web (the host site disallowed indexing of their site, preventing even Archive.org from saving it), but from the follow-up discussions between him, Andrew Finney, and Martin </w:t>
      </w:r>
      <w:proofErr w:type="spellStart"/>
      <w:r>
        <w:t>Ginkel</w:t>
      </w:r>
      <w:proofErr w:type="spellEnd"/>
      <w:r>
        <w:t xml:space="preserve">, it seems that this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 xml:space="preserve">Model composition did not make it into SBML Level 2 when that specification was released in June of 2003, because the changes between SBML Level 1 and Level 2 were already substantial enough that </w:t>
      </w:r>
      <w:proofErr w:type="spellStart"/>
      <w:r>
        <w:t>sofware</w:t>
      </w:r>
      <w:proofErr w:type="spellEnd"/>
      <w:r>
        <w:t xml:space="preserv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w:t>
      </w:r>
      <w:r>
        <w:lastRenderedPageBreak/>
        <w:t xml:space="preserve">the original modeler simply by accessing a model’s elements directly via </w:t>
      </w:r>
      <w:proofErr w:type="spellStart"/>
      <w:r>
        <w:t>XPath</w:t>
      </w:r>
      <w:proofErr w:type="spellEnd"/>
      <w:r>
        <w:t>-based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1" w:name="GoBack"/>
      <w:bookmarkEnd w:id="1"/>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xml:space="preserve">, dealing with the pragmatics of merging multiple models.  As far as this proposal goes, he noted </w:t>
      </w:r>
      <w:r>
        <w:lastRenderedPageBreak/>
        <w:t>that the annotations in a composed model need to be considered, particularly since they can be crucial to successfully merging models in the first place.</w:t>
      </w:r>
    </w:p>
    <w:p w:rsidR="005B4EFA" w:rsidRDefault="005B4EFA" w:rsidP="00DA1154">
      <w:pPr>
        <w:pStyle w:val="Numberedindent"/>
      </w:pPr>
      <w:r>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lastRenderedPageBreak/>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w:t>
      </w:r>
      <w:r>
        <w:lastRenderedPageBreak/>
        <w:t xml:space="preserve">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 xml:space="preserve">-discuss was met with very limited discussion.  </w:t>
      </w:r>
      <w:proofErr w:type="spellStart"/>
      <w:r>
        <w:t>Howver</w:t>
      </w:r>
      <w:proofErr w:type="spellEnd"/>
      <w:r>
        <w:t>, in turns out that several of the issues raised by Smith were brought up at the 2007 meeting, and had simply been missed in the generation of the initial (and incomplete) proposal placed on the wiki.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w:t>
      </w:r>
      <w:r>
        <w:lastRenderedPageBreak/>
        <w:t xml:space="preserve">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lastRenderedPageBreak/>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9D0FE6" w:rsidRDefault="009D0FE6" w:rsidP="00837F3B">
      <w:pPr>
        <w:jc w:val="center"/>
      </w:pPr>
      <w:r>
        <w:rPr>
          <w:noProof/>
        </w:rPr>
        <w:lastRenderedPageBreak/>
        <w:drawing>
          <wp:inline distT="0" distB="0" distL="0" distR="0" wp14:anchorId="201A8800" wp14:editId="34E03ACC">
            <wp:extent cx="3469005" cy="16275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9D0FE6"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2D6F6D" w:rsidRDefault="002D6F6D" w:rsidP="009D0FE6"/>
    <w:p w:rsidR="002D6F6D" w:rsidRDefault="002D6F6D" w:rsidP="009D0FE6"/>
    <w:p w:rsidR="009D0FE6" w:rsidRDefault="00054D77" w:rsidP="00837F3B">
      <w:pPr>
        <w:jc w:val="center"/>
      </w:pPr>
      <w:r>
        <w:rPr>
          <w:noProof/>
        </w:rPr>
        <w:drawing>
          <wp:inline distT="0" distB="0" distL="0" distR="0" wp14:anchorId="3AD573F6">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9D0FE6" w:rsidP="00837F3B">
      <w:pPr>
        <w:jc w:val="center"/>
      </w:pPr>
      <w:r>
        <w:rPr>
          <w:noProof/>
        </w:rPr>
        <w:drawing>
          <wp:inline distT="0" distB="0" distL="0" distR="0" wp14:anchorId="342E09BE" wp14:editId="65387B8A">
            <wp:extent cx="3926205" cy="37433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05" cy="3743325"/>
                    </a:xfrm>
                    <a:prstGeom prst="rect">
                      <a:avLst/>
                    </a:prstGeom>
                    <a:noFill/>
                  </pic:spPr>
                </pic:pic>
              </a:graphicData>
            </a:graphic>
          </wp:inline>
        </w:drawing>
      </w:r>
    </w:p>
    <w:p w:rsidR="009D0FE6" w:rsidRDefault="009D0FE6" w:rsidP="009D0FE6">
      <w:pPr>
        <w:pStyle w:val="Caption"/>
      </w:pPr>
      <w:r>
        <w:t xml:space="preserve">Figure </w:t>
      </w:r>
      <w:r w:rsidR="0004666D">
        <w:fldChar w:fldCharType="begin"/>
      </w:r>
      <w:r w:rsidR="0004666D">
        <w:instrText xml:space="preserve"> SEQ Figure \* ARABIC </w:instrText>
      </w:r>
      <w:r w:rsidR="0004666D">
        <w:fldChar w:fldCharType="separate"/>
      </w:r>
      <w:r w:rsidR="00D323C8">
        <w:rPr>
          <w:noProof/>
        </w:rPr>
        <w:t>3</w:t>
      </w:r>
      <w:r w:rsidR="0004666D">
        <w:rPr>
          <w:noProof/>
        </w:rPr>
        <w:fldChar w:fldCharType="end"/>
      </w:r>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five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five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this element of this submodel is the same as this other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lastRenderedPageBreak/>
        <w:drawing>
          <wp:inline distT="0" distB="0" distL="0" distR="0" wp14:anchorId="42E83BD8" wp14:editId="624C97B9">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w:t>
      </w:r>
      <w:r>
        <w:lastRenderedPageBreak/>
        <w:t xml:space="preserve">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w:t>
      </w:r>
      <w:r w:rsidRPr="008861FB">
        <w:rPr>
          <w:color w:val="FF0000"/>
        </w:rPr>
        <w:t xml:space="preserve">Optional validation rules:  The order of the above list could be enforced by the validator, insisting that if a referenced object has a </w:t>
      </w:r>
      <w:proofErr w:type="spellStart"/>
      <w:r>
        <w:rPr>
          <w:color w:val="FF0000"/>
        </w:rPr>
        <w:t>portid</w:t>
      </w:r>
      <w:proofErr w:type="spellEnd"/>
      <w:r w:rsidRPr="008861FB">
        <w:rPr>
          <w:color w:val="FF0000"/>
        </w:rPr>
        <w:t xml:space="preserve"> that it be used, and if not, its </w:t>
      </w:r>
      <w:proofErr w:type="spellStart"/>
      <w:r w:rsidRPr="008861FB">
        <w:rPr>
          <w:color w:val="FF0000"/>
        </w:rPr>
        <w:t>SId</w:t>
      </w:r>
      <w:proofErr w:type="spellEnd"/>
      <w:r w:rsidRPr="008861FB">
        <w:rPr>
          <w:color w:val="FF0000"/>
        </w:rPr>
        <w:t xml:space="preserve">, etc.  Alternatively, we could issue warnings </w:t>
      </w:r>
      <w:r>
        <w:rPr>
          <w:color w:val="FF0000"/>
        </w:rPr>
        <w:t>if</w:t>
      </w:r>
      <w:r w:rsidRPr="008861FB">
        <w:rPr>
          <w:color w:val="FF0000"/>
        </w:rPr>
        <w:t xml:space="preserve"> a </w:t>
      </w:r>
      <w:proofErr w:type="spellStart"/>
      <w:r w:rsidRPr="008861FB">
        <w:rPr>
          <w:color w:val="FF0000"/>
        </w:rPr>
        <w:t>metaID</w:t>
      </w:r>
      <w:proofErr w:type="spellEnd"/>
      <w:r w:rsidRPr="008861FB">
        <w:rPr>
          <w:color w:val="FF0000"/>
        </w:rPr>
        <w:t xml:space="preserve"> was used when a </w:t>
      </w:r>
      <w:proofErr w:type="spellStart"/>
      <w:r>
        <w:rPr>
          <w:color w:val="FF0000"/>
        </w:rPr>
        <w:t>portid</w:t>
      </w:r>
      <w:proofErr w:type="spellEnd"/>
      <w:r w:rsidRPr="008861FB">
        <w:rPr>
          <w:color w:val="FF0000"/>
        </w:rPr>
        <w:t xml:space="preserve"> was available, etc.</w:t>
      </w:r>
      <w:r>
        <w:t>]]</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lastRenderedPageBreak/>
        <w:drawing>
          <wp:inline distT="0" distB="0" distL="0" distR="0" wp14:anchorId="2F656E46" wp14:editId="614433A4">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r w:rsidR="0004666D">
        <w:fldChar w:fldCharType="begin"/>
      </w:r>
      <w:r w:rsidR="0004666D">
        <w:instrText xml:space="preserve"> SEQ Figure \* ARABIC </w:instrText>
      </w:r>
      <w:r w:rsidR="0004666D">
        <w:fldChar w:fldCharType="separate"/>
      </w:r>
      <w:r w:rsidR="00D323C8">
        <w:rPr>
          <w:noProof/>
        </w:rPr>
        <w:t>5</w:t>
      </w:r>
      <w:r w:rsidR="0004666D">
        <w:rPr>
          <w:noProof/>
        </w:rPr>
        <w:fldChar w:fldCharType="end"/>
      </w:r>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r>
        <w:lastRenderedPageBreak/>
        <w:t xml:space="preserve">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The exceptions are 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5E2E5B">
        <w:t>, and the numerical values of any attributes such as ‘</w:t>
      </w:r>
      <w:proofErr w:type="spellStart"/>
      <w:r w:rsidR="005E2E5B">
        <w:t>initialValue</w:t>
      </w:r>
      <w:proofErr w:type="spellEnd"/>
      <w:r w:rsidR="005E2E5B">
        <w:t>’—these values must be equivalent to each other as dictated by any relevant conversion factors (see ‘Conversion Factors’, section 3.5), but as a result, may not be the exact same value</w:t>
      </w:r>
      <w:r>
        <w:t>.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lastRenderedPageBreak/>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t xml:space="preserve">This is the use of the six different optional conversion factors present on the Submodel class, and the single conversion factor present in the ReplacedElement class.  The conversion factor in </w:t>
      </w:r>
      <w:r>
        <w:lastRenderedPageBreak/>
        <w:t>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‘spatialDimension=1’ in the submodel must be converted according to the lengthConversionFactor, with all assignments to that compartment multiplied by the </w:t>
      </w:r>
      <w:r>
        <w:lastRenderedPageBreak/>
        <w:t xml:space="preserve">conversion factor, and that compartment’s </w:t>
      </w:r>
      <w:proofErr w:type="spellStart"/>
      <w:r>
        <w:t>SId</w:t>
      </w:r>
      <w:proofErr w:type="spellEnd"/>
      <w:r>
        <w:t xml:space="preserve"> divided by it wherever it appears inside a math element.  All math implied by Reactions are converted by the substanceConversionFactor divided by the timeConversionFactor.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0B5F01" w:rsidP="000B5F01">
      <w:r>
        <w:t>SBML Level 3 has almost no defaults, but its own conversionFactor attributes (on Model and on Species) effectively default to ‘1’, since this also means ‘do nothing to the values’.  Similarly, all conversion factors here effectively default to ‘1’ as well, so that if (for example) ‘substanceConversionFactor’ is defined but ‘volumeConversionFactor’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should be used.  In all other cases, no automatic conversionFactor is possible, and if one is needed, it must be set explicitly on the species’ replacement itself.</w:t>
      </w:r>
    </w:p>
    <w:p w:rsidR="000B5F01" w:rsidRDefault="000B5F01" w:rsidP="000B5F01">
      <w:r>
        <w:lastRenderedPageBreak/>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r w:rsidR="0004666D">
        <w:fldChar w:fldCharType="begin"/>
      </w:r>
      <w:r w:rsidR="0004666D">
        <w:instrText xml:space="preserve"> SEQ Table \* ARABIC </w:instrText>
      </w:r>
      <w:r w:rsidR="0004666D">
        <w:fldChar w:fldCharType="separate"/>
      </w:r>
      <w:r w:rsidR="00D323C8">
        <w:rPr>
          <w:noProof/>
        </w:rPr>
        <w:t>1</w:t>
      </w:r>
      <w:r w:rsidR="0004666D">
        <w:rPr>
          <w:noProof/>
        </w:rPr>
        <w:fldChar w:fldCharType="end"/>
      </w:r>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Math derived from Reactions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modelDefinition</w:t>
      </w:r>
      <w:proofErr w:type="spellEnd"/>
      <w:r>
        <w:t xml:space="preserve"> id="enzyme" name="enzyme"&gt;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DA1154" w:rsidRDefault="00DA1154" w:rsidP="00DA1154">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 </w:t>
      </w:r>
      <w:proofErr w:type="spellStart"/>
      <w:r>
        <w:t>portid</w:t>
      </w:r>
      <w:proofErr w:type="spellEnd"/>
      <w:r>
        <w:t>="J1_port"&gt;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lastRenderedPageBreak/>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66D" w:rsidRDefault="0004666D" w:rsidP="009D0FE6">
      <w:r>
        <w:separator/>
      </w:r>
    </w:p>
  </w:endnote>
  <w:endnote w:type="continuationSeparator" w:id="0">
    <w:p w:rsidR="0004666D" w:rsidRDefault="0004666D"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66D" w:rsidRDefault="0004666D" w:rsidP="009D0FE6">
      <w:r>
        <w:separator/>
      </w:r>
    </w:p>
  </w:footnote>
  <w:footnote w:type="continuationSeparator" w:id="0">
    <w:p w:rsidR="0004666D" w:rsidRDefault="0004666D" w:rsidP="009D0FE6">
      <w:r>
        <w:continuationSeparator/>
      </w:r>
    </w:p>
  </w:footnote>
  <w:footnote w:id="1">
    <w:p w:rsidR="007979FD" w:rsidRDefault="007979FD"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7979FD" w:rsidRDefault="007979FD"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7979FD" w:rsidRDefault="007979FD"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7979FD" w:rsidRDefault="007979FD"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7979FD" w:rsidRDefault="007979F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7979FD" w:rsidRDefault="007979F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7979FD" w:rsidRDefault="007979FD"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7979FD" w:rsidRDefault="007979FD">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7979FD" w:rsidRDefault="007979FD">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7979FD" w:rsidRDefault="007979FD"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9FD" w:rsidRDefault="007979FD">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7979FD" w:rsidRDefault="007979FD">
        <w:pPr>
          <w:pStyle w:val="Header"/>
          <w:jc w:val="right"/>
        </w:pPr>
        <w:r>
          <w:fldChar w:fldCharType="begin"/>
        </w:r>
        <w:r>
          <w:instrText xml:space="preserve"> PAGE   \* MERGEFORMAT </w:instrText>
        </w:r>
        <w:r>
          <w:fldChar w:fldCharType="separate"/>
        </w:r>
        <w:r w:rsidR="00DD67E3">
          <w:rPr>
            <w:noProof/>
          </w:rPr>
          <w:t>3</w:t>
        </w:r>
        <w:r>
          <w:rPr>
            <w:noProof/>
          </w:rPr>
          <w:fldChar w:fldCharType="end"/>
        </w:r>
      </w:p>
    </w:sdtContent>
  </w:sdt>
  <w:p w:rsidR="007979FD" w:rsidRDefault="007979FD"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4666D"/>
    <w:rsid w:val="00054D77"/>
    <w:rsid w:val="000B5F01"/>
    <w:rsid w:val="00112210"/>
    <w:rsid w:val="002D6F6D"/>
    <w:rsid w:val="00443AD9"/>
    <w:rsid w:val="00470ADC"/>
    <w:rsid w:val="005303C0"/>
    <w:rsid w:val="0054030D"/>
    <w:rsid w:val="005A332D"/>
    <w:rsid w:val="005B4EFA"/>
    <w:rsid w:val="005E2E5B"/>
    <w:rsid w:val="0067468F"/>
    <w:rsid w:val="007979FD"/>
    <w:rsid w:val="00837F3B"/>
    <w:rsid w:val="008D61D4"/>
    <w:rsid w:val="009D0FE6"/>
    <w:rsid w:val="00C5090F"/>
    <w:rsid w:val="00D323C8"/>
    <w:rsid w:val="00DA1154"/>
    <w:rsid w:val="00DB5A1E"/>
    <w:rsid w:val="00DD67E3"/>
    <w:rsid w:val="00E41A9C"/>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BADE1-8C11-49A7-A175-ED1970AEC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31</Pages>
  <Words>12862</Words>
  <Characters>73315</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Lucian</cp:lastModifiedBy>
  <cp:revision>6</cp:revision>
  <cp:lastPrinted>2010-10-02T00:07:00Z</cp:lastPrinted>
  <dcterms:created xsi:type="dcterms:W3CDTF">2010-10-01T21:32:00Z</dcterms:created>
  <dcterms:modified xsi:type="dcterms:W3CDTF">2010-10-04T19:02:00Z</dcterms:modified>
</cp:coreProperties>
</file>