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sz w:val="36"/>
          <w:szCs w:val="36"/>
        </w:rPr>
        <w:t xml:space="preserve">BLAGOJA GOLUBOVSKI</w:t>
      </w:r>
    </w:p>
    <w:p>
      <w:pPr>
        <w:spacing w:after="80"/>
        <w:jc w:val="center"/>
      </w:pPr>
      <w:r>
        <w:rPr>
          <w:rFonts w:ascii="Arial" w:cs="Arial" w:eastAsia="Arial" w:hAnsi="Arial"/>
          <w:b/>
          <w:bCs/>
          <w:color w:val="1F6F4A"/>
          <w:sz w:val="22"/>
          <w:szCs w:val="22"/>
        </w:rPr>
        <w:t xml:space="preserve">Chief Product Officer | AI-Native Operating Models | B2B SaaS Product Orgs at Scale | $120M+ ARR</w:t>
      </w:r>
    </w:p>
    <w:p>
      <w:pPr>
        <w:spacing w:after="40"/>
        <w:jc w:val="center"/>
      </w:pPr>
      <w:r>
        <w:rPr>
          <w:rFonts w:ascii="Arial" w:cs="Arial" w:eastAsia="Arial" w:hAnsi="Arial"/>
          <w:sz w:val="18"/>
          <w:szCs w:val="18"/>
        </w:rPr>
        <w:t xml:space="preserve">Lisbon, Portugal (US Citizen)  ·  +1 (650) 283-8867  ·  </w:t>
      </w:r>
      <w:hyperlink w:history="1" r:id="rIdhqmya5uwkoy1ch41tggif">
        <w:r>
          <w:rPr>
            <w:rFonts w:ascii="Arial" w:cs="Arial" w:eastAsia="Arial" w:hAnsi="Arial"/>
            <w:color w:val="1F6F4A"/>
            <w:sz w:val="18"/>
            <w:szCs w:val="18"/>
            <w:u w:val="single"/>
          </w:rPr>
          <w:t xml:space="preserve">blagoja@gmail.com</w:t>
        </w:r>
      </w:hyperlink>
      <w:r>
        <w:rPr>
          <w:rFonts w:ascii="Arial" w:cs="Arial" w:eastAsia="Arial" w:hAnsi="Arial"/>
          <w:sz w:val="18"/>
          <w:szCs w:val="18"/>
        </w:rPr>
        <w:t xml:space="preserve">  ·  </w:t>
      </w:r>
      <w:hyperlink w:history="1" r:id="rIdz05wr1ta3yygmcdplbazi">
        <w:r>
          <w:rPr>
            <w:rFonts w:ascii="Arial" w:cs="Arial" w:eastAsia="Arial" w:hAnsi="Arial"/>
            <w:color w:val="1F6F4A"/>
            <w:sz w:val="18"/>
            <w:szCs w:val="18"/>
            <w:u w:val="single"/>
          </w:rPr>
          <w:t xml:space="preserve">linkedin.com/in/golubovski</w:t>
        </w:r>
      </w:hyperlink>
      <w:r>
        <w:rPr>
          <w:rFonts w:ascii="Arial" w:cs="Arial" w:eastAsia="Arial" w:hAnsi="Arial"/>
          <w:sz w:val="18"/>
          <w:szCs w:val="18"/>
        </w:rPr>
        <w:t xml:space="preserve">  ·  </w:t>
      </w:r>
      <w:hyperlink w:history="1" r:id="rIdruotcmwhbunleixq1upom">
        <w:r>
          <w:rPr>
            <w:rFonts w:ascii="Arial" w:cs="Arial" w:eastAsia="Arial" w:hAnsi="Arial"/>
            <w:color w:val="1F6F4A"/>
            <w:sz w:val="18"/>
            <w:szCs w:val="18"/>
            <w:u w:val="single"/>
          </w:rPr>
          <w:t xml:space="preserve">golubovski.com</w:t>
        </w:r>
      </w:hyperlink>
    </w:p>
    <w:p>
      <w:pPr>
        <w:pBdr>
          <w:bottom w:val="single" w:color="1F6F4A" w:sz="12" w:space="4"/>
        </w:pBdr>
        <w:spacing w:after="80" w:before="240"/>
      </w:pPr>
      <w:r>
        <w:rPr>
          <w:rFonts w:ascii="Arial" w:cs="Arial" w:eastAsia="Arial" w:hAnsi="Arial"/>
          <w:b/>
          <w:bCs/>
          <w:color w:val="1F6F4A"/>
          <w:sz w:val="22"/>
          <w:szCs w:val="22"/>
        </w:rPr>
        <w:t xml:space="preserve">EXECUTIVE SUMMARY</w:t>
      </w:r>
    </w:p>
    <w:p>
      <w:pPr>
        <w:spacing w:after="120"/>
      </w:pPr>
      <w:r>
        <w:rPr>
          <w:rFonts w:ascii="Arial" w:cs="Arial" w:eastAsia="Arial" w:hAnsi="Arial"/>
          <w:sz w:val="20"/>
          <w:szCs w:val="20"/>
        </w:rPr>
        <w:t xml:space="preserve">Product executive with 25+ years scaling data-driven SaaS platforms inside fast-moving, sales-first cultures. Track record installing structure, clarity, and operating rhythm (planning, rituals, communication, tooling) without slowing the commercial engine, while mentoring product leaders through coaching and direct feedback. Most recent platform serves blue-chip institutional customers across 195+ countries with 7B+ signals/month, paired with hands-on AI-native building at Cimanote and Kairos.</w:t>
      </w:r>
    </w:p>
    <w:p>
      <w:pPr>
        <w:pBdr>
          <w:bottom w:val="single" w:color="1F6F4A" w:sz="12" w:space="4"/>
        </w:pBdr>
        <w:spacing w:after="80" w:before="240"/>
      </w:pPr>
      <w:r>
        <w:rPr>
          <w:rFonts w:ascii="Arial" w:cs="Arial" w:eastAsia="Arial" w:hAnsi="Arial"/>
          <w:b/>
          <w:bCs/>
          <w:color w:val="1F6F4A"/>
          <w:sz w:val="22"/>
          <w:szCs w:val="22"/>
        </w:rPr>
        <w:t xml:space="preserve">CAREER HIGHLIGHTS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c>
          <w:tcPr>
            <w:tcW w:type="dxa" w:w="5040"/>
            <w:tcBorders>
              <w:top w:val="none" w:color="FFFFFF" w:sz="0"/>
              <w:left w:val="none" w:color="FFFFFF" w:sz="0"/>
              <w:bottom w:val="none" w:color="FFFFFF" w:sz="0"/>
              <w:right w:val="none" w:color="FFFFFF" w:sz="0"/>
            </w:tcBorders>
            <w:tcMar>
              <w:top w:type="dxa" w:w="60"/>
              <w:left w:type="dxa" w:w="0"/>
              <w:bottom w:type="dxa" w:w="80"/>
              <w:right w:type="dxa" w:w="200"/>
            </w:tcMar>
            <w:vAlign w:val="top"/>
          </w:tcPr>
          <w:p>
            <w:pPr>
              <w:spacing w:after="30"/>
            </w:pPr>
            <w:r>
              <w:rPr>
                <w:rFonts w:ascii="Arial" w:cs="Arial" w:eastAsia="Arial" w:hAnsi="Arial"/>
                <w:b/>
                <w:bCs/>
                <w:color w:val="1F6F4A"/>
                <w:sz w:val="20"/>
                <w:szCs w:val="20"/>
              </w:rPr>
              <w:t xml:space="preserve">Inflection-Point Operator</w:t>
            </w:r>
          </w:p>
          <w:p>
            <w:r>
              <w:rPr>
                <w:rFonts w:ascii="Arial" w:cs="Arial" w:eastAsia="Arial" w:hAnsi="Arial"/>
                <w:sz w:val="18"/>
                <w:szCs w:val="18"/>
              </w:rPr>
              <w:t xml:space="preserve">Walked into Usercentrics, Simpplr, and Visit.org at inflection points and built the product function to scale the business.</w:t>
            </w:r>
          </w:p>
        </w:tc>
        <w:tc>
          <w:tcPr>
            <w:tcW w:type="dxa" w:w="5040"/>
            <w:tcBorders>
              <w:top w:val="none" w:color="FFFFFF" w:sz="0"/>
              <w:left w:val="none" w:color="FFFFFF" w:sz="0"/>
              <w:bottom w:val="none" w:color="FFFFFF" w:sz="0"/>
              <w:right w:val="none" w:color="FFFFFF" w:sz="0"/>
            </w:tcBorders>
            <w:tcMar>
              <w:top w:type="dxa" w:w="60"/>
              <w:left w:type="dxa" w:w="0"/>
              <w:bottom w:type="dxa" w:w="80"/>
              <w:right w:type="dxa" w:w="200"/>
            </w:tcMar>
            <w:vAlign w:val="top"/>
          </w:tcPr>
          <w:p>
            <w:pPr>
              <w:spacing w:after="30"/>
            </w:pPr>
            <w:r>
              <w:rPr>
                <w:rFonts w:ascii="Arial" w:cs="Arial" w:eastAsia="Arial" w:hAnsi="Arial"/>
                <w:b/>
                <w:bCs/>
                <w:color w:val="1F6F4A"/>
                <w:sz w:val="20"/>
                <w:szCs w:val="20"/>
              </w:rPr>
              <w:t xml:space="preserve">Product Org Builder</w:t>
            </w:r>
          </w:p>
          <w:p>
            <w:r>
              <w:rPr>
                <w:rFonts w:ascii="Arial" w:cs="Arial" w:eastAsia="Arial" w:hAnsi="Arial"/>
                <w:sz w:val="18"/>
                <w:szCs w:val="18"/>
              </w:rPr>
              <w:t xml:space="preserve">Built 6 cross-functional product orgs from scratch; launched Design and Incubation functions at Usercentrics.</w:t>
            </w:r>
          </w:p>
        </w:tc>
      </w:tr>
      <w:tr>
        <w:tc>
          <w:tcPr>
            <w:tcW w:type="dxa" w:w="5040"/>
            <w:tcBorders>
              <w:top w:val="none" w:color="FFFFFF" w:sz="0"/>
              <w:left w:val="none" w:color="FFFFFF" w:sz="0"/>
              <w:bottom w:val="none" w:color="FFFFFF" w:sz="0"/>
              <w:right w:val="none" w:color="FFFFFF" w:sz="0"/>
            </w:tcBorders>
            <w:tcMar>
              <w:top w:type="dxa" w:w="60"/>
              <w:left w:type="dxa" w:w="0"/>
              <w:bottom w:type="dxa" w:w="80"/>
              <w:right w:type="dxa" w:w="200"/>
            </w:tcMar>
            <w:vAlign w:val="top"/>
          </w:tcPr>
          <w:p>
            <w:pPr>
              <w:spacing w:after="30"/>
            </w:pPr>
            <w:r>
              <w:rPr>
                <w:rFonts w:ascii="Arial" w:cs="Arial" w:eastAsia="Arial" w:hAnsi="Arial"/>
                <w:b/>
                <w:bCs/>
                <w:color w:val="1F6F4A"/>
                <w:sz w:val="20"/>
                <w:szCs w:val="20"/>
              </w:rPr>
              <w:t xml:space="preserve">AI-Native Operator</w:t>
            </w:r>
          </w:p>
          <w:p>
            <w:r>
              <w:rPr>
                <w:rFonts w:ascii="Arial" w:cs="Arial" w:eastAsia="Arial" w:hAnsi="Arial"/>
                <w:sz w:val="18"/>
                <w:szCs w:val="18"/>
              </w:rPr>
              <w:t xml:space="preserve">Founder of Cimanote (AI-native SaaS, 3-person team); Kairos advisory practice helping B2B SaaS go AI-native.</w:t>
            </w:r>
          </w:p>
        </w:tc>
        <w:tc>
          <w:tcPr>
            <w:tcW w:type="dxa" w:w="5040"/>
            <w:tcBorders>
              <w:top w:val="none" w:color="FFFFFF" w:sz="0"/>
              <w:left w:val="none" w:color="FFFFFF" w:sz="0"/>
              <w:bottom w:val="none" w:color="FFFFFF" w:sz="0"/>
              <w:right w:val="none" w:color="FFFFFF" w:sz="0"/>
            </w:tcBorders>
            <w:tcMar>
              <w:top w:type="dxa" w:w="60"/>
              <w:left w:type="dxa" w:w="0"/>
              <w:bottom w:type="dxa" w:w="80"/>
              <w:right w:type="dxa" w:w="200"/>
            </w:tcMar>
            <w:vAlign w:val="top"/>
          </w:tcPr>
          <w:p>
            <w:pPr>
              <w:spacing w:after="30"/>
            </w:pPr>
            <w:r>
              <w:rPr>
                <w:rFonts w:ascii="Arial" w:cs="Arial" w:eastAsia="Arial" w:hAnsi="Arial"/>
                <w:b/>
                <w:bCs/>
                <w:color w:val="1F6F4A"/>
                <w:sz w:val="20"/>
                <w:szCs w:val="20"/>
              </w:rPr>
              <w:t xml:space="preserve">Data Platform at Global Scale</w:t>
            </w:r>
          </w:p>
          <w:p>
            <w:r>
              <w:rPr>
                <w:rFonts w:ascii="Arial" w:cs="Arial" w:eastAsia="Arial" w:hAnsi="Arial"/>
                <w:sz w:val="18"/>
                <w:szCs w:val="18"/>
              </w:rPr>
              <w:t xml:space="preserve">Privacy-first data platform: 2.3M+ websites and apps, 7B+ signals/month, 195+ countries, GDPR-compliant architecture.</w:t>
            </w:r>
          </w:p>
        </w:tc>
      </w:tr>
      <w:tr>
        <w:tc>
          <w:tcPr>
            <w:tcW w:type="dxa" w:w="5040"/>
            <w:tcBorders>
              <w:top w:val="none" w:color="FFFFFF" w:sz="0"/>
              <w:left w:val="none" w:color="FFFFFF" w:sz="0"/>
              <w:bottom w:val="none" w:color="FFFFFF" w:sz="0"/>
              <w:right w:val="none" w:color="FFFFFF" w:sz="0"/>
            </w:tcBorders>
            <w:tcMar>
              <w:top w:type="dxa" w:w="60"/>
              <w:left w:type="dxa" w:w="0"/>
              <w:bottom w:type="dxa" w:w="80"/>
              <w:right w:type="dxa" w:w="200"/>
            </w:tcMar>
            <w:vAlign w:val="top"/>
          </w:tcPr>
          <w:p>
            <w:pPr>
              <w:spacing w:after="30"/>
            </w:pPr>
            <w:r>
              <w:rPr>
                <w:rFonts w:ascii="Arial" w:cs="Arial" w:eastAsia="Arial" w:hAnsi="Arial"/>
                <w:b/>
                <w:bCs/>
                <w:color w:val="1F6F4A"/>
                <w:sz w:val="20"/>
                <w:szCs w:val="20"/>
              </w:rPr>
              <w:t xml:space="preserve">Founder's Partner Track Record</w:t>
            </w:r>
          </w:p>
          <w:p>
            <w:r>
              <w:rPr>
                <w:rFonts w:ascii="Arial" w:cs="Arial" w:eastAsia="Arial" w:hAnsi="Arial"/>
                <w:sz w:val="18"/>
                <w:szCs w:val="18"/>
              </w:rPr>
              <w:t xml:space="preserve">Partnered with CEO/board at Usercentrics and Simpplr to take product off the founder's plate: roadmap, org, strategy.</w:t>
            </w:r>
          </w:p>
        </w:tc>
        <w:tc>
          <w:tcPr>
            <w:tcW w:type="dxa" w:w="5040"/>
            <w:tcBorders>
              <w:top w:val="none" w:color="FFFFFF" w:sz="0"/>
              <w:left w:val="none" w:color="FFFFFF" w:sz="0"/>
              <w:bottom w:val="none" w:color="FFFFFF" w:sz="0"/>
              <w:right w:val="none" w:color="FFFFFF" w:sz="0"/>
            </w:tcBorders>
            <w:tcMar>
              <w:top w:type="dxa" w:w="60"/>
              <w:left w:type="dxa" w:w="0"/>
              <w:bottom w:type="dxa" w:w="80"/>
              <w:right w:type="dxa" w:w="200"/>
            </w:tcMar>
            <w:vAlign w:val="top"/>
          </w:tcPr>
          <w:p>
            <w:pPr>
              <w:spacing w:after="30"/>
            </w:pPr>
            <w:r>
              <w:rPr>
                <w:rFonts w:ascii="Arial" w:cs="Arial" w:eastAsia="Arial" w:hAnsi="Arial"/>
                <w:b/>
                <w:bCs/>
                <w:color w:val="1F6F4A"/>
                <w:sz w:val="20"/>
                <w:szCs w:val="20"/>
              </w:rPr>
              <w:t xml:space="preserve">ARR Growth at Inflection</w:t>
            </w:r>
          </w:p>
          <w:p>
            <w:r>
              <w:rPr>
                <w:rFonts w:ascii="Arial" w:cs="Arial" w:eastAsia="Arial" w:hAnsi="Arial"/>
                <w:sz w:val="18"/>
                <w:szCs w:val="18"/>
              </w:rPr>
              <w:t xml:space="preserve">102% at Usercentrics (€47M to €117M+), 6x at Simpplr ($4.6M to $28.4M), 3x at Visit.org ($1.9M to $7.1M).</w:t>
            </w:r>
          </w:p>
        </w:tc>
      </w:tr>
    </w:tbl>
    <w:p>
      <w:pPr>
        <w:pBdr>
          <w:bottom w:val="single" w:color="1F6F4A" w:sz="12" w:space="4"/>
        </w:pBdr>
        <w:spacing w:after="80" w:before="240"/>
      </w:pPr>
      <w:r>
        <w:rPr>
          <w:rFonts w:ascii="Arial" w:cs="Arial" w:eastAsia="Arial" w:hAnsi="Arial"/>
          <w:b/>
          <w:bCs/>
          <w:color w:val="1F6F4A"/>
          <w:sz w:val="22"/>
          <w:szCs w:val="22"/>
        </w:rPr>
        <w:t xml:space="preserve">EXPERIENCE</w:t>
      </w:r>
    </w:p>
    <w:p>
      <w:pPr>
        <w:tabs>
          <w:tab w:val="right" w:pos="10080"/>
        </w:tabs>
        <w:spacing w:after="20" w:before="160"/>
      </w:pPr>
      <w:r>
        <w:rPr>
          <w:rFonts w:ascii="Arial" w:cs="Arial" w:eastAsia="Arial" w:hAnsi="Arial"/>
          <w:b/>
          <w:bCs/>
          <w:sz w:val="20"/>
          <w:szCs w:val="20"/>
        </w:rPr>
        <w:t xml:space="preserve">Founder &amp; CPO  |  </w:t>
      </w:r>
      <w:hyperlink w:history="1" r:id="rIdjga-u9pryn4yr7wt2rhxz">
        <w:r>
          <w:rPr>
            <w:rFonts w:ascii="Arial" w:cs="Arial" w:eastAsia="Arial" w:hAnsi="Arial"/>
            <w:b/>
            <w:bCs/>
            <w:color w:val="1F6F4A"/>
            <w:sz w:val="20"/>
            <w:szCs w:val="20"/>
            <w:u w:val="single"/>
          </w:rPr>
          <w:t xml:space="preserve">Cimanote</w:t>
        </w:r>
      </w:hyperlink>
      <w:r>
        <w:rPr>
          <w:rFonts w:ascii="Arial" w:cs="Arial" w:eastAsia="Arial" w:hAnsi="Arial"/>
          <w:b/>
          <w:bCs/>
          <w:sz w:val="20"/>
          <w:szCs w:val="20"/>
        </w:rPr>
        <w:t xml:space="preserve">  /  Co-Founder  |  </w:t>
      </w:r>
      <w:hyperlink w:history="1" r:id="rIdpoeuwqxylba2sgxe9_rdx">
        <w:r>
          <w:rPr>
            <w:rFonts w:ascii="Arial" w:cs="Arial" w:eastAsia="Arial" w:hAnsi="Arial"/>
            <w:b/>
            <w:bCs/>
            <w:color w:val="1F6F4A"/>
            <w:sz w:val="20"/>
            <w:szCs w:val="20"/>
            <w:u w:val="single"/>
          </w:rPr>
          <w:t xml:space="preserve">Kairos Advisory</w:t>
        </w:r>
      </w:hyperlink>
      <w:r>
        <w:rPr>
          <w:rFonts w:ascii="Arial" w:cs="Arial" w:eastAsia="Arial" w:hAnsi="Arial"/>
          <w:i/>
          <w:iCs/>
          <w:color w:val="555555"/>
          <w:sz w:val="18"/>
          <w:szCs w:val="18"/>
        </w:rPr>
        <w:t xml:space="preserve">	Lisbon, PT  ·  Jan 2026 to Present</w:t>
      </w:r>
    </w:p>
    <w:p>
      <w:pPr>
        <w:spacing w:after="80" w:before="40"/>
      </w:pPr>
      <w:r>
        <w:rPr>
          <w:rFonts w:ascii="Arial" w:cs="Arial" w:eastAsia="Arial" w:hAnsi="Arial"/>
          <w:i/>
          <w:iCs/>
          <w:color w:val="555555"/>
          <w:sz w:val="18"/>
          <w:szCs w:val="18"/>
        </w:rPr>
        <w:t xml:space="preserve">Currently building Cimanote (AI-native SaaS) and Kairos (AI operating model advisory) for B2B SaaS leaders.</w:t>
      </w:r>
    </w:p>
    <w:p>
      <w:pPr>
        <w:pStyle w:val="ListParagraph"/>
        <w:numPr>
          <w:ilvl w:val="0"/>
          <w:numId w:val="2"/>
        </w:numPr>
        <w:spacing w:after="60"/>
      </w:pPr>
      <w:r>
        <w:rPr>
          <w:rFonts w:ascii="Arial" w:cs="Arial" w:eastAsia="Arial" w:hAnsi="Arial"/>
          <w:sz w:val="20"/>
          <w:szCs w:val="20"/>
        </w:rPr>
        <w:t xml:space="preserve">Spec'd, prioritized, and shipped the AI Knowledge Engine at Cimanote, an LLM-powered feature doing entity mapping, gap analysis, and contradiction detection; #1 most discussed product on Product Hunt launch day (beat a Google launch); 200+ users across 30+ countries in week one.</w:t>
      </w:r>
    </w:p>
    <w:p>
      <w:pPr>
        <w:pStyle w:val="ListParagraph"/>
        <w:numPr>
          <w:ilvl w:val="0"/>
          <w:numId w:val="2"/>
        </w:numPr>
        <w:spacing w:after="60"/>
      </w:pPr>
      <w:r>
        <w:rPr>
          <w:rFonts w:ascii="Arial" w:cs="Arial" w:eastAsia="Arial" w:hAnsi="Arial"/>
          <w:sz w:val="20"/>
          <w:szCs w:val="20"/>
        </w:rPr>
        <w:t xml:space="preserve">Advising B2B SaaS leaders on redesigning operating models for the AI era through Kairos. Strategic Advisor to WYLE (Dubai).</w:t>
      </w:r>
    </w:p>
    <w:p>
      <w:pPr>
        <w:tabs>
          <w:tab w:val="right" w:pos="10080"/>
        </w:tabs>
        <w:spacing w:after="20" w:before="160"/>
      </w:pPr>
      <w:r>
        <w:rPr>
          <w:rFonts w:ascii="Arial" w:cs="Arial" w:eastAsia="Arial" w:hAnsi="Arial"/>
          <w:b/>
          <w:bCs/>
          <w:sz w:val="20"/>
          <w:szCs w:val="20"/>
        </w:rPr>
        <w:t xml:space="preserve">Vice President, Product Management  |  </w:t>
      </w:r>
      <w:hyperlink w:history="1" r:id="rIdrv9eqbw0aq9vjqmvyldmi">
        <w:r>
          <w:rPr>
            <w:rFonts w:ascii="Arial" w:cs="Arial" w:eastAsia="Arial" w:hAnsi="Arial"/>
            <w:b/>
            <w:bCs/>
            <w:color w:val="1F6F4A"/>
            <w:sz w:val="20"/>
            <w:szCs w:val="20"/>
            <w:u w:val="single"/>
          </w:rPr>
          <w:t xml:space="preserve">Usercentrics</w:t>
        </w:r>
      </w:hyperlink>
      <w:r>
        <w:rPr>
          <w:rFonts w:ascii="Arial" w:cs="Arial" w:eastAsia="Arial" w:hAnsi="Arial"/>
          <w:i/>
          <w:iCs/>
          <w:color w:val="555555"/>
          <w:sz w:val="18"/>
          <w:szCs w:val="18"/>
        </w:rPr>
        <w:t xml:space="preserve">	Lisbon, PT (Hybrid)  ·  Jul 2024 to Jan 2026</w:t>
      </w:r>
    </w:p>
    <w:p>
      <w:pPr>
        <w:spacing w:after="80" w:before="40"/>
      </w:pPr>
      <w:r>
        <w:rPr>
          <w:rFonts w:ascii="Arial" w:cs="Arial" w:eastAsia="Arial" w:hAnsi="Arial"/>
          <w:i/>
          <w:iCs/>
          <w:color w:val="555555"/>
          <w:sz w:val="18"/>
          <w:szCs w:val="18"/>
        </w:rPr>
        <w:t xml:space="preserve">Led product on a privacy-first data platform at global scale: 2.3M+ websites and apps, 7B+ signals/month across 195+ countries, blue-chip enterprise customers.</w:t>
      </w:r>
    </w:p>
    <w:p>
      <w:pPr>
        <w:pStyle w:val="ListParagraph"/>
        <w:numPr>
          <w:ilvl w:val="0"/>
          <w:numId w:val="2"/>
        </w:numPr>
        <w:spacing w:after="60"/>
      </w:pPr>
      <w:r>
        <w:rPr>
          <w:rFonts w:ascii="Arial" w:cs="Arial" w:eastAsia="Arial" w:hAnsi="Arial"/>
          <w:sz w:val="20"/>
          <w:szCs w:val="20"/>
        </w:rPr>
        <w:t xml:space="preserve">Contributed to 102% ARR growth, scaling revenue from €47M to €76M to €117M+ by driving multi-year platform strategy, org design, and multi-product expansion aligned to commercial goals.</w:t>
      </w:r>
    </w:p>
    <w:p>
      <w:pPr>
        <w:pStyle w:val="ListParagraph"/>
        <w:numPr>
          <w:ilvl w:val="0"/>
          <w:numId w:val="2"/>
        </w:numPr>
        <w:spacing w:after="60"/>
      </w:pPr>
      <w:r>
        <w:rPr>
          <w:rFonts w:ascii="Arial" w:cs="Arial" w:eastAsia="Arial" w:hAnsi="Arial"/>
          <w:sz w:val="20"/>
          <w:szCs w:val="20"/>
        </w:rPr>
        <w:t xml:space="preserve">Built and operated a privacy-first data platform at global scale: 2.3M+ websites and apps, 7B+ consent signals captured monthly across 195+ countries, with GDPR-compliant data architecture, data quality governance, and partner ecosystem.</w:t>
      </w:r>
    </w:p>
    <w:p>
      <w:pPr>
        <w:pStyle w:val="ListParagraph"/>
        <w:numPr>
          <w:ilvl w:val="0"/>
          <w:numId w:val="2"/>
        </w:numPr>
        <w:spacing w:after="60"/>
      </w:pPr>
      <w:r>
        <w:rPr>
          <w:rFonts w:ascii="Arial" w:cs="Arial" w:eastAsia="Arial" w:hAnsi="Arial"/>
          <w:sz w:val="20"/>
          <w:szCs w:val="20"/>
        </w:rPr>
        <w:t xml:space="preserve">Executed platform transformation from point solution to multi-product suite: led platform modernization, launched new product functions (Design, Incubation), and expanded API and partner integrations across enterprise ecosystems.</w:t>
      </w:r>
    </w:p>
    <w:p>
      <w:pPr>
        <w:pStyle w:val="ListParagraph"/>
        <w:numPr>
          <w:ilvl w:val="0"/>
          <w:numId w:val="2"/>
        </w:numPr>
        <w:spacing w:after="60"/>
      </w:pPr>
      <w:r>
        <w:rPr>
          <w:rFonts w:ascii="Arial" w:cs="Arial" w:eastAsia="Arial" w:hAnsi="Arial"/>
          <w:sz w:val="20"/>
          <w:szCs w:val="20"/>
        </w:rPr>
        <w:t xml:space="preserve">Restructured product org from the ground up by hiring senior talent, launching new functions, and transforming culture from delivery-focused to outcome-driven and data-led.</w:t>
      </w:r>
    </w:p>
    <w:p>
      <w:pPr>
        <w:pStyle w:val="ListParagraph"/>
        <w:numPr>
          <w:ilvl w:val="0"/>
          <w:numId w:val="2"/>
        </w:numPr>
        <w:spacing w:after="60"/>
      </w:pPr>
      <w:r>
        <w:rPr>
          <w:rFonts w:ascii="Arial" w:cs="Arial" w:eastAsia="Arial" w:hAnsi="Arial"/>
          <w:sz w:val="20"/>
          <w:szCs w:val="20"/>
        </w:rPr>
        <w:t xml:space="preserve">Partnered directly with CEO/CPTO and Board on multi-year product strategy, roadmap governance, pricing, packaging, and M&amp;A-aligned positioning.</w:t>
      </w:r>
    </w:p>
    <w:p>
      <w:pPr>
        <w:pStyle w:val="ListParagraph"/>
        <w:numPr>
          <w:ilvl w:val="0"/>
          <w:numId w:val="2"/>
        </w:numPr>
        <w:spacing w:after="60"/>
      </w:pPr>
      <w:r>
        <w:rPr>
          <w:rFonts w:ascii="Arial" w:cs="Arial" w:eastAsia="Arial" w:hAnsi="Arial"/>
          <w:sz w:val="20"/>
          <w:szCs w:val="20"/>
        </w:rPr>
        <w:t xml:space="preserve">Integrated AI-driven tools across the product lifecycle; scaled cloud-native infrastructure and platform services to support privacy compliance at global scale.</w:t>
      </w:r>
    </w:p>
    <w:p>
      <w:pPr>
        <w:pStyle w:val="ListParagraph"/>
        <w:numPr>
          <w:ilvl w:val="0"/>
          <w:numId w:val="2"/>
        </w:numPr>
        <w:spacing w:after="60"/>
      </w:pPr>
      <w:r>
        <w:rPr>
          <w:rFonts w:ascii="Arial" w:cs="Arial" w:eastAsia="Arial" w:hAnsi="Arial"/>
          <w:sz w:val="20"/>
          <w:szCs w:val="20"/>
        </w:rPr>
        <w:t xml:space="preserve">Owned end-to-end product lifecycle, pricing, and packaging strategies aligned to revenue and margin expansion.</w:t>
      </w:r>
    </w:p>
    <w:p>
      <w:pPr>
        <w:tabs>
          <w:tab w:val="right" w:pos="10080"/>
        </w:tabs>
        <w:spacing w:after="20" w:before="160"/>
      </w:pPr>
      <w:r>
        <w:rPr>
          <w:rFonts w:ascii="Arial" w:cs="Arial" w:eastAsia="Arial" w:hAnsi="Arial"/>
          <w:b/>
          <w:bCs/>
          <w:sz w:val="20"/>
          <w:szCs w:val="20"/>
        </w:rPr>
        <w:t xml:space="preserve">Vice President, Product Management  |  </w:t>
      </w:r>
      <w:hyperlink w:history="1" r:id="rIdfzf1yhpbhcfgjlqrwus8y">
        <w:r>
          <w:rPr>
            <w:rFonts w:ascii="Arial" w:cs="Arial" w:eastAsia="Arial" w:hAnsi="Arial"/>
            <w:b/>
            <w:bCs/>
            <w:color w:val="1F6F4A"/>
            <w:sz w:val="20"/>
            <w:szCs w:val="20"/>
            <w:u w:val="single"/>
          </w:rPr>
          <w:t xml:space="preserve">Visit.org</w:t>
        </w:r>
      </w:hyperlink>
      <w:r>
        <w:rPr>
          <w:rFonts w:ascii="Arial" w:cs="Arial" w:eastAsia="Arial" w:hAnsi="Arial"/>
          <w:i/>
          <w:iCs/>
          <w:color w:val="555555"/>
          <w:sz w:val="18"/>
          <w:szCs w:val="18"/>
        </w:rPr>
        <w:t xml:space="preserve">	New York, NY (Remote)  ·  Feb 2022 to Oct 2023</w:t>
      </w:r>
    </w:p>
    <w:p>
      <w:pPr>
        <w:pStyle w:val="ListParagraph"/>
        <w:numPr>
          <w:ilvl w:val="0"/>
          <w:numId w:val="2"/>
        </w:numPr>
        <w:spacing w:after="60"/>
      </w:pPr>
      <w:r>
        <w:rPr>
          <w:rFonts w:ascii="Arial" w:cs="Arial" w:eastAsia="Arial" w:hAnsi="Arial"/>
          <w:sz w:val="20"/>
          <w:szCs w:val="20"/>
        </w:rPr>
        <w:t xml:space="preserve">Drove product strategy for a B2B SaaS platform, scaling ARR 3x and user adoption 4x in 18 months.</w:t>
      </w:r>
    </w:p>
    <w:p>
      <w:pPr>
        <w:pStyle w:val="ListParagraph"/>
        <w:numPr>
          <w:ilvl w:val="0"/>
          <w:numId w:val="2"/>
        </w:numPr>
        <w:spacing w:after="60"/>
      </w:pPr>
      <w:r>
        <w:rPr>
          <w:rFonts w:ascii="Arial" w:cs="Arial" w:eastAsia="Arial" w:hAnsi="Arial"/>
          <w:sz w:val="20"/>
          <w:szCs w:val="20"/>
        </w:rPr>
        <w:t xml:space="preserve">Built cross-functional product teams from scratch and drove a product culture shift; aligned roadmap directly to commercial growth and investor expectations.</w:t>
      </w:r>
    </w:p>
    <w:p>
      <w:pPr>
        <w:pStyle w:val="ListParagraph"/>
        <w:numPr>
          <w:ilvl w:val="0"/>
          <w:numId w:val="2"/>
        </w:numPr>
        <w:spacing w:after="60"/>
      </w:pPr>
      <w:r>
        <w:rPr>
          <w:rFonts w:ascii="Arial" w:cs="Arial" w:eastAsia="Arial" w:hAnsi="Arial"/>
          <w:sz w:val="20"/>
          <w:szCs w:val="20"/>
        </w:rPr>
        <w:t xml:space="preserve">Reported to the CEO and operated as the founder's product partner.</w:t>
      </w:r>
    </w:p>
    <w:p>
      <w:pPr>
        <w:tabs>
          <w:tab w:val="right" w:pos="10080"/>
        </w:tabs>
        <w:spacing w:after="20" w:before="160"/>
      </w:pPr>
      <w:r>
        <w:rPr>
          <w:rFonts w:ascii="Arial" w:cs="Arial" w:eastAsia="Arial" w:hAnsi="Arial"/>
          <w:b/>
          <w:bCs/>
          <w:sz w:val="20"/>
          <w:szCs w:val="20"/>
        </w:rPr>
        <w:t xml:space="preserve">Vice President, Product Management  |  </w:t>
      </w:r>
      <w:hyperlink w:history="1" r:id="rIducronshqhnqj1b8ni-lej">
        <w:r>
          <w:rPr>
            <w:rFonts w:ascii="Arial" w:cs="Arial" w:eastAsia="Arial" w:hAnsi="Arial"/>
            <w:b/>
            <w:bCs/>
            <w:color w:val="1F6F4A"/>
            <w:sz w:val="20"/>
            <w:szCs w:val="20"/>
            <w:u w:val="single"/>
          </w:rPr>
          <w:t xml:space="preserve">Simpplr</w:t>
        </w:r>
      </w:hyperlink>
      <w:r>
        <w:rPr>
          <w:rFonts w:ascii="Arial" w:cs="Arial" w:eastAsia="Arial" w:hAnsi="Arial"/>
          <w:i/>
          <w:iCs/>
          <w:color w:val="555555"/>
          <w:sz w:val="18"/>
          <w:szCs w:val="18"/>
        </w:rPr>
        <w:t xml:space="preserve">	Redwood City, CA  ·  Apr 2019 to Oct 2021</w:t>
      </w:r>
    </w:p>
    <w:p>
      <w:pPr>
        <w:spacing w:after="80" w:before="40"/>
      </w:pPr>
      <w:r>
        <w:rPr>
          <w:rFonts w:ascii="Arial" w:cs="Arial" w:eastAsia="Arial" w:hAnsi="Arial"/>
          <w:i/>
          <w:iCs/>
          <w:color w:val="555555"/>
          <w:sz w:val="18"/>
          <w:szCs w:val="18"/>
        </w:rPr>
        <w:t xml:space="preserve">Installed product discipline inside a sales-first culture without breaking the commercial engine, scaling ARR from $4.6M to $28.4M.</w:t>
      </w:r>
    </w:p>
    <w:p>
      <w:pPr>
        <w:pStyle w:val="ListParagraph"/>
        <w:numPr>
          <w:ilvl w:val="0"/>
          <w:numId w:val="2"/>
        </w:numPr>
        <w:spacing w:after="60"/>
      </w:pPr>
      <w:r>
        <w:rPr>
          <w:rFonts w:ascii="Arial" w:cs="Arial" w:eastAsia="Arial" w:hAnsi="Arial"/>
          <w:sz w:val="20"/>
          <w:szCs w:val="20"/>
        </w:rPr>
        <w:t xml:space="preserve">Scaled ARR from $4.6M to $28.4M (6x) in 2.5 years by installing product strategy and discipline inside a sales-first culture, without slowing the commercial engine.</w:t>
      </w:r>
    </w:p>
    <w:p>
      <w:pPr>
        <w:pStyle w:val="ListParagraph"/>
        <w:numPr>
          <w:ilvl w:val="0"/>
          <w:numId w:val="2"/>
        </w:numPr>
        <w:spacing w:after="60"/>
      </w:pPr>
      <w:r>
        <w:rPr>
          <w:rFonts w:ascii="Arial" w:cs="Arial" w:eastAsia="Arial" w:hAnsi="Arial"/>
          <w:sz w:val="20"/>
          <w:szCs w:val="20"/>
        </w:rPr>
        <w:t xml:space="preserve">Built the product org from zero: hired PMs, design, and product marketing; shifted from reactive feature factory to strategy-driven team in 18 months by proving it with outcomes.</w:t>
      </w:r>
    </w:p>
    <w:p>
      <w:pPr>
        <w:pStyle w:val="ListParagraph"/>
        <w:numPr>
          <w:ilvl w:val="0"/>
          <w:numId w:val="2"/>
        </w:numPr>
        <w:spacing w:after="60"/>
      </w:pPr>
      <w:r>
        <w:rPr>
          <w:rFonts w:ascii="Arial" w:cs="Arial" w:eastAsia="Arial" w:hAnsi="Arial"/>
          <w:sz w:val="20"/>
          <w:szCs w:val="20"/>
        </w:rPr>
        <w:t xml:space="preserve">Expanded platform into new modules (Analytics, Integrations, Newsletter, Pulse Survey, Employee Recognition) and drove 8x revenue growth across global enterprise clients; led IPO readiness with board-level product reporting quarterly.</w:t>
      </w:r>
    </w:p>
    <w:p>
      <w:pPr>
        <w:tabs>
          <w:tab w:val="right" w:pos="10080"/>
        </w:tabs>
        <w:spacing w:after="20" w:before="160"/>
      </w:pPr>
      <w:r>
        <w:rPr>
          <w:rFonts w:ascii="Arial" w:cs="Arial" w:eastAsia="Arial" w:hAnsi="Arial"/>
          <w:b/>
          <w:bCs/>
          <w:sz w:val="20"/>
          <w:szCs w:val="20"/>
        </w:rPr>
        <w:t xml:space="preserve">Director of Product  |  </w:t>
      </w:r>
      <w:hyperlink w:history="1" r:id="rIdw5sgeublpxcz5okecttoh">
        <w:r>
          <w:rPr>
            <w:rFonts w:ascii="Arial" w:cs="Arial" w:eastAsia="Arial" w:hAnsi="Arial"/>
            <w:b/>
            <w:bCs/>
            <w:color w:val="1F6F4A"/>
            <w:sz w:val="20"/>
            <w:szCs w:val="20"/>
            <w:u w:val="single"/>
          </w:rPr>
          <w:t xml:space="preserve">Vindicia / Amdocs</w:t>
        </w:r>
      </w:hyperlink>
      <w:r>
        <w:rPr>
          <w:rFonts w:ascii="Arial" w:cs="Arial" w:eastAsia="Arial" w:hAnsi="Arial"/>
          <w:i/>
          <w:iCs/>
          <w:color w:val="555555"/>
          <w:sz w:val="18"/>
          <w:szCs w:val="18"/>
        </w:rPr>
        <w:t xml:space="preserve">	San Mateo, CA  ·  Jan 2015 to Apr 2019</w:t>
      </w:r>
    </w:p>
    <w:p>
      <w:pPr>
        <w:pStyle w:val="ListParagraph"/>
        <w:numPr>
          <w:ilvl w:val="0"/>
          <w:numId w:val="2"/>
        </w:numPr>
        <w:spacing w:after="60"/>
      </w:pPr>
      <w:r>
        <w:rPr>
          <w:rFonts w:ascii="Arial" w:cs="Arial" w:eastAsia="Arial" w:hAnsi="Arial"/>
          <w:sz w:val="20"/>
          <w:szCs w:val="20"/>
        </w:rPr>
        <w:t xml:space="preserve">Owned product strategy for a monetization and analytics data platform, doubling revenue through advanced data insights, APIs, and compliance tooling.</w:t>
      </w:r>
    </w:p>
    <w:p>
      <w:pPr>
        <w:pStyle w:val="ListParagraph"/>
        <w:numPr>
          <w:ilvl w:val="0"/>
          <w:numId w:val="2"/>
        </w:numPr>
        <w:spacing w:after="60"/>
      </w:pPr>
      <w:r>
        <w:rPr>
          <w:rFonts w:ascii="Arial" w:cs="Arial" w:eastAsia="Arial" w:hAnsi="Arial"/>
          <w:sz w:val="20"/>
          <w:szCs w:val="20"/>
        </w:rPr>
        <w:t xml:space="preserve">Led enterprise client partnerships on product adoption across global teams.</w:t>
      </w:r>
    </w:p>
    <w:p>
      <w:pPr>
        <w:spacing w:after="80" w:before="160"/>
      </w:pPr>
      <w:r>
        <w:rPr>
          <w:rFonts w:ascii="Arial" w:cs="Arial" w:eastAsia="Arial" w:hAnsi="Arial"/>
          <w:i/>
          <w:iCs/>
          <w:color w:val="6B7280"/>
          <w:sz w:val="18"/>
          <w:szCs w:val="18"/>
        </w:rPr>
        <w:t xml:space="preserve">Earlier roles (Engineering &amp; Product): Quotient/Coupons.com, IPextreme, Silicon Graphics, STMicroelectronics, Aphex</w:t>
      </w:r>
    </w:p>
    <w:p>
      <w:pPr>
        <w:pBdr>
          <w:bottom w:val="single" w:color="1F6F4A" w:sz="12" w:space="4"/>
        </w:pBdr>
        <w:spacing w:after="80" w:before="240"/>
      </w:pPr>
      <w:r>
        <w:rPr>
          <w:rFonts w:ascii="Arial" w:cs="Arial" w:eastAsia="Arial" w:hAnsi="Arial"/>
          <w:b/>
          <w:bCs/>
          <w:color w:val="1F6F4A"/>
          <w:sz w:val="22"/>
          <w:szCs w:val="22"/>
        </w:rPr>
        <w:t xml:space="preserve">CORE COMPETENCIES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3360"/>
        <w:gridCol w:w="3360"/>
        <w:gridCol w:w="3360"/>
      </w:tblGrid>
      <w:tr>
        <w:tc>
          <w:tcPr>
            <w:tcW w:type="dxa" w:w="3360"/>
            <w:tcBorders>
              <w:top w:val="none" w:color="FFFFFF" w:sz="0"/>
              <w:left w:val="none" w:color="FFFFFF" w:sz="0"/>
              <w:bottom w:val="none" w:color="FFFFFF" w:sz="0"/>
              <w:right w:val="none" w:color="FFFFFF" w:sz="0"/>
            </w:tcBorders>
            <w:tcMar>
              <w:top w:type="dxa" w:w="40"/>
              <w:left w:type="dxa" w:w="0"/>
              <w:bottom w:type="dxa" w:w="40"/>
              <w:right w:type="dxa" w:w="200"/>
            </w:tcMar>
            <w:vAlign w:val="top"/>
          </w:tcPr>
          <w:p>
            <w:pPr>
              <w:pStyle w:val="ListParagraph"/>
              <w:numPr>
                <w:ilvl w:val="0"/>
                <w:numId w:val="2"/>
              </w:numPr>
              <w:spacing w:after="30"/>
            </w:pPr>
            <w:r>
              <w:rPr>
                <w:rFonts w:ascii="Arial" w:cs="Arial" w:eastAsia="Arial" w:hAnsi="Arial"/>
                <w:sz w:val="18"/>
                <w:szCs w:val="18"/>
              </w:rPr>
              <w:t xml:space="preserve">Product Operating Rhythm</w:t>
            </w:r>
          </w:p>
          <w:p>
            <w:pPr>
              <w:pStyle w:val="ListParagraph"/>
              <w:numPr>
                <w:ilvl w:val="0"/>
                <w:numId w:val="2"/>
              </w:numPr>
              <w:spacing w:after="30"/>
            </w:pPr>
            <w:r>
              <w:rPr>
                <w:rFonts w:ascii="Arial" w:cs="Arial" w:eastAsia="Arial" w:hAnsi="Arial"/>
                <w:sz w:val="18"/>
                <w:szCs w:val="18"/>
              </w:rPr>
              <w:t xml:space="preserve">Sales-Led Culture Navigation</w:t>
            </w:r>
          </w:p>
          <w:p>
            <w:pPr>
              <w:pStyle w:val="ListParagraph"/>
              <w:numPr>
                <w:ilvl w:val="0"/>
                <w:numId w:val="2"/>
              </w:numPr>
              <w:spacing w:after="30"/>
            </w:pPr>
            <w:r>
              <w:rPr>
                <w:rFonts w:ascii="Arial" w:cs="Arial" w:eastAsia="Arial" w:hAnsi="Arial"/>
                <w:sz w:val="18"/>
                <w:szCs w:val="18"/>
              </w:rPr>
              <w:t xml:space="preserve">AI/ML Product Integration</w:t>
            </w:r>
          </w:p>
        </w:tc>
        <w:tc>
          <w:tcPr>
            <w:tcW w:type="dxa" w:w="3360"/>
            <w:tcBorders>
              <w:top w:val="none" w:color="FFFFFF" w:sz="0"/>
              <w:left w:val="none" w:color="FFFFFF" w:sz="0"/>
              <w:bottom w:val="none" w:color="FFFFFF" w:sz="0"/>
              <w:right w:val="none" w:color="FFFFFF" w:sz="0"/>
            </w:tcBorders>
            <w:tcMar>
              <w:top w:type="dxa" w:w="40"/>
              <w:left w:type="dxa" w:w="0"/>
              <w:bottom w:type="dxa" w:w="40"/>
              <w:right w:type="dxa" w:w="200"/>
            </w:tcMar>
            <w:vAlign w:val="top"/>
          </w:tcPr>
          <w:p>
            <w:pPr>
              <w:pStyle w:val="ListParagraph"/>
              <w:numPr>
                <w:ilvl w:val="0"/>
                <w:numId w:val="2"/>
              </w:numPr>
              <w:spacing w:after="30"/>
            </w:pPr>
            <w:r>
              <w:rPr>
                <w:rFonts w:ascii="Arial" w:cs="Arial" w:eastAsia="Arial" w:hAnsi="Arial"/>
                <w:sz w:val="18"/>
                <w:szCs w:val="18"/>
              </w:rPr>
              <w:t xml:space="preserve">Product Leader Coaching &amp; Mentoring</w:t>
            </w:r>
          </w:p>
          <w:p>
            <w:pPr>
              <w:pStyle w:val="ListParagraph"/>
              <w:numPr>
                <w:ilvl w:val="0"/>
                <w:numId w:val="2"/>
              </w:numPr>
              <w:spacing w:after="30"/>
            </w:pPr>
            <w:r>
              <w:rPr>
                <w:rFonts w:ascii="Arial" w:cs="Arial" w:eastAsia="Arial" w:hAnsi="Arial"/>
                <w:sz w:val="18"/>
                <w:szCs w:val="18"/>
              </w:rPr>
              <w:t xml:space="preserve">Data-Driven Discovery &amp; Win/Loss</w:t>
            </w:r>
          </w:p>
          <w:p>
            <w:pPr>
              <w:pStyle w:val="ListParagraph"/>
              <w:numPr>
                <w:ilvl w:val="0"/>
                <w:numId w:val="2"/>
              </w:numPr>
              <w:spacing w:after="30"/>
            </w:pPr>
            <w:r>
              <w:rPr>
                <w:rFonts w:ascii="Arial" w:cs="Arial" w:eastAsia="Arial" w:hAnsi="Arial"/>
                <w:sz w:val="18"/>
                <w:szCs w:val="18"/>
              </w:rPr>
              <w:t xml:space="preserve">Multi-Product Platform Strategy</w:t>
            </w:r>
          </w:p>
        </w:tc>
        <w:tc>
          <w:tcPr>
            <w:tcW w:type="dxa" w:w="3360"/>
            <w:tcBorders>
              <w:top w:val="none" w:color="FFFFFF" w:sz="0"/>
              <w:left w:val="none" w:color="FFFFFF" w:sz="0"/>
              <w:bottom w:val="none" w:color="FFFFFF" w:sz="0"/>
              <w:right w:val="none" w:color="FFFFFF" w:sz="0"/>
            </w:tcBorders>
            <w:tcMar>
              <w:top w:type="dxa" w:w="40"/>
              <w:left w:type="dxa" w:w="0"/>
              <w:bottom w:type="dxa" w:w="40"/>
              <w:right w:type="dxa" w:w="200"/>
            </w:tcMar>
            <w:vAlign w:val="top"/>
          </w:tcPr>
          <w:p>
            <w:pPr>
              <w:pStyle w:val="ListParagraph"/>
              <w:numPr>
                <w:ilvl w:val="0"/>
                <w:numId w:val="2"/>
              </w:numPr>
              <w:spacing w:after="30"/>
            </w:pPr>
            <w:r>
              <w:rPr>
                <w:rFonts w:ascii="Arial" w:cs="Arial" w:eastAsia="Arial" w:hAnsi="Arial"/>
                <w:sz w:val="18"/>
                <w:szCs w:val="18"/>
              </w:rPr>
              <w:t xml:space="preserve">Enterprise GTM Alignment</w:t>
            </w:r>
          </w:p>
          <w:p>
            <w:pPr>
              <w:pStyle w:val="ListParagraph"/>
              <w:numPr>
                <w:ilvl w:val="0"/>
                <w:numId w:val="2"/>
              </w:numPr>
              <w:spacing w:after="30"/>
            </w:pPr>
            <w:r>
              <w:rPr>
                <w:rFonts w:ascii="Arial" w:cs="Arial" w:eastAsia="Arial" w:hAnsi="Arial"/>
                <w:sz w:val="18"/>
                <w:szCs w:val="18"/>
              </w:rPr>
              <w:t xml:space="preserve">Board &amp; Founder Partnership</w:t>
            </w:r>
          </w:p>
          <w:p>
            <w:pPr>
              <w:pStyle w:val="ListParagraph"/>
              <w:numPr>
                <w:ilvl w:val="0"/>
                <w:numId w:val="2"/>
              </w:numPr>
              <w:spacing w:after="30"/>
            </w:pPr>
            <w:r>
              <w:rPr>
                <w:rFonts w:ascii="Arial" w:cs="Arial" w:eastAsia="Arial" w:hAnsi="Arial"/>
                <w:sz w:val="18"/>
                <w:szCs w:val="18"/>
              </w:rPr>
              <w:t xml:space="preserve">Customer Research &amp; Discovery</w:t>
            </w:r>
          </w:p>
        </w:tc>
      </w:tr>
    </w:tbl>
    <w:p>
      <w:pPr>
        <w:pBdr>
          <w:bottom w:val="single" w:color="1F6F4A" w:sz="12" w:space="4"/>
        </w:pBdr>
        <w:spacing w:after="80" w:before="240"/>
      </w:pPr>
      <w:r>
        <w:rPr>
          <w:rFonts w:ascii="Arial" w:cs="Arial" w:eastAsia="Arial" w:hAnsi="Arial"/>
          <w:b/>
          <w:bCs/>
          <w:color w:val="1F6F4A"/>
          <w:sz w:val="22"/>
          <w:szCs w:val="22"/>
        </w:rPr>
        <w:t xml:space="preserve">THOUGHT LEADERSHIP &amp; RECOGNITION</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3360"/>
        <w:gridCol w:w="3360"/>
        <w:gridCol w:w="3360"/>
      </w:tblGrid>
      <w:tr>
        <w:tc>
          <w:tcPr>
            <w:tcW w:type="dxa" w:w="3360"/>
            <w:tcBorders>
              <w:top w:val="none" w:color="FFFFFF" w:sz="0"/>
              <w:left w:val="none" w:color="FFFFFF" w:sz="0"/>
              <w:bottom w:val="none" w:color="FFFFFF" w:sz="0"/>
              <w:right w:val="none" w:color="FFFFFF" w:sz="0"/>
            </w:tcBorders>
            <w:tcMar>
              <w:top w:type="dxa" w:w="40"/>
              <w:left w:type="dxa" w:w="0"/>
              <w:bottom w:type="dxa" w:w="40"/>
              <w:right w:type="dxa" w:w="200"/>
            </w:tcMar>
            <w:vAlign w:val="top"/>
          </w:tcPr>
          <w:p>
            <w:pPr>
              <w:spacing w:after="40"/>
            </w:pPr>
            <w:r>
              <w:rPr>
                <w:rFonts w:ascii="Arial" w:cs="Arial" w:eastAsia="Arial" w:hAnsi="Arial"/>
                <w:b/>
                <w:bCs/>
                <w:color w:val="1F6F4A"/>
                <w:sz w:val="20"/>
                <w:szCs w:val="20"/>
              </w:rPr>
              <w:t xml:space="preserve">Podcasts</w:t>
            </w:r>
          </w:p>
          <w:p>
            <w:pPr>
              <w:spacing w:after="30"/>
            </w:pPr>
            <w:r>
              <w:rPr>
                <w:rFonts w:ascii="Arial" w:cs="Arial" w:eastAsia="Arial" w:hAnsi="Arial"/>
                <w:sz w:val="18"/>
                <w:szCs w:val="18"/>
              </w:rPr>
              <w:t xml:space="preserve">Cost Center to Growth Engine, 2025</w:t>
            </w:r>
          </w:p>
          <w:p>
            <w:pPr>
              <w:spacing w:after="30"/>
            </w:pPr>
            <w:r>
              <w:rPr>
                <w:rFonts w:ascii="Arial" w:cs="Arial" w:eastAsia="Arial" w:hAnsi="Arial"/>
                <w:sz w:val="18"/>
                <w:szCs w:val="18"/>
              </w:rPr>
              <w:t xml:space="preserve">Leading Change with Courage &amp; Clarity, 2025</w:t>
            </w:r>
          </w:p>
          <w:p>
            <w:pPr>
              <w:spacing w:after="30"/>
            </w:pPr>
            <w:r>
              <w:rPr>
                <w:rFonts w:ascii="Arial" w:cs="Arial" w:eastAsia="Arial" w:hAnsi="Arial"/>
                <w:sz w:val="18"/>
                <w:szCs w:val="18"/>
              </w:rPr>
              <w:t xml:space="preserve">How data can become dogma for PMs, 2022</w:t>
            </w:r>
          </w:p>
          <w:p>
            <w:pPr>
              <w:spacing w:after="60"/>
            </w:pPr>
            <w:r>
              <w:rPr>
                <w:rFonts w:ascii="Arial" w:cs="Arial" w:eastAsia="Arial" w:hAnsi="Arial"/>
                <w:sz w:val="18"/>
                <w:szCs w:val="18"/>
              </w:rPr>
              <w:t xml:space="preserve">Scaling Design Teams, 2022</w:t>
            </w:r>
          </w:p>
          <w:p>
            <w:hyperlink w:history="1" r:id="rIdq0qa-ompzfntsoucjofmt">
              <w:r>
                <w:rPr>
                  <w:rFonts w:ascii="Arial" w:cs="Arial" w:eastAsia="Arial" w:hAnsi="Arial"/>
                  <w:i/>
                  <w:iCs/>
                  <w:color w:val="1F6F4A"/>
                  <w:sz w:val="18"/>
                  <w:szCs w:val="18"/>
                  <w:u w:val="single"/>
                </w:rPr>
                <w:t xml:space="preserve">Listen on Spotify</w:t>
              </w:r>
            </w:hyperlink>
          </w:p>
        </w:tc>
        <w:tc>
          <w:tcPr>
            <w:tcW w:type="dxa" w:w="3360"/>
            <w:tcBorders>
              <w:top w:val="none" w:color="FFFFFF" w:sz="0"/>
              <w:left w:val="none" w:color="FFFFFF" w:sz="0"/>
              <w:bottom w:val="none" w:color="FFFFFF" w:sz="0"/>
              <w:right w:val="none" w:color="FFFFFF" w:sz="0"/>
            </w:tcBorders>
            <w:tcMar>
              <w:top w:type="dxa" w:w="40"/>
              <w:left w:type="dxa" w:w="0"/>
              <w:bottom w:type="dxa" w:w="40"/>
              <w:right w:type="dxa" w:w="200"/>
            </w:tcMar>
            <w:vAlign w:val="top"/>
          </w:tcPr>
          <w:p>
            <w:pPr>
              <w:spacing w:after="40"/>
            </w:pPr>
            <w:r>
              <w:rPr>
                <w:rFonts w:ascii="Arial" w:cs="Arial" w:eastAsia="Arial" w:hAnsi="Arial"/>
                <w:b/>
                <w:bCs/>
                <w:color w:val="1F6F4A"/>
                <w:sz w:val="20"/>
                <w:szCs w:val="20"/>
              </w:rPr>
              <w:t xml:space="preserve">Keynotes &amp; Speaking</w:t>
            </w:r>
          </w:p>
          <w:p>
            <w:pPr>
              <w:spacing w:after="30"/>
            </w:pPr>
            <w:r>
              <w:rPr>
                <w:rFonts w:ascii="Arial" w:cs="Arial" w:eastAsia="Arial" w:hAnsi="Arial"/>
                <w:sz w:val="18"/>
                <w:szCs w:val="18"/>
              </w:rPr>
              <w:t xml:space="preserve">Cost Center to Growth Engine, Lisbon, 2025</w:t>
            </w:r>
          </w:p>
          <w:p>
            <w:pPr>
              <w:spacing w:after="30"/>
            </w:pPr>
            <w:r>
              <w:rPr>
                <w:rFonts w:ascii="Arial" w:cs="Arial" w:eastAsia="Arial" w:hAnsi="Arial"/>
                <w:sz w:val="18"/>
                <w:szCs w:val="18"/>
              </w:rPr>
              <w:t xml:space="preserve">We Make Future, Rimini, Italy, 2023</w:t>
            </w:r>
          </w:p>
          <w:p>
            <w:pPr>
              <w:spacing w:after="60"/>
            </w:pPr>
            <w:r>
              <w:rPr>
                <w:rFonts w:ascii="Arial" w:cs="Arial" w:eastAsia="Arial" w:hAnsi="Arial"/>
                <w:sz w:val="18"/>
                <w:szCs w:val="18"/>
              </w:rPr>
              <w:t xml:space="preserve">Product Led Summit, Las Vegas, 2022</w:t>
            </w:r>
          </w:p>
          <w:p>
            <w:hyperlink w:history="1" r:id="rIdo6h01rwxryfczkloa0zou">
              <w:r>
                <w:rPr>
                  <w:rFonts w:ascii="Arial" w:cs="Arial" w:eastAsia="Arial" w:hAnsi="Arial"/>
                  <w:i/>
                  <w:iCs/>
                  <w:color w:val="1F6F4A"/>
                  <w:sz w:val="18"/>
                  <w:szCs w:val="18"/>
                  <w:u w:val="single"/>
                </w:rPr>
                <w:t xml:space="preserve">Watch on YouTube</w:t>
              </w:r>
            </w:hyperlink>
          </w:p>
        </w:tc>
        <w:tc>
          <w:tcPr>
            <w:tcW w:type="dxa" w:w="3360"/>
            <w:tcBorders>
              <w:top w:val="none" w:color="FFFFFF" w:sz="0"/>
              <w:left w:val="none" w:color="FFFFFF" w:sz="0"/>
              <w:bottom w:val="none" w:color="FFFFFF" w:sz="0"/>
              <w:right w:val="none" w:color="FFFFFF" w:sz="0"/>
            </w:tcBorders>
            <w:tcMar>
              <w:top w:type="dxa" w:w="40"/>
              <w:left w:type="dxa" w:w="0"/>
              <w:bottom w:type="dxa" w:w="40"/>
              <w:right w:type="dxa" w:w="200"/>
            </w:tcMar>
            <w:vAlign w:val="top"/>
          </w:tcPr>
          <w:p>
            <w:pPr>
              <w:spacing w:after="40"/>
            </w:pPr>
            <w:r>
              <w:rPr>
                <w:rFonts w:ascii="Arial" w:cs="Arial" w:eastAsia="Arial" w:hAnsi="Arial"/>
                <w:b/>
                <w:bCs/>
                <w:color w:val="1F6F4A"/>
                <w:sz w:val="20"/>
                <w:szCs w:val="20"/>
              </w:rPr>
              <w:t xml:space="preserve">Recognition</w:t>
            </w:r>
          </w:p>
          <w:p>
            <w:pPr>
              <w:spacing w:after="40"/>
            </w:pPr>
            <w:hyperlink w:history="1" r:id="rIdvrq3eughlq-guxfptxmo0">
              <w:r>
                <w:rPr>
                  <w:rFonts w:ascii="Arial" w:cs="Arial" w:eastAsia="Arial" w:hAnsi="Arial"/>
                  <w:color w:val="1F6F4A"/>
                  <w:sz w:val="18"/>
                  <w:szCs w:val="18"/>
                  <w:u w:val="single"/>
                </w:rPr>
                <w:t xml:space="preserve">Top 25 Product Executives, The Software Report, 2021</w:t>
              </w:r>
            </w:hyperlink>
          </w:p>
          <w:p>
            <w:pPr>
              <w:spacing w:after="30"/>
            </w:pPr>
            <w:r>
              <w:rPr>
                <w:rFonts w:ascii="Arial" w:cs="Arial" w:eastAsia="Arial" w:hAnsi="Arial"/>
                <w:sz w:val="18"/>
                <w:szCs w:val="18"/>
              </w:rPr>
              <w:t xml:space="preserve">Mentor, Nasdaq Entrepreneurial Center</w:t>
            </w:r>
          </w:p>
          <w:p>
            <w:pPr>
              <w:spacing w:after="60"/>
            </w:pPr>
            <w:r>
              <w:rPr>
                <w:rFonts w:ascii="Arial" w:cs="Arial" w:eastAsia="Arial" w:hAnsi="Arial"/>
                <w:sz w:val="18"/>
                <w:szCs w:val="18"/>
              </w:rPr>
              <w:t xml:space="preserve">Mentor, GLEAC</w:t>
            </w:r>
          </w:p>
          <w:p>
            <w:pPr>
              <w:spacing w:after="30"/>
            </w:pPr>
            <w:r>
              <w:rPr>
                <w:rFonts w:ascii="Arial" w:cs="Arial" w:eastAsia="Arial" w:hAnsi="Arial"/>
                <w:b/>
                <w:bCs/>
                <w:sz w:val="18"/>
                <w:szCs w:val="18"/>
              </w:rPr>
              <w:t xml:space="preserve">Adjunct Lecturer &amp; Mentor</w:t>
            </w:r>
          </w:p>
          <w:p>
            <w:pPr>
              <w:spacing w:after="30"/>
            </w:pPr>
            <w:r>
              <w:rPr>
                <w:rFonts w:ascii="Arial" w:cs="Arial" w:eastAsia="Arial" w:hAnsi="Arial"/>
                <w:sz w:val="18"/>
                <w:szCs w:val="18"/>
              </w:rPr>
              <w:t xml:space="preserve">Texas McCombs School of Business, 2023/26</w:t>
            </w:r>
          </w:p>
          <w:p>
            <w:hyperlink w:history="1" r:id="rIdf6ayejhdqwgj0fhdwjk9e">
              <w:r>
                <w:rPr>
                  <w:rFonts w:ascii="Arial" w:cs="Arial" w:eastAsia="Arial" w:hAnsi="Arial"/>
                  <w:i/>
                  <w:iCs/>
                  <w:color w:val="1F6F4A"/>
                  <w:sz w:val="18"/>
                  <w:szCs w:val="18"/>
                  <w:u w:val="single"/>
                </w:rPr>
                <w:t xml:space="preserve">Product Design &amp; Product Management</w:t>
              </w:r>
            </w:hyperlink>
          </w:p>
        </w:tc>
      </w:tr>
    </w:tbl>
    <w:p>
      <w:pPr>
        <w:pBdr>
          <w:bottom w:val="single" w:color="1F6F4A" w:sz="12" w:space="4"/>
        </w:pBdr>
        <w:spacing w:after="80" w:before="240"/>
      </w:pPr>
      <w:r>
        <w:rPr>
          <w:rFonts w:ascii="Arial" w:cs="Arial" w:eastAsia="Arial" w:hAnsi="Arial"/>
          <w:b/>
          <w:bCs/>
          <w:color w:val="1F6F4A"/>
          <w:sz w:val="22"/>
          <w:szCs w:val="22"/>
        </w:rPr>
        <w:t xml:space="preserve">EDUCATION</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c>
          <w:tcPr>
            <w:tcW w:type="dxa" w:w="5040"/>
            <w:tcBorders>
              <w:top w:val="none" w:color="FFFFFF" w:sz="0"/>
              <w:left w:val="none" w:color="FFFFFF" w:sz="0"/>
              <w:bottom w:val="none" w:color="FFFFFF" w:sz="0"/>
              <w:right w:val="none" w:color="FFFFFF" w:sz="0"/>
            </w:tcBorders>
            <w:tcMar>
              <w:top w:type="dxa" w:w="40"/>
              <w:left w:type="dxa" w:w="0"/>
              <w:bottom w:type="dxa" w:w="40"/>
              <w:right w:type="dxa" w:w="200"/>
            </w:tcMar>
          </w:tcPr>
          <w:p>
            <w:pPr>
              <w:spacing w:after="30"/>
            </w:pPr>
            <w:hyperlink w:history="1" r:id="rIdbac9lhtqwkzwt1vtu_aji">
              <w:r>
                <w:rPr>
                  <w:rFonts w:ascii="Arial" w:cs="Arial" w:eastAsia="Arial" w:hAnsi="Arial"/>
                  <w:b/>
                  <w:bCs/>
                  <w:color w:val="1F6F4A"/>
                  <w:sz w:val="20"/>
                  <w:szCs w:val="20"/>
                  <w:u w:val="single"/>
                </w:rPr>
                <w:t xml:space="preserve">University of Southern California</w:t>
              </w:r>
            </w:hyperlink>
          </w:p>
          <w:p>
            <w:r>
              <w:rPr>
                <w:rFonts w:ascii="Arial" w:cs="Arial" w:eastAsia="Arial" w:hAnsi="Arial"/>
                <w:sz w:val="18"/>
                <w:szCs w:val="18"/>
              </w:rPr>
              <w:t xml:space="preserve">Graduate studies in Electrical Engineering (VLSI/IC), Los Angeles, CA</w:t>
            </w:r>
          </w:p>
        </w:tc>
        <w:tc>
          <w:tcPr>
            <w:tcW w:type="dxa" w:w="5040"/>
            <w:tcBorders>
              <w:top w:val="none" w:color="FFFFFF" w:sz="0"/>
              <w:left w:val="none" w:color="FFFFFF" w:sz="0"/>
              <w:bottom w:val="none" w:color="FFFFFF" w:sz="0"/>
              <w:right w:val="none" w:color="FFFFFF" w:sz="0"/>
            </w:tcBorders>
            <w:tcMar>
              <w:top w:type="dxa" w:w="40"/>
              <w:left w:type="dxa" w:w="0"/>
              <w:bottom w:type="dxa" w:w="40"/>
              <w:right w:type="dxa" w:w="200"/>
            </w:tcMar>
          </w:tcPr>
          <w:p>
            <w:pPr>
              <w:spacing w:after="30"/>
            </w:pPr>
            <w:hyperlink w:history="1" r:id="rIds_ddmgfwfunby7t_rqwfe">
              <w:r>
                <w:rPr>
                  <w:rFonts w:ascii="Arial" w:cs="Arial" w:eastAsia="Arial" w:hAnsi="Arial"/>
                  <w:b/>
                  <w:bCs/>
                  <w:color w:val="1F6F4A"/>
                  <w:sz w:val="20"/>
                  <w:szCs w:val="20"/>
                  <w:u w:val="single"/>
                </w:rPr>
                <w:t xml:space="preserve">California State University</w:t>
              </w:r>
            </w:hyperlink>
          </w:p>
          <w:p>
            <w:r>
              <w:rPr>
                <w:rFonts w:ascii="Arial" w:cs="Arial" w:eastAsia="Arial" w:hAnsi="Arial"/>
                <w:sz w:val="18"/>
                <w:szCs w:val="18"/>
              </w:rPr>
              <w:t xml:space="preserve">BS, Electrical Engineering, Los Angeles, CA</w:t>
            </w:r>
          </w:p>
        </w:tc>
      </w:tr>
    </w:tbl>
    <w:sectPr>
      <w:pgSz w:w="12240" w:h="15840" w:orient="portrait"/>
      <w:pgMar w:top="720" w:right="108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8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hqmya5uwkoy1ch41tggif" Type="http://schemas.openxmlformats.org/officeDocument/2006/relationships/hyperlink" Target="mailto:blagoja@gmail.com" TargetMode="External"/><Relationship Id="rIdz05wr1ta3yygmcdplbazi" Type="http://schemas.openxmlformats.org/officeDocument/2006/relationships/hyperlink" Target="https://www.linkedin.com/in/golubovski/" TargetMode="External"/><Relationship Id="rIdruotcmwhbunleixq1upom" Type="http://schemas.openxmlformats.org/officeDocument/2006/relationships/hyperlink" Target="https://golubovski.com" TargetMode="External"/><Relationship Id="rIdjga-u9pryn4yr7wt2rhxz" Type="http://schemas.openxmlformats.org/officeDocument/2006/relationships/hyperlink" Target="https://cimanote.com" TargetMode="External"/><Relationship Id="rIdpoeuwqxylba2sgxe9_rdx" Type="http://schemas.openxmlformats.org/officeDocument/2006/relationships/hyperlink" Target="https://mykairos.co/" TargetMode="External"/><Relationship Id="rIdrv9eqbw0aq9vjqmvyldmi" Type="http://schemas.openxmlformats.org/officeDocument/2006/relationships/hyperlink" Target="https://usercentrics.com" TargetMode="External"/><Relationship Id="rIdfzf1yhpbhcfgjlqrwus8y" Type="http://schemas.openxmlformats.org/officeDocument/2006/relationships/hyperlink" Target="https://visit.org" TargetMode="External"/><Relationship Id="rIducronshqhnqj1b8ni-lej" Type="http://schemas.openxmlformats.org/officeDocument/2006/relationships/hyperlink" Target="https://simpplr.com" TargetMode="External"/><Relationship Id="rIdw5sgeublpxcz5okecttoh" Type="http://schemas.openxmlformats.org/officeDocument/2006/relationships/hyperlink" Target="https://vindicia.com" TargetMode="External"/><Relationship Id="rIdq0qa-ompzfntsoucjofmt" Type="http://schemas.openxmlformats.org/officeDocument/2006/relationships/hyperlink" Target="https://open.spotify.com/playlist/7Cgv6HmGu3WUvxoIZfZFsL" TargetMode="External"/><Relationship Id="rIdo6h01rwxryfczkloa0zou" Type="http://schemas.openxmlformats.org/officeDocument/2006/relationships/hyperlink" Target="https://youtube.com/playlist?list=PLuQVdJi5UAd7zC1jldb-51gZShgmQ10vb" TargetMode="External"/><Relationship Id="rIdvrq3eughlq-guxfptxmo0" Type="http://schemas.openxmlformats.org/officeDocument/2006/relationships/hyperlink" Target="https://www.thesoftwarereport.com/the-top-25-software-product-executives-of-2021/" TargetMode="External"/><Relationship Id="rIdf6ayejhdqwgj0fhdwjk9e" Type="http://schemas.openxmlformats.org/officeDocument/2006/relationships/hyperlink" Target="https://www.mccombs.utexas.edu" TargetMode="External"/><Relationship Id="rIdbac9lhtqwkzwt1vtu_aji" Type="http://schemas.openxmlformats.org/officeDocument/2006/relationships/hyperlink" Target="https://www.usc.edu" TargetMode="External"/><Relationship Id="rIds_ddmgfwfunby7t_rqwfe" Type="http://schemas.openxmlformats.org/officeDocument/2006/relationships/hyperlink" Target="https://www.calstate.edu" TargetMode="External"/><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2026-05-04T16:19:01.926Z</dcterms:created>
  <dcterms:modified xsi:type="dcterms:W3CDTF">2026-05-04T16:19:01.926Z</dcterms:modified>
</cp:coreProperties>
</file>

<file path=docProps/custom.xml><?xml version="1.0" encoding="utf-8"?>
<Properties xmlns="http://schemas.openxmlformats.org/officeDocument/2006/custom-properties" xmlns:vt="http://schemas.openxmlformats.org/officeDocument/2006/docPropsVTypes"/>
</file>