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24</w:t>
      </w:r>
    </w:p>
    <w:p>
      <w:pPr>
        <w:tabs>
          <w:tab w:val="right" w:pos="8838" w:leader="dot"/>
        </w:tabs>
        <w:spacing w:after="0" w:before="0" w:line="360"/>
        <w:ind w:left="567" w:right="0"/>
      </w:pPr>
      <w:r>
        <w:rPr>
          <w:rFonts w:ascii="Arial" w:cs="Arial" w:eastAsia="Arial" w:hAnsi="Arial"/>
          <w:color w:val="000000"/>
          <w:sz w:val="22"/>
          <w:szCs w:val="22"/>
        </w:rPr>
        <w:t xml:space="preserve">1.5.1. La remisión a la sana crítica es vaga y puede precisarse	</w:t>
      </w:r>
      <w:r>
        <w:rPr>
          <w:rFonts w:ascii="Arial" w:cs="Arial" w:eastAsia="Arial" w:hAnsi="Arial"/>
          <w:color w:val="000000"/>
          <w:sz w:val="22"/>
          <w:szCs w:val="22"/>
        </w:rPr>
        <w:t xml:space="preserve">25</w:t>
      </w:r>
    </w:p>
    <w:p>
      <w:pPr>
        <w:tabs>
          <w:tab w:val="right" w:pos="8838" w:leader="dot"/>
        </w:tabs>
        <w:spacing w:after="0" w:before="0" w:line="360"/>
        <w:ind w:left="567" w:right="0"/>
      </w:pPr>
      <w:r>
        <w:rPr>
          <w:rFonts w:ascii="Arial" w:cs="Arial" w:eastAsia="Arial" w:hAnsi="Arial"/>
          <w:color w:val="000000"/>
          <w:sz w:val="22"/>
          <w:szCs w:val="22"/>
        </w:rPr>
        <w:t xml:space="preserve">1.5.2. Cuatro criterios controlan los hechos probatorios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1.5.3. Dos criterios controlan la garantía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1.5.4. Cinco criterios controlan la hipótesis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1.5.5. La solidez es gradual y esa graduación es la que un estándar debe medir	</w:t>
      </w:r>
      <w:r>
        <w:rPr>
          <w:rFonts w:ascii="Arial" w:cs="Arial" w:eastAsia="Arial" w:hAnsi="Arial"/>
          <w:color w:val="000000"/>
          <w:sz w:val="22"/>
          <w:szCs w:val="22"/>
        </w:rPr>
        <w:t xml:space="preserve">30</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mostró que la inferencia probatoria tiene una estructura descriptible. Describirla no basta, sin embargo, para controlarla, porque hace falta saber cuándo una inferencia resulta sólida y cuándo no lo es. Ese es el problema del que se ocupa este apartado. González Lagier (2005) ofrece una respuesta articulada en once criterios, ordenados según el elemento de la estructura al que se refieren. Este trabajo los adopta porque cumplen la condición que el objetivo general exige: son verificables desde fuera de la sentencia. Su enunciación permite, además, algo que el capítulo cuarto necesitará. Si la solidez admite grados, entonces admite medida, y lo que admite medida admite umbral. El apartado recorre los once criterios agrupados en tres bloques y cierra con la consecuencia que de todos ellos se sigue.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remisión a la sana crítica es vaga y puede precisarse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 El diagnóstico recae sobre fórmulas idénticas a las que emplea la ley mexicana, lo que convierte la objeción en algo más que una discusión doctrinal ajena.</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merece subrayarse.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La consecuencia importa para el planteamiento de este trabajo. La crítica que aquí se dirige a la práctica del Tribunal Electoral no le imputa haber inventado una imprecisión. Le imputa no haberla resuelto pese a disponer de los materiales para hacerlo, y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sostiene que esa vaguedad puede reducirse.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Una remisión en blanco no admite discusión, porque no ofrece nada sobre lo que discrepar. Los once criterios que siguen se ordenan según se refieran a los hechos probatorios, a la garantía o a la hipótesis del caso, que son los tres elementos de la estructura fijada en el apartado anterior.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Cuatro criterios controlan los hechos probatorios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González Lagier (2005) señala que la fiabilidad depende de cómo se haya llegado a conocer los hechos probatorios (p. 81).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extrae de ahí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Un solo hecho probatorio con alto grado de fiabilidad puede tener un peso mayor que varios hechos probatorios de escasa fiabilidad (p. 82). La suficiencia no se resuelve, por tanto, contando elementos, y la precisión resulta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más relevante para esta investigación. El autor sostiene que la variedad de los hechos probatorios aumenta la probabilidad de la hipótesis que confirman (González Lagier, 2005, p. 83). Su importancia radica en que permite la eliminación de las hipótesis alternativas con las que la principal entra en competencia (González Lagier, 2005, p. 83). El ejemplo que ofrece el autor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El capítulo tercero recoge esa idea en el paso cuarto del protocolo.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en el apartado anterior. Sin garantía enunciada no puede determinarse la pertinencia de un elemento. Declarar impertinente una prueba sin explicitar la máxima aplicada produce, por eso, una decisión que no admite control, porque el afectado no llega a saber qué correlación se consideró inexistente ni puede, en consecuencia, combatirla.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Dos criterios controlan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garantía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Solo así se excluyen las generalizaciones apresuradas y los prejuicios (González Lagier, 2005, p. 86). El autor añade una exigencia complementaria. No basta con que la máxima aplicada esté bien fundada. Debe además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por el grado de probabilidad causal que la garantía establece.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esa máxima obliga a reconocer el límite de la inferencia. Omitirla permite presentar como fuerte un razonamiento que no lo es, y el vicio opera en las dos direcciones: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1.5.4. </w:t>
      </w:r>
      <w:r>
        <w:rPr>
          <w:rFonts w:ascii="Arial" w:cs="Arial" w:eastAsia="Arial" w:hAnsi="Arial"/>
          <w:i/>
          <w:iCs/>
          <w:color w:val="000000"/>
          <w:sz w:val="24"/>
          <w:szCs w:val="24"/>
        </w:rPr>
        <w:t xml:space="preserve">Cinco criterios controlan la hipótesis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hipótesis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Aunque los hechos probatorios la confirmen, todavía debe someterse al requisito de la no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Esas hipótesis refutan la principal cuando se demuestran falsas, y aumentan su credibilidad cuando se confirman como verdaderas (González Lagier, 2005, p. 90). El tercer criterio,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Lo usual es disponer de varias hipótesis y escoger la que resiste mejor los intentos de refutación (González Lagier, 2005, p. 90). La exigencia realista no consiste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que el capítulo cuarto retomará. La credibilidad de una hipótesis disminuye cuantas más hipótesis alternativas subsistan (González Lagier, 2005, pp. 90-91). La formulación convierte la refutación en un factor de graduación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La convergencia permite exigir ese razonamiento con apoyo en criterio vigente del sistema mexicano, y no únicamente en doctrina extranjera, lo que resulta decisivo para la viabilidad de la propuesta.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El autor señala que ambos criterios sirven únicamente para escoger entre hipótesis que cuentan con un grado de confirmación semejante. Su función es, por tanto, subsidiaria. Ninguno de los dos suple la falta de apoyo empírico, de modo que una hipótesis coherente y simple pero desprovista de confirmación sigue siendo una conjetura, por elegante que resulte su formulación.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1.5.5. </w:t>
      </w:r>
      <w:r>
        <w:rPr>
          <w:rFonts w:ascii="Arial" w:cs="Arial" w:eastAsia="Arial" w:hAnsi="Arial"/>
          <w:i/>
          <w:iCs/>
          <w:color w:val="000000"/>
          <w:sz w:val="24"/>
          <w:szCs w:val="24"/>
        </w:rPr>
        <w:t xml:space="preserve">La solidez es gradual y esa graduación es la que un estándar debe medir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advertencia con que González Lagier introduce los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La doble gradualidad impide convertir los once criterios en una lista de requisitos cuya falta invalide la inferencia. Los criterios describen un espectro y no un umbral, de manera que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advertencia condiciona el diseño del protocolo del capítulo tercero. Un protocolo construido sobre estos criterios no puede funcionar como una lista de comprobación cuyo incumplimiento anule la valoración. Debe funcionar como una rejilla que obligue a exteriorizar cada operación y a declarar en qué grado queda satisfecha, y la diferencia entre una cosa y otra resulta sustancial. Una lista de requisitos sustituiría la libre valoración por una prueba tasada de nuevo cuño, que es precisamente lo que este trabajo no propone. Una rejilla de exteriorización deja intacta la libertad valorativa y suprime únicamente su opacidad. El juzgador conserva íntegra la facultad de apreciar el material probatorio, y pierde únicamente la de no explicar cómo lo apreció.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gradualidad suministra, por último, el puente hacia el capítulo cuarto. Si la solidez de una inferencia admite grados, entonces cabe preguntar qué grado resulta exigible para tener un hecho por probado. Esa segunda pregunta ya no pertenece a la epistemología sino al derecho, conforme a la distinción entre valoración y decisión que el apartado 1.3 tomó de Ferrer Beltrán. Los criterios de González Lagier permiten decir cuán sólida es una inferencia. No permiten decir cuán sólida debe ser, porque esa medida depende de los valores en juego en cada tipo de proceso. El estándar escalonado que se propone más adelante responde a esa segunda pregunta. Presupone resuelta la primera, y por eso el capítulo tercero debe preceder al cuarto en el orden de la exposición: no cabe fijar cuánto basta antes de haber fijado cómo se mide.</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2026-08-08T19:31:01.425Z</dcterms:created>
  <dcterms:modified xsi:type="dcterms:W3CDTF">2026-08-08T19:31:01.425Z</dcterms:modified>
</cp:coreProperties>
</file>

<file path=docProps/custom.xml><?xml version="1.0" encoding="utf-8"?>
<Properties xmlns="http://schemas.openxmlformats.org/officeDocument/2006/custom-properties" xmlns:vt="http://schemas.openxmlformats.org/officeDocument/2006/docPropsVTypes"/>
</file>